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9.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0.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1.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2.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3.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4.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F8269C" w:rsidRDefault="00450D2D">
      <w:pPr>
        <w:pBdr>
          <w:top w:val="nil"/>
          <w:left w:val="nil"/>
          <w:bottom w:val="nil"/>
          <w:right w:val="nil"/>
          <w:between w:val="nil"/>
        </w:pBdr>
        <w:tabs>
          <w:tab w:val="right" w:pos="9016"/>
        </w:tabs>
        <w:spacing w:after="200" w:line="276" w:lineRule="auto"/>
        <w:rPr>
          <w:color w:val="000000"/>
        </w:rPr>
      </w:pPr>
      <w:bookmarkStart w:id="0" w:name="_heading=h.gjdgxs" w:colFirst="0" w:colLast="0"/>
      <w:bookmarkStart w:id="1" w:name="_GoBack"/>
      <w:bookmarkEnd w:id="0"/>
      <w:bookmarkEnd w:id="1"/>
      <w:r>
        <w:rPr>
          <w:rFonts w:ascii="Palatino Linotype" w:eastAsia="Palatino Linotype" w:hAnsi="Palatino Linotype" w:cs="Palatino Linotype"/>
          <w:noProof/>
          <w:color w:val="000000"/>
        </w:rPr>
        <w:drawing>
          <wp:anchor distT="0" distB="0" distL="114300" distR="114300" simplePos="0" relativeHeight="251658240" behindDoc="0" locked="0" layoutInCell="1" hidden="0" allowOverlap="1" wp14:anchorId="3BE08AA4" wp14:editId="30337B0A">
            <wp:simplePos x="0" y="0"/>
            <wp:positionH relativeFrom="page">
              <wp:align>right</wp:align>
            </wp:positionH>
            <wp:positionV relativeFrom="page">
              <wp:align>top</wp:align>
            </wp:positionV>
            <wp:extent cx="7559387" cy="10692875"/>
            <wp:effectExtent l="0" t="0" r="0" b="0"/>
            <wp:wrapNone/>
            <wp:docPr id="329" name="image8.jpg" descr="Websit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8.jpg" descr="Website&#10;&#10;Description automatically generated with medium confidence"/>
                    <pic:cNvPicPr preferRelativeResize="0"/>
                  </pic:nvPicPr>
                  <pic:blipFill>
                    <a:blip r:embed="rId9"/>
                    <a:srcRect/>
                    <a:stretch>
                      <a:fillRect/>
                    </a:stretch>
                  </pic:blipFill>
                  <pic:spPr>
                    <a:xfrm>
                      <a:off x="0" y="0"/>
                      <a:ext cx="7559387" cy="10692875"/>
                    </a:xfrm>
                    <a:prstGeom prst="rect">
                      <a:avLst/>
                    </a:prstGeom>
                    <a:ln/>
                  </pic:spPr>
                </pic:pic>
              </a:graphicData>
            </a:graphic>
          </wp:anchor>
        </w:drawing>
      </w:r>
    </w:p>
    <w:p w14:paraId="00000002" w14:textId="77777777" w:rsidR="00F8269C" w:rsidRDefault="00450D2D">
      <w:r>
        <w:br w:type="page"/>
      </w:r>
      <w:r>
        <w:rPr>
          <w:noProof/>
        </w:rPr>
        <mc:AlternateContent>
          <mc:Choice Requires="wps">
            <w:drawing>
              <wp:anchor distT="0" distB="0" distL="114300" distR="114300" simplePos="0" relativeHeight="251659264" behindDoc="0" locked="0" layoutInCell="1" hidden="0" allowOverlap="1" wp14:anchorId="4203F0B8" wp14:editId="2C36A4A0">
                <wp:simplePos x="0" y="0"/>
                <wp:positionH relativeFrom="column">
                  <wp:posOffset>596900</wp:posOffset>
                </wp:positionH>
                <wp:positionV relativeFrom="paragraph">
                  <wp:posOffset>4025900</wp:posOffset>
                </wp:positionV>
                <wp:extent cx="4516211" cy="1724025"/>
                <wp:effectExtent l="0" t="0" r="0" b="0"/>
                <wp:wrapNone/>
                <wp:docPr id="326" name="Rectangle 326"/>
                <wp:cNvGraphicFramePr/>
                <a:graphic xmlns:a="http://schemas.openxmlformats.org/drawingml/2006/main">
                  <a:graphicData uri="http://schemas.microsoft.com/office/word/2010/wordprocessingShape">
                    <wps:wsp>
                      <wps:cNvSpPr/>
                      <wps:spPr>
                        <a:xfrm>
                          <a:off x="3092657" y="2922750"/>
                          <a:ext cx="4506686" cy="1714500"/>
                        </a:xfrm>
                        <a:prstGeom prst="rect">
                          <a:avLst/>
                        </a:prstGeom>
                        <a:solidFill>
                          <a:schemeClr val="lt1"/>
                        </a:solidFill>
                        <a:ln w="9525" cap="flat" cmpd="sng">
                          <a:solidFill>
                            <a:srgbClr val="000000"/>
                          </a:solidFill>
                          <a:prstDash val="solid"/>
                          <a:round/>
                          <a:headEnd type="none" w="sm" len="sm"/>
                          <a:tailEnd type="none" w="sm" len="sm"/>
                        </a:ln>
                      </wps:spPr>
                      <wps:txbx>
                        <w:txbxContent>
                          <w:p w14:paraId="16030A28" w14:textId="77777777" w:rsidR="00513E3A" w:rsidRDefault="00513E3A">
                            <w:pPr>
                              <w:spacing w:line="258" w:lineRule="auto"/>
                              <w:jc w:val="center"/>
                              <w:textDirection w:val="btLr"/>
                            </w:pPr>
                            <w:r>
                              <w:rPr>
                                <w:b/>
                                <w:color w:val="000000"/>
                                <w:sz w:val="48"/>
                              </w:rPr>
                              <w:t>The macroeconomic impact of the Cultural and Creative Industries in South Africa</w:t>
                            </w:r>
                          </w:p>
                          <w:p w14:paraId="0DA96BD6" w14:textId="77777777" w:rsidR="00513E3A" w:rsidRDefault="00513E3A">
                            <w:pPr>
                              <w:spacing w:line="258" w:lineRule="auto"/>
                              <w:jc w:val="center"/>
                              <w:textDirection w:val="btLr"/>
                            </w:pPr>
                            <w:r>
                              <w:rPr>
                                <w:color w:val="000000"/>
                                <w:sz w:val="44"/>
                              </w:rPr>
                              <w:t>2022</w:t>
                            </w:r>
                          </w:p>
                        </w:txbxContent>
                      </wps:txbx>
                      <wps:bodyPr spcFirstLastPara="1" wrap="square" lIns="91425" tIns="45700" rIns="91425" bIns="4570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203F0B8" id="Rectangle 326" o:spid="_x0000_s1026" style="position:absolute;margin-left:47pt;margin-top:317pt;width:355.6pt;height:13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" fillcolor="white [3201]">
                <v:stroke startarrowwidth="narrow" startarrowlength="short" endarrowwidth="narrow" endarrowlength="short" joinstyle="round"/>
                <v:textbox inset="2.53958mm,1.2694mm,2.53958mm,1.2694mm">
                  <w:txbxContent>
                    <w:p w14:paraId="16030A28" w14:textId="77777777" w:rsidR="00513E3A" w:rsidRDefault="00513E3A">
                      <w:pPr>
                        <w:spacing w:line="258" w:lineRule="auto"/>
                        <w:jc w:val="center"/>
                        <w:textDirection w:val="btLr"/>
                      </w:pPr>
                      <w:r>
                        <w:rPr>
                          <w:b/>
                          <w:color w:val="000000"/>
                          <w:sz w:val="48"/>
                        </w:rPr>
                        <w:t>The macroeconomic impact of the Cultural and Creative Industries in South Africa</w:t>
                      </w:r>
                    </w:p>
                    <w:p w14:paraId="0DA96BD6" w14:textId="77777777" w:rsidR="00513E3A" w:rsidRDefault="00513E3A">
                      <w:pPr>
                        <w:spacing w:line="258" w:lineRule="auto"/>
                        <w:jc w:val="center"/>
                        <w:textDirection w:val="btLr"/>
                      </w:pPr>
                      <w:r>
                        <w:rPr>
                          <w:color w:val="000000"/>
                          <w:sz w:val="44"/>
                        </w:rPr>
                        <w:t>2022</w:t>
                      </w:r>
                    </w:p>
                  </w:txbxContent>
                </v:textbox>
              </v:rect>
            </w:pict>
          </mc:Fallback>
        </mc:AlternateContent>
      </w:r>
    </w:p>
    <w:bookmarkStart w:id="2" w:name="_heading=h.30j0zll" w:colFirst="0" w:colLast="0"/>
    <w:bookmarkEnd w:id="2"/>
    <w:p w14:paraId="00000003" w14:textId="77777777" w:rsidR="00F8269C" w:rsidRDefault="00450D2D">
      <w:pPr>
        <w:pStyle w:val="Subtitle"/>
        <w:jc w:val="left"/>
        <w:rPr>
          <w:color w:val="5B9BD5"/>
          <w:sz w:val="22"/>
          <w:szCs w:val="22"/>
        </w:rPr>
      </w:pPr>
      <w:r>
        <w:rPr>
          <w:noProof/>
          <w:color w:val="5B9BD5"/>
          <w:sz w:val="22"/>
          <w:szCs w:val="22"/>
        </w:rPr>
        <w:lastRenderedPageBreak/>
        <mc:AlternateContent>
          <mc:Choice Requires="wps">
            <w:drawing>
              <wp:anchor distT="0" distB="0" distL="274320" distR="114300" simplePos="0" relativeHeight="251660288" behindDoc="0" locked="0" layoutInCell="1" hidden="0" allowOverlap="1" wp14:anchorId="4756698A" wp14:editId="39E2EA7F">
                <wp:simplePos x="0" y="0"/>
                <wp:positionH relativeFrom="margin">
                  <wp:posOffset>4464050</wp:posOffset>
                </wp:positionH>
                <wp:positionV relativeFrom="margin">
                  <wp:posOffset>-234950</wp:posOffset>
                </wp:positionV>
                <wp:extent cx="1912620" cy="8632825"/>
                <wp:effectExtent l="0" t="0" r="0" b="0"/>
                <wp:wrapSquare wrapText="bothSides" distT="0" distB="0" distL="274320" distR="114300"/>
                <wp:docPr id="328" name="Rectangle 328"/>
                <wp:cNvGraphicFramePr/>
                <a:graphic xmlns:a="http://schemas.openxmlformats.org/drawingml/2006/main">
                  <a:graphicData uri="http://schemas.microsoft.com/office/word/2010/wordprocessingShape">
                    <wps:wsp>
                      <wps:cNvSpPr/>
                      <wps:spPr>
                        <a:xfrm>
                          <a:off x="0" y="0"/>
                          <a:ext cx="1912620" cy="8632825"/>
                        </a:xfrm>
                        <a:prstGeom prst="rect">
                          <a:avLst/>
                        </a:prstGeom>
                        <a:solidFill>
                          <a:srgbClr val="E4E9EF">
                            <a:alpha val="84705"/>
                          </a:srgbClr>
                        </a:solidFill>
                        <a:ln>
                          <a:noFill/>
                        </a:ln>
                      </wps:spPr>
                      <wps:txbx>
                        <w:txbxContent>
                          <w:p w14:paraId="528F101E" w14:textId="77777777" w:rsidR="00513E3A" w:rsidRDefault="00513E3A">
                            <w:pPr>
                              <w:spacing w:after="0" w:line="240" w:lineRule="auto"/>
                              <w:jc w:val="center"/>
                              <w:textDirection w:val="btLr"/>
                            </w:pPr>
                            <w:r>
                              <w:rPr>
                                <w:b/>
                                <w:color w:val="5B9BD5"/>
                                <w:sz w:val="36"/>
                              </w:rPr>
                              <w:t>Key Findings</w:t>
                            </w:r>
                          </w:p>
                          <w:p w14:paraId="556A39AC" w14:textId="77777777" w:rsidR="00513E3A" w:rsidRDefault="00513E3A">
                            <w:pPr>
                              <w:spacing w:after="100" w:line="258" w:lineRule="auto"/>
                              <w:jc w:val="center"/>
                              <w:textDirection w:val="btLr"/>
                            </w:pPr>
                            <w:r>
                              <w:rPr>
                                <w:color w:val="6076B4"/>
                              </w:rPr>
                              <w:t xml:space="preserve">  </w:t>
                            </w:r>
                          </w:p>
                          <w:p w14:paraId="67334F1A" w14:textId="77777777" w:rsidR="00513E3A" w:rsidRDefault="00513E3A" w:rsidP="007464BF">
                            <w:pPr>
                              <w:pStyle w:val="ListParagraph"/>
                              <w:numPr>
                                <w:ilvl w:val="0"/>
                                <w:numId w:val="18"/>
                              </w:numPr>
                              <w:spacing w:after="0" w:line="240" w:lineRule="auto"/>
                              <w:textDirection w:val="btLr"/>
                            </w:pPr>
                            <w:r w:rsidRPr="007464BF">
                              <w:rPr>
                                <w:color w:val="2F5897"/>
                                <w:sz w:val="18"/>
                              </w:rPr>
                              <w:t>In 2020, the CCIs contributed R161 billion (3%) to the South African economy.</w:t>
                            </w:r>
                          </w:p>
                          <w:p w14:paraId="366E8D8F" w14:textId="77777777" w:rsidR="00513E3A" w:rsidRDefault="00513E3A" w:rsidP="007464BF">
                            <w:pPr>
                              <w:pStyle w:val="ListParagraph"/>
                              <w:numPr>
                                <w:ilvl w:val="0"/>
                                <w:numId w:val="18"/>
                              </w:numPr>
                              <w:spacing w:after="0" w:line="240" w:lineRule="auto"/>
                              <w:textDirection w:val="btLr"/>
                            </w:pPr>
                            <w:r w:rsidRPr="007464BF">
                              <w:rPr>
                                <w:color w:val="2F5897"/>
                                <w:sz w:val="18"/>
                              </w:rPr>
                              <w:t>The largest domain is Design and Creative Services: R51 billion in 2020, 32% of the CCI contribution to GDP.</w:t>
                            </w:r>
                          </w:p>
                          <w:p w14:paraId="4A397D1E" w14:textId="01E11E82" w:rsidR="00513E3A" w:rsidRDefault="00513E3A" w:rsidP="007464BF">
                            <w:pPr>
                              <w:pStyle w:val="ListParagraph"/>
                              <w:numPr>
                                <w:ilvl w:val="0"/>
                                <w:numId w:val="18"/>
                              </w:numPr>
                              <w:spacing w:after="0" w:line="240" w:lineRule="auto"/>
                              <w:textDirection w:val="btLr"/>
                            </w:pPr>
                            <w:r w:rsidRPr="007464BF">
                              <w:rPr>
                                <w:color w:val="2F5897"/>
                                <w:sz w:val="18"/>
                              </w:rPr>
                              <w:t>The second-largest domain is Audio-visual and Interactive Media: R48.4 billion in 2020, 30% of the CCI contribution to GDP.</w:t>
                            </w:r>
                          </w:p>
                          <w:p w14:paraId="1A81BD65" w14:textId="69D425CD" w:rsidR="00513E3A" w:rsidRDefault="00513E3A" w:rsidP="007464BF">
                            <w:pPr>
                              <w:pStyle w:val="ListParagraph"/>
                              <w:numPr>
                                <w:ilvl w:val="0"/>
                                <w:numId w:val="18"/>
                              </w:numPr>
                              <w:spacing w:after="0" w:line="240" w:lineRule="auto"/>
                              <w:textDirection w:val="btLr"/>
                            </w:pPr>
                            <w:r w:rsidRPr="007464BF">
                              <w:rPr>
                                <w:color w:val="2F5897"/>
                                <w:sz w:val="18"/>
                              </w:rPr>
                              <w:t>Visual Arts and Crafts made up 15% of the CCI contribution to GDP in 2020 but was one of the most negatively impacted because of C</w:t>
                            </w:r>
                            <w:r>
                              <w:rPr>
                                <w:color w:val="2F5897"/>
                                <w:sz w:val="18"/>
                              </w:rPr>
                              <w:t>OVID</w:t>
                            </w:r>
                            <w:r w:rsidRPr="007464BF">
                              <w:rPr>
                                <w:color w:val="2F5897"/>
                                <w:sz w:val="18"/>
                              </w:rPr>
                              <w:t>-19.</w:t>
                            </w:r>
                          </w:p>
                          <w:p w14:paraId="7E4B88D4" w14:textId="77777777" w:rsidR="00513E3A" w:rsidRDefault="00513E3A" w:rsidP="007464BF">
                            <w:pPr>
                              <w:pStyle w:val="ListParagraph"/>
                              <w:numPr>
                                <w:ilvl w:val="0"/>
                                <w:numId w:val="18"/>
                              </w:numPr>
                              <w:spacing w:after="0" w:line="240" w:lineRule="auto"/>
                              <w:textDirection w:val="btLr"/>
                            </w:pPr>
                            <w:r w:rsidRPr="007464BF">
                              <w:rPr>
                                <w:color w:val="2F5897"/>
                                <w:sz w:val="18"/>
                              </w:rPr>
                              <w:t>Books and Press made up 13% of the CCI contribution to GDP in 2020, and also had a negative growth rate between 2019 and 2020.</w:t>
                            </w:r>
                          </w:p>
                          <w:p w14:paraId="32CD359C" w14:textId="77777777" w:rsidR="00513E3A" w:rsidRDefault="00513E3A" w:rsidP="007464BF">
                            <w:pPr>
                              <w:pStyle w:val="ListParagraph"/>
                              <w:numPr>
                                <w:ilvl w:val="0"/>
                                <w:numId w:val="18"/>
                              </w:numPr>
                              <w:spacing w:after="0" w:line="240" w:lineRule="auto"/>
                              <w:textDirection w:val="btLr"/>
                            </w:pPr>
                            <w:r w:rsidRPr="007464BF">
                              <w:rPr>
                                <w:color w:val="2F5897"/>
                                <w:sz w:val="18"/>
                              </w:rPr>
                              <w:t>The CCIs have strong backward and forward linkages with the rest of the economy, resulting in strong multiplier effects.</w:t>
                            </w:r>
                          </w:p>
                          <w:p w14:paraId="058E809C" w14:textId="77777777" w:rsidR="00513E3A" w:rsidRDefault="00513E3A" w:rsidP="007464BF">
                            <w:pPr>
                              <w:pStyle w:val="ListParagraph"/>
                              <w:numPr>
                                <w:ilvl w:val="0"/>
                                <w:numId w:val="18"/>
                              </w:numPr>
                              <w:spacing w:after="0" w:line="240" w:lineRule="auto"/>
                              <w:textDirection w:val="btLr"/>
                            </w:pPr>
                            <w:r w:rsidRPr="007464BF">
                              <w:rPr>
                                <w:color w:val="2F5897"/>
                                <w:sz w:val="18"/>
                              </w:rPr>
                              <w:t>In 2020, CCI investment in capital stock declined for most domains, except Audio-visual and Interactive Media.</w:t>
                            </w:r>
                          </w:p>
                          <w:p w14:paraId="46E89978" w14:textId="0ABB0A35" w:rsidR="00513E3A" w:rsidRDefault="00513E3A" w:rsidP="007464BF">
                            <w:pPr>
                              <w:pStyle w:val="ListParagraph"/>
                              <w:numPr>
                                <w:ilvl w:val="0"/>
                                <w:numId w:val="18"/>
                              </w:numPr>
                              <w:spacing w:after="0" w:line="240" w:lineRule="auto"/>
                              <w:textDirection w:val="btLr"/>
                            </w:pPr>
                            <w:r w:rsidRPr="007464BF">
                              <w:rPr>
                                <w:color w:val="2F5897"/>
                                <w:sz w:val="18"/>
                              </w:rPr>
                              <w:t>Most domains were running down their inventories in 2020, but this is especially evident in Visual Arts and Crafts (-R114 million) and Books and Press (-R439 million).</w:t>
                            </w:r>
                          </w:p>
                          <w:p w14:paraId="64545E4B" w14:textId="77777777" w:rsidR="00513E3A" w:rsidRDefault="00513E3A">
                            <w:pPr>
                              <w:spacing w:line="258" w:lineRule="auto"/>
                              <w:textDirection w:val="btLr"/>
                            </w:pPr>
                          </w:p>
                        </w:txbxContent>
                      </wps:txbx>
                      <wps:bodyPr spcFirstLastPara="1" wrap="square" lIns="182875" tIns="457200" rIns="182875" bIns="13715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756698A" id="Rectangle 328" o:spid="_x0000_s1027" style="position:absolute;margin-left:351.5pt;margin-top:-18.5pt;width:150.6pt;height:679.75pt;z-index:251660288;visibility:visible;mso-wrap-style:square;mso-width-percent:0;mso-height-percent:0;mso-wrap-distance-left:21.6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" fillcolor="#e4e9ef" stroked="f">
                <v:fill opacity="55512f"/>
                <v:textbox inset="5.07986mm,36pt,5.07986mm,3.80972mm">
                  <w:txbxContent>
                    <w:p w14:paraId="528F101E" w14:textId="77777777" w:rsidR="00513E3A" w:rsidRDefault="00513E3A">
                      <w:pPr>
                        <w:spacing w:after="0" w:line="240" w:lineRule="auto"/>
                        <w:jc w:val="center"/>
                        <w:textDirection w:val="btLr"/>
                      </w:pPr>
                      <w:r>
                        <w:rPr>
                          <w:b/>
                          <w:color w:val="5B9BD5"/>
                          <w:sz w:val="36"/>
                        </w:rPr>
                        <w:t>Key Findings</w:t>
                      </w:r>
                    </w:p>
                    <w:p w14:paraId="556A39AC" w14:textId="77777777" w:rsidR="00513E3A" w:rsidRDefault="00513E3A">
                      <w:pPr>
                        <w:spacing w:after="100" w:line="258" w:lineRule="auto"/>
                        <w:jc w:val="center"/>
                        <w:textDirection w:val="btLr"/>
                      </w:pPr>
                      <w:r>
                        <w:rPr>
                          <w:color w:val="6076B4"/>
                        </w:rPr>
                        <w:t xml:space="preserve">  </w:t>
                      </w:r>
                    </w:p>
                    <w:p w14:paraId="67334F1A" w14:textId="77777777" w:rsidR="00513E3A" w:rsidRDefault="00513E3A" w:rsidP="007464BF">
                      <w:pPr>
                        <w:pStyle w:val="ListParagraph"/>
                        <w:numPr>
                          <w:ilvl w:val="0"/>
                          <w:numId w:val="18"/>
                        </w:numPr>
                        <w:spacing w:after="0" w:line="240" w:lineRule="auto"/>
                        <w:textDirection w:val="btLr"/>
                      </w:pPr>
                      <w:r w:rsidRPr="007464BF">
                        <w:rPr>
                          <w:color w:val="2F5897"/>
                          <w:sz w:val="18"/>
                        </w:rPr>
                        <w:t>In 2020, the CCIs contributed R161 billion (3%) to the South African economy.</w:t>
                      </w:r>
                    </w:p>
                    <w:p w14:paraId="366E8D8F" w14:textId="77777777" w:rsidR="00513E3A" w:rsidRDefault="00513E3A" w:rsidP="007464BF">
                      <w:pPr>
                        <w:pStyle w:val="ListParagraph"/>
                        <w:numPr>
                          <w:ilvl w:val="0"/>
                          <w:numId w:val="18"/>
                        </w:numPr>
                        <w:spacing w:after="0" w:line="240" w:lineRule="auto"/>
                        <w:textDirection w:val="btLr"/>
                      </w:pPr>
                      <w:r w:rsidRPr="007464BF">
                        <w:rPr>
                          <w:color w:val="2F5897"/>
                          <w:sz w:val="18"/>
                        </w:rPr>
                        <w:t>The largest domain is Design and Creative Services: R51 billion in 2020, 32% of the CCI contribution to GDP.</w:t>
                      </w:r>
                    </w:p>
                    <w:p w14:paraId="4A397D1E" w14:textId="01E11E82" w:rsidR="00513E3A" w:rsidRDefault="00513E3A" w:rsidP="007464BF">
                      <w:pPr>
                        <w:pStyle w:val="ListParagraph"/>
                        <w:numPr>
                          <w:ilvl w:val="0"/>
                          <w:numId w:val="18"/>
                        </w:numPr>
                        <w:spacing w:after="0" w:line="240" w:lineRule="auto"/>
                        <w:textDirection w:val="btLr"/>
                      </w:pPr>
                      <w:r w:rsidRPr="007464BF">
                        <w:rPr>
                          <w:color w:val="2F5897"/>
                          <w:sz w:val="18"/>
                        </w:rPr>
                        <w:t>The second-largest domain is Audio-visual and Interactive Media: R48.4 billion in 2020, 30% of the CCI contribution to GDP.</w:t>
                      </w:r>
                    </w:p>
                    <w:p w14:paraId="1A81BD65" w14:textId="69D425CD" w:rsidR="00513E3A" w:rsidRDefault="00513E3A" w:rsidP="007464BF">
                      <w:pPr>
                        <w:pStyle w:val="ListParagraph"/>
                        <w:numPr>
                          <w:ilvl w:val="0"/>
                          <w:numId w:val="18"/>
                        </w:numPr>
                        <w:spacing w:after="0" w:line="240" w:lineRule="auto"/>
                        <w:textDirection w:val="btLr"/>
                      </w:pPr>
                      <w:r w:rsidRPr="007464BF">
                        <w:rPr>
                          <w:color w:val="2F5897"/>
                          <w:sz w:val="18"/>
                        </w:rPr>
                        <w:t>Visual Arts and Crafts made up 15% of the CCI contribution to GDP in 2020 but was one of the most negatively impacted because of C</w:t>
                      </w:r>
                      <w:r>
                        <w:rPr>
                          <w:color w:val="2F5897"/>
                          <w:sz w:val="18"/>
                        </w:rPr>
                        <w:t>OVID</w:t>
                      </w:r>
                      <w:r w:rsidRPr="007464BF">
                        <w:rPr>
                          <w:color w:val="2F5897"/>
                          <w:sz w:val="18"/>
                        </w:rPr>
                        <w:t>-19.</w:t>
                      </w:r>
                    </w:p>
                    <w:p w14:paraId="7E4B88D4" w14:textId="77777777" w:rsidR="00513E3A" w:rsidRDefault="00513E3A" w:rsidP="007464BF">
                      <w:pPr>
                        <w:pStyle w:val="ListParagraph"/>
                        <w:numPr>
                          <w:ilvl w:val="0"/>
                          <w:numId w:val="18"/>
                        </w:numPr>
                        <w:spacing w:after="0" w:line="240" w:lineRule="auto"/>
                        <w:textDirection w:val="btLr"/>
                      </w:pPr>
                      <w:r w:rsidRPr="007464BF">
                        <w:rPr>
                          <w:color w:val="2F5897"/>
                          <w:sz w:val="18"/>
                        </w:rPr>
                        <w:t>Books and Press made up 13% of the CCI contribution to GDP in 2020, and also had a negative growth rate between 2019 and 2020.</w:t>
                      </w:r>
                    </w:p>
                    <w:p w14:paraId="32CD359C" w14:textId="77777777" w:rsidR="00513E3A" w:rsidRDefault="00513E3A" w:rsidP="007464BF">
                      <w:pPr>
                        <w:pStyle w:val="ListParagraph"/>
                        <w:numPr>
                          <w:ilvl w:val="0"/>
                          <w:numId w:val="18"/>
                        </w:numPr>
                        <w:spacing w:after="0" w:line="240" w:lineRule="auto"/>
                        <w:textDirection w:val="btLr"/>
                      </w:pPr>
                      <w:r w:rsidRPr="007464BF">
                        <w:rPr>
                          <w:color w:val="2F5897"/>
                          <w:sz w:val="18"/>
                        </w:rPr>
                        <w:t>The CCIs have strong backward and forward linkages with the rest of the economy, resulting in strong multiplier effects.</w:t>
                      </w:r>
                    </w:p>
                    <w:p w14:paraId="058E809C" w14:textId="77777777" w:rsidR="00513E3A" w:rsidRDefault="00513E3A" w:rsidP="007464BF">
                      <w:pPr>
                        <w:pStyle w:val="ListParagraph"/>
                        <w:numPr>
                          <w:ilvl w:val="0"/>
                          <w:numId w:val="18"/>
                        </w:numPr>
                        <w:spacing w:after="0" w:line="240" w:lineRule="auto"/>
                        <w:textDirection w:val="btLr"/>
                      </w:pPr>
                      <w:r w:rsidRPr="007464BF">
                        <w:rPr>
                          <w:color w:val="2F5897"/>
                          <w:sz w:val="18"/>
                        </w:rPr>
                        <w:t>In 2020, CCI investment in capital stock declined for most domains, except Audio-visual and Interactive Media.</w:t>
                      </w:r>
                    </w:p>
                    <w:p w14:paraId="46E89978" w14:textId="0ABB0A35" w:rsidR="00513E3A" w:rsidRDefault="00513E3A" w:rsidP="007464BF">
                      <w:pPr>
                        <w:pStyle w:val="ListParagraph"/>
                        <w:numPr>
                          <w:ilvl w:val="0"/>
                          <w:numId w:val="18"/>
                        </w:numPr>
                        <w:spacing w:after="0" w:line="240" w:lineRule="auto"/>
                        <w:textDirection w:val="btLr"/>
                      </w:pPr>
                      <w:r w:rsidRPr="007464BF">
                        <w:rPr>
                          <w:color w:val="2F5897"/>
                          <w:sz w:val="18"/>
                        </w:rPr>
                        <w:t>Most domains were running down their inventories in 2020, but this is especially evident in Visual Arts and Crafts (-R114 million) and Books and Press (-R439 million).</w:t>
                      </w:r>
                    </w:p>
                    <w:p w14:paraId="64545E4B" w14:textId="77777777" w:rsidR="00513E3A" w:rsidRDefault="00513E3A">
                      <w:pPr>
                        <w:spacing w:line="258" w:lineRule="auto"/>
                        <w:textDirection w:val="btLr"/>
                      </w:pPr>
                    </w:p>
                  </w:txbxContent>
                </v:textbox>
                <w10:wrap type="square" anchorx="margin" anchory="margin"/>
              </v:rect>
            </w:pict>
          </mc:Fallback>
        </mc:AlternateContent>
      </w:r>
      <w:r>
        <w:rPr>
          <w:color w:val="5B9BD5"/>
          <w:sz w:val="22"/>
          <w:szCs w:val="22"/>
        </w:rPr>
        <w:t>Summary</w:t>
      </w:r>
    </w:p>
    <w:p w14:paraId="00000005" w14:textId="16D6811B" w:rsidR="00F8269C" w:rsidRPr="00DC2C17" w:rsidRDefault="00450D2D" w:rsidP="00DC2C17">
      <w:pPr>
        <w:jc w:val="both"/>
      </w:pPr>
      <w:bookmarkStart w:id="3" w:name="_heading=h.1fob9te" w:colFirst="0" w:colLast="0"/>
      <w:bookmarkEnd w:id="3"/>
      <w:r w:rsidRPr="00DC2C17">
        <w:t xml:space="preserve">This first chapter of the </w:t>
      </w:r>
      <w:r w:rsidR="007464BF" w:rsidRPr="00DC2C17">
        <w:t xml:space="preserve">2020 Cultural and Creative Industries </w:t>
      </w:r>
      <w:r w:rsidRPr="00DC2C17">
        <w:t>Mapping Study estimates the</w:t>
      </w:r>
      <w:r w:rsidR="007464BF" w:rsidRPr="00DC2C17">
        <w:t xml:space="preserve"> </w:t>
      </w:r>
      <w:r w:rsidRPr="00DC2C17">
        <w:t>macroeconomic contribution of the C</w:t>
      </w:r>
      <w:r w:rsidR="00AE6F6F">
        <w:t>ultural and Creative Industries (CCIs)</w:t>
      </w:r>
      <w:r w:rsidRPr="00DC2C17">
        <w:t xml:space="preserve"> to the </w:t>
      </w:r>
      <w:r w:rsidR="00195565">
        <w:t>gross domestic product (GDP)</w:t>
      </w:r>
      <w:r w:rsidRPr="00DC2C17">
        <w:t xml:space="preserve"> of the country, including the </w:t>
      </w:r>
      <w:sdt>
        <w:sdtPr>
          <w:tag w:val="goog_rdk_0"/>
          <w:id w:val="173533136"/>
        </w:sdtPr>
        <w:sdtEndPr/>
        <w:sdtContent/>
      </w:sdt>
      <w:r w:rsidRPr="00DC2C17">
        <w:t xml:space="preserve">performance </w:t>
      </w:r>
      <w:r w:rsidR="00163C1E" w:rsidRPr="00DC2C17">
        <w:t xml:space="preserve">of </w:t>
      </w:r>
      <w:r w:rsidRPr="00DC2C17">
        <w:t>the domains (using the UNESCO Framework for Cultural Statistics, 2009) over time. Information from official sources as well as reliable national databases was analysed using Input-Output modelling and a Social Accounting Matrix adapted for the CCIs.</w:t>
      </w:r>
    </w:p>
    <w:p w14:paraId="00000006" w14:textId="77777777" w:rsidR="00F8269C" w:rsidRPr="00DC2C17" w:rsidRDefault="00450D2D" w:rsidP="00DC2C17">
      <w:pPr>
        <w:jc w:val="both"/>
      </w:pPr>
      <w:r w:rsidRPr="00DC2C17">
        <w:t>Using the rebased 2015 GDP data, the total Gross Value Added (GVA) of the CCIs was R161 billion in 2020. This represents just under 3% of South Africa’s total economic production in 2020 and makes the sector approximately the same size as agriculture.</w:t>
      </w:r>
    </w:p>
    <w:p w14:paraId="00000007" w14:textId="7DF7A531" w:rsidR="00F8269C" w:rsidRPr="00DC2C17" w:rsidRDefault="00450D2D" w:rsidP="00DC2C17">
      <w:pPr>
        <w:jc w:val="both"/>
      </w:pPr>
      <w:r w:rsidRPr="00DC2C17">
        <w:t>As found in previous mapping studies, the largest domains in terms of contribution to GDP are Design and Creative Services, and Audio-Visual and Interactive Media. The dominance of these domains is expected, since they create cultural and creative content used in film and television, video games, fashion design, architecture and advertising.</w:t>
      </w:r>
    </w:p>
    <w:p w14:paraId="00000008" w14:textId="77777777" w:rsidR="00F8269C" w:rsidRPr="00DC2C17" w:rsidRDefault="00450D2D" w:rsidP="00DC2C17">
      <w:pPr>
        <w:jc w:val="both"/>
      </w:pPr>
      <w:r w:rsidRPr="00DC2C17">
        <w:t>The next largest domains are Visual Arts and Crafts (R23.4 billion in 2020, 15% of the contribution to GDP), and Books and Press (R21.5 billion in 2020, 13% of the contribution to GDP). These are followed by the smaller domains of Performance and Celebration (6%) and Cultural and Natural Heritage (4%).</w:t>
      </w:r>
    </w:p>
    <w:p w14:paraId="00000009" w14:textId="208941D0" w:rsidR="00F8269C" w:rsidRPr="00DC2C17" w:rsidRDefault="00450D2D" w:rsidP="00DC2C17">
      <w:pPr>
        <w:jc w:val="both"/>
      </w:pPr>
      <w:r w:rsidRPr="00DC2C17">
        <w:t xml:space="preserve">Looking at the growth rates between 2018 and 2020, the impact of the slowdown in the economy during 2019 and the COVID-19 lockdowns have resulted in all sectors </w:t>
      </w:r>
      <w:r w:rsidR="001C267C" w:rsidRPr="00DC2C17">
        <w:t xml:space="preserve">showing </w:t>
      </w:r>
      <w:r w:rsidRPr="00DC2C17">
        <w:t>some decline. The most negative</w:t>
      </w:r>
      <w:sdt>
        <w:sdtPr>
          <w:tag w:val="goog_rdk_2"/>
          <w:id w:val="1787773194"/>
        </w:sdtPr>
        <w:sdtEndPr/>
        <w:sdtContent>
          <w:r w:rsidRPr="00DC2C17">
            <w:t>l</w:t>
          </w:r>
          <w:r w:rsidR="00163C1E" w:rsidRPr="00DC2C17">
            <w:t>y</w:t>
          </w:r>
        </w:sdtContent>
      </w:sdt>
      <w:r w:rsidRPr="00DC2C17">
        <w:t xml:space="preserve"> </w:t>
      </w:r>
      <w:sdt>
        <w:sdtPr>
          <w:tag w:val="goog_rdk_3"/>
          <w:id w:val="1891300517"/>
        </w:sdtPr>
        <w:sdtEndPr/>
        <w:sdtContent>
          <w:r w:rsidR="003A4646" w:rsidRPr="00DC2C17">
            <w:t xml:space="preserve">COVID-19 </w:t>
          </w:r>
        </w:sdtContent>
      </w:sdt>
      <w:r w:rsidRPr="00DC2C17">
        <w:t>impacted</w:t>
      </w:r>
      <w:r w:rsidR="003A4646" w:rsidRPr="00DC2C17">
        <w:t xml:space="preserve"> domains</w:t>
      </w:r>
      <w:r w:rsidRPr="00DC2C17">
        <w:t xml:space="preserve"> are the Visual Arts and Crafts (-2.13%), and Books and Press (-1.81%), which together account for nearly a third of CCI output and employment.</w:t>
      </w:r>
    </w:p>
    <w:p w14:paraId="0000000A" w14:textId="77777777" w:rsidR="00F8269C" w:rsidRPr="00DC2C17" w:rsidRDefault="00450D2D" w:rsidP="00DC2C17">
      <w:pPr>
        <w:jc w:val="both"/>
      </w:pPr>
      <w:r w:rsidRPr="00DC2C17">
        <w:t>As found in previous mapping studies, and in the international literature, the creative economy grows quickly when the economy as a whole is doing well but tends to decline more quickly than other sectors when economic growth slows. The CCIs generally performed better in 2017 than the South African economy as a whole. However, the growth rate for the sector slowed down relative to the South African economy from 2018.</w:t>
      </w:r>
    </w:p>
    <w:p w14:paraId="0000000B" w14:textId="4CAE8986" w:rsidR="00F8269C" w:rsidRPr="00DC2C17" w:rsidRDefault="00450D2D" w:rsidP="00DC2C17">
      <w:pPr>
        <w:jc w:val="both"/>
      </w:pPr>
      <w:r w:rsidRPr="00DC2C17">
        <w:t>Type II output multipliers show the backward and forward linkages of a sector to the rest of the economy. All the CCI multipliers are between 3.7 and 4.3, indicating that new spending in the sector can be expected to have large knock-on impacts in the rest of the economy.</w:t>
      </w:r>
    </w:p>
    <w:p w14:paraId="0000000C" w14:textId="5EDEC606" w:rsidR="00F8269C" w:rsidRPr="009D3DA2" w:rsidRDefault="00450D2D" w:rsidP="00DC2C17">
      <w:pPr>
        <w:jc w:val="both"/>
        <w:rPr>
          <w:rFonts w:eastAsia="Palatino Linotype"/>
        </w:rPr>
      </w:pPr>
      <w:r w:rsidRPr="00DC2C17">
        <w:t xml:space="preserve">An innovation of this report is the calculation of the Gini coefficient for each domain’s contribution to household income. The Gini coefficient is </w:t>
      </w:r>
      <w:r w:rsidR="003A4646" w:rsidRPr="00DC2C17">
        <w:t>an indicator</w:t>
      </w:r>
      <w:r w:rsidR="00163C1E" w:rsidRPr="00DC2C17">
        <w:t xml:space="preserve"> of</w:t>
      </w:r>
      <w:r w:rsidRPr="00DC2C17">
        <w:t xml:space="preserve"> inequality, where a higher coefficient indicates more</w:t>
      </w:r>
      <w:r w:rsidR="00856B28" w:rsidRPr="00DC2C17">
        <w:t xml:space="preserve"> inequality.</w:t>
      </w:r>
      <w:r w:rsidRPr="00DC2C17">
        <w:t xml:space="preserve"> The domain with the most</w:t>
      </w:r>
      <w:sdt>
        <w:sdtPr>
          <w:tag w:val="goog_rdk_7"/>
          <w:id w:val="-125861345"/>
        </w:sdtPr>
        <w:sdtEndPr/>
        <w:sdtContent/>
      </w:sdt>
      <w:r w:rsidRPr="00DC2C17">
        <w:t xml:space="preserve"> unequ</w:t>
      </w:r>
      <w:r w:rsidR="00856B28" w:rsidRPr="00DC2C17">
        <w:t xml:space="preserve">al </w:t>
      </w:r>
      <w:r w:rsidRPr="00DC2C17">
        <w:t>distribution</w:t>
      </w:r>
      <w:sdt>
        <w:sdtPr>
          <w:tag w:val="goog_rdk_10"/>
          <w:id w:val="1778680065"/>
        </w:sdtPr>
        <w:sdtEndPr/>
        <w:sdtContent>
          <w:r w:rsidRPr="00DC2C17">
            <w:t xml:space="preserve"> of</w:t>
          </w:r>
        </w:sdtContent>
      </w:sdt>
      <w:r w:rsidRPr="00DC2C17">
        <w:t xml:space="preserve"> income is Visual Arts and Crafts. This domain includes both fine artists whose works sell internationally, </w:t>
      </w:r>
      <w:r w:rsidR="003A4646" w:rsidRPr="00DC2C17">
        <w:t>often</w:t>
      </w:r>
      <w:r w:rsidRPr="00DC2C17">
        <w:t xml:space="preserve"> for very high prices, and crafters who may be operating informally on a small scale. Half of the poorest </w:t>
      </w:r>
      <w:sdt>
        <w:sdtPr>
          <w:tag w:val="goog_rdk_14"/>
          <w:id w:val="993611286"/>
        </w:sdtPr>
        <w:sdtEndPr/>
        <w:sdtContent/>
      </w:sdt>
      <w:r w:rsidRPr="00DC2C17">
        <w:t>household</w:t>
      </w:r>
      <w:r w:rsidR="00163C1E" w:rsidRPr="00DC2C17">
        <w:t>s</w:t>
      </w:r>
      <w:r w:rsidRPr="00DC2C17">
        <w:t xml:space="preserve"> in this domain earn only 8% of total income. Audio-visual and Interactive Media has one of the lower Gini coefficients in the sector. In general, however, the CCIs have a more equal distribution of income than for South Africa as a whole.</w:t>
      </w:r>
    </w:p>
    <w:p w14:paraId="0000000D" w14:textId="7A90DFA2" w:rsidR="00F8269C" w:rsidRDefault="00450D2D" w:rsidP="007464BF">
      <w:pPr>
        <w:keepNext/>
        <w:keepLines/>
        <w:pBdr>
          <w:top w:val="nil"/>
          <w:left w:val="nil"/>
          <w:bottom w:val="nil"/>
          <w:right w:val="nil"/>
          <w:between w:val="nil"/>
        </w:pBdr>
        <w:spacing w:before="240" w:after="0" w:line="240" w:lineRule="auto"/>
        <w:ind w:left="716" w:hanging="432"/>
        <w:jc w:val="both"/>
        <w:rPr>
          <w:rFonts w:ascii="Calibri" w:eastAsia="Calibri" w:hAnsi="Calibri" w:cs="Calibri"/>
          <w:color w:val="2F5496"/>
          <w:sz w:val="28"/>
          <w:szCs w:val="28"/>
        </w:rPr>
      </w:pPr>
      <w:r>
        <w:br w:type="page"/>
      </w:r>
    </w:p>
    <w:sdt>
      <w:sdtPr>
        <w:rPr>
          <w:rFonts w:ascii="Arial" w:eastAsia="Arial" w:hAnsi="Arial" w:cs="Arial"/>
          <w:color w:val="auto"/>
          <w:sz w:val="20"/>
          <w:szCs w:val="20"/>
          <w:lang w:val="en-ZA"/>
        </w:rPr>
        <w:id w:val="-556405373"/>
        <w:docPartObj>
          <w:docPartGallery w:val="Table of Contents"/>
          <w:docPartUnique/>
        </w:docPartObj>
      </w:sdtPr>
      <w:sdtEndPr>
        <w:rPr>
          <w:b/>
          <w:bCs/>
          <w:noProof/>
        </w:rPr>
      </w:sdtEndPr>
      <w:sdtContent>
        <w:p w14:paraId="77071CF7" w14:textId="52CBCC57" w:rsidR="0026734B" w:rsidRDefault="0026734B">
          <w:pPr>
            <w:pStyle w:val="TOCHeading"/>
          </w:pPr>
          <w:r>
            <w:t>Table of Contents</w:t>
          </w:r>
        </w:p>
        <w:p w14:paraId="795A9427" w14:textId="42EE61A6" w:rsidR="0026734B" w:rsidRDefault="0026734B">
          <w:pPr>
            <w:pStyle w:val="TOC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93843325" w:history="1">
            <w:r w:rsidRPr="00A649CD">
              <w:rPr>
                <w:rStyle w:val="Hyperlink"/>
                <w:noProof/>
              </w:rPr>
              <w:t>1</w:t>
            </w:r>
            <w:r>
              <w:rPr>
                <w:rFonts w:asciiTheme="minorHAnsi" w:eastAsiaTheme="minorEastAsia" w:hAnsiTheme="minorHAnsi" w:cstheme="minorBidi"/>
                <w:noProof/>
                <w:sz w:val="22"/>
                <w:szCs w:val="22"/>
              </w:rPr>
              <w:tab/>
            </w:r>
            <w:r w:rsidRPr="00A649CD">
              <w:rPr>
                <w:rStyle w:val="Hyperlink"/>
                <w:noProof/>
              </w:rPr>
              <w:t>Introduction and Background</w:t>
            </w:r>
            <w:r>
              <w:rPr>
                <w:noProof/>
                <w:webHidden/>
              </w:rPr>
              <w:tab/>
            </w:r>
            <w:r>
              <w:rPr>
                <w:noProof/>
                <w:webHidden/>
              </w:rPr>
              <w:fldChar w:fldCharType="begin"/>
            </w:r>
            <w:r>
              <w:rPr>
                <w:noProof/>
                <w:webHidden/>
              </w:rPr>
              <w:instrText xml:space="preserve"> PAGEREF _Toc93843325 \h </w:instrText>
            </w:r>
            <w:r>
              <w:rPr>
                <w:noProof/>
                <w:webHidden/>
              </w:rPr>
            </w:r>
            <w:r>
              <w:rPr>
                <w:noProof/>
                <w:webHidden/>
              </w:rPr>
              <w:fldChar w:fldCharType="separate"/>
            </w:r>
            <w:r>
              <w:rPr>
                <w:noProof/>
                <w:webHidden/>
              </w:rPr>
              <w:t>1</w:t>
            </w:r>
            <w:r>
              <w:rPr>
                <w:noProof/>
                <w:webHidden/>
              </w:rPr>
              <w:fldChar w:fldCharType="end"/>
            </w:r>
          </w:hyperlink>
        </w:p>
        <w:p w14:paraId="22F28837" w14:textId="479603DC" w:rsidR="0026734B" w:rsidRDefault="002475E0">
          <w:pPr>
            <w:pStyle w:val="TOC2"/>
            <w:tabs>
              <w:tab w:val="left" w:pos="880"/>
              <w:tab w:val="right" w:leader="dot" w:pos="9016"/>
            </w:tabs>
            <w:rPr>
              <w:rFonts w:asciiTheme="minorHAnsi" w:eastAsiaTheme="minorEastAsia" w:hAnsiTheme="minorHAnsi" w:cstheme="minorBidi"/>
              <w:noProof/>
              <w:sz w:val="22"/>
              <w:szCs w:val="22"/>
            </w:rPr>
          </w:pPr>
          <w:hyperlink w:anchor="_Toc93843326" w:history="1">
            <w:r w:rsidR="0026734B" w:rsidRPr="00A649CD">
              <w:rPr>
                <w:rStyle w:val="Hyperlink"/>
                <w:noProof/>
              </w:rPr>
              <w:t>1.1</w:t>
            </w:r>
            <w:r w:rsidR="0026734B">
              <w:rPr>
                <w:rFonts w:asciiTheme="minorHAnsi" w:eastAsiaTheme="minorEastAsia" w:hAnsiTheme="minorHAnsi" w:cstheme="minorBidi"/>
                <w:noProof/>
                <w:sz w:val="22"/>
                <w:szCs w:val="22"/>
              </w:rPr>
              <w:tab/>
            </w:r>
            <w:r w:rsidR="0026734B" w:rsidRPr="00A649CD">
              <w:rPr>
                <w:rStyle w:val="Hyperlink"/>
                <w:noProof/>
              </w:rPr>
              <w:t>Motivation and Context</w:t>
            </w:r>
            <w:r w:rsidR="0026734B">
              <w:rPr>
                <w:noProof/>
                <w:webHidden/>
              </w:rPr>
              <w:tab/>
            </w:r>
            <w:r w:rsidR="0026734B">
              <w:rPr>
                <w:noProof/>
                <w:webHidden/>
              </w:rPr>
              <w:fldChar w:fldCharType="begin"/>
            </w:r>
            <w:r w:rsidR="0026734B">
              <w:rPr>
                <w:noProof/>
                <w:webHidden/>
              </w:rPr>
              <w:instrText xml:space="preserve"> PAGEREF _Toc93843326 \h </w:instrText>
            </w:r>
            <w:r w:rsidR="0026734B">
              <w:rPr>
                <w:noProof/>
                <w:webHidden/>
              </w:rPr>
            </w:r>
            <w:r w:rsidR="0026734B">
              <w:rPr>
                <w:noProof/>
                <w:webHidden/>
              </w:rPr>
              <w:fldChar w:fldCharType="separate"/>
            </w:r>
            <w:r w:rsidR="0026734B">
              <w:rPr>
                <w:noProof/>
                <w:webHidden/>
              </w:rPr>
              <w:t>1</w:t>
            </w:r>
            <w:r w:rsidR="0026734B">
              <w:rPr>
                <w:noProof/>
                <w:webHidden/>
              </w:rPr>
              <w:fldChar w:fldCharType="end"/>
            </w:r>
          </w:hyperlink>
        </w:p>
        <w:p w14:paraId="4D607D1F" w14:textId="50AF9A51" w:rsidR="0026734B" w:rsidRDefault="002475E0">
          <w:pPr>
            <w:pStyle w:val="TOC2"/>
            <w:tabs>
              <w:tab w:val="left" w:pos="880"/>
              <w:tab w:val="right" w:leader="dot" w:pos="9016"/>
            </w:tabs>
            <w:rPr>
              <w:rFonts w:asciiTheme="minorHAnsi" w:eastAsiaTheme="minorEastAsia" w:hAnsiTheme="minorHAnsi" w:cstheme="minorBidi"/>
              <w:noProof/>
              <w:sz w:val="22"/>
              <w:szCs w:val="22"/>
            </w:rPr>
          </w:pPr>
          <w:hyperlink w:anchor="_Toc93843327" w:history="1">
            <w:r w:rsidR="0026734B" w:rsidRPr="00A649CD">
              <w:rPr>
                <w:rStyle w:val="Hyperlink"/>
                <w:noProof/>
              </w:rPr>
              <w:t>1.2</w:t>
            </w:r>
            <w:r w:rsidR="0026734B">
              <w:rPr>
                <w:rFonts w:asciiTheme="minorHAnsi" w:eastAsiaTheme="minorEastAsia" w:hAnsiTheme="minorHAnsi" w:cstheme="minorBidi"/>
                <w:noProof/>
                <w:sz w:val="22"/>
                <w:szCs w:val="22"/>
              </w:rPr>
              <w:tab/>
            </w:r>
            <w:r w:rsidR="0026734B" w:rsidRPr="00A649CD">
              <w:rPr>
                <w:rStyle w:val="Hyperlink"/>
                <w:noProof/>
              </w:rPr>
              <w:t>Review of Studies on the Impact of COVID-19 on the Cultural and Creative Industries</w:t>
            </w:r>
            <w:r w:rsidR="0026734B">
              <w:rPr>
                <w:noProof/>
                <w:webHidden/>
              </w:rPr>
              <w:tab/>
            </w:r>
            <w:r w:rsidR="0026734B">
              <w:rPr>
                <w:noProof/>
                <w:webHidden/>
              </w:rPr>
              <w:fldChar w:fldCharType="begin"/>
            </w:r>
            <w:r w:rsidR="0026734B">
              <w:rPr>
                <w:noProof/>
                <w:webHidden/>
              </w:rPr>
              <w:instrText xml:space="preserve"> PAGEREF _Toc93843327 \h </w:instrText>
            </w:r>
            <w:r w:rsidR="0026734B">
              <w:rPr>
                <w:noProof/>
                <w:webHidden/>
              </w:rPr>
            </w:r>
            <w:r w:rsidR="0026734B">
              <w:rPr>
                <w:noProof/>
                <w:webHidden/>
              </w:rPr>
              <w:fldChar w:fldCharType="separate"/>
            </w:r>
            <w:r w:rsidR="0026734B">
              <w:rPr>
                <w:noProof/>
                <w:webHidden/>
              </w:rPr>
              <w:t>2</w:t>
            </w:r>
            <w:r w:rsidR="0026734B">
              <w:rPr>
                <w:noProof/>
                <w:webHidden/>
              </w:rPr>
              <w:fldChar w:fldCharType="end"/>
            </w:r>
          </w:hyperlink>
        </w:p>
        <w:p w14:paraId="09ACF19F" w14:textId="6C319446" w:rsidR="0026734B" w:rsidRDefault="002475E0">
          <w:pPr>
            <w:pStyle w:val="TOC1"/>
            <w:rPr>
              <w:rFonts w:asciiTheme="minorHAnsi" w:eastAsiaTheme="minorEastAsia" w:hAnsiTheme="minorHAnsi" w:cstheme="minorBidi"/>
              <w:noProof/>
              <w:sz w:val="22"/>
              <w:szCs w:val="22"/>
            </w:rPr>
          </w:pPr>
          <w:hyperlink w:anchor="_Toc93843328" w:history="1">
            <w:r w:rsidR="0026734B" w:rsidRPr="00A649CD">
              <w:rPr>
                <w:rStyle w:val="Hyperlink"/>
                <w:noProof/>
              </w:rPr>
              <w:t>2</w:t>
            </w:r>
            <w:r w:rsidR="0026734B">
              <w:rPr>
                <w:rFonts w:asciiTheme="minorHAnsi" w:eastAsiaTheme="minorEastAsia" w:hAnsiTheme="minorHAnsi" w:cstheme="minorBidi"/>
                <w:noProof/>
                <w:sz w:val="22"/>
                <w:szCs w:val="22"/>
              </w:rPr>
              <w:tab/>
            </w:r>
            <w:r w:rsidR="0026734B" w:rsidRPr="00A649CD">
              <w:rPr>
                <w:rStyle w:val="Hyperlink"/>
                <w:noProof/>
              </w:rPr>
              <w:t>The Macroeconomic Impact Modelling System</w:t>
            </w:r>
            <w:r w:rsidR="0026734B">
              <w:rPr>
                <w:noProof/>
                <w:webHidden/>
              </w:rPr>
              <w:tab/>
            </w:r>
            <w:r w:rsidR="0026734B">
              <w:rPr>
                <w:noProof/>
                <w:webHidden/>
              </w:rPr>
              <w:fldChar w:fldCharType="begin"/>
            </w:r>
            <w:r w:rsidR="0026734B">
              <w:rPr>
                <w:noProof/>
                <w:webHidden/>
              </w:rPr>
              <w:instrText xml:space="preserve"> PAGEREF _Toc93843328 \h </w:instrText>
            </w:r>
            <w:r w:rsidR="0026734B">
              <w:rPr>
                <w:noProof/>
                <w:webHidden/>
              </w:rPr>
            </w:r>
            <w:r w:rsidR="0026734B">
              <w:rPr>
                <w:noProof/>
                <w:webHidden/>
              </w:rPr>
              <w:fldChar w:fldCharType="separate"/>
            </w:r>
            <w:r w:rsidR="0026734B">
              <w:rPr>
                <w:noProof/>
                <w:webHidden/>
              </w:rPr>
              <w:t>4</w:t>
            </w:r>
            <w:r w:rsidR="0026734B">
              <w:rPr>
                <w:noProof/>
                <w:webHidden/>
              </w:rPr>
              <w:fldChar w:fldCharType="end"/>
            </w:r>
          </w:hyperlink>
        </w:p>
        <w:p w14:paraId="4ABE0EB1" w14:textId="2BD2AF03" w:rsidR="0026734B" w:rsidRDefault="002475E0">
          <w:pPr>
            <w:pStyle w:val="TOC2"/>
            <w:tabs>
              <w:tab w:val="left" w:pos="880"/>
              <w:tab w:val="right" w:leader="dot" w:pos="9016"/>
            </w:tabs>
            <w:rPr>
              <w:rFonts w:asciiTheme="minorHAnsi" w:eastAsiaTheme="minorEastAsia" w:hAnsiTheme="minorHAnsi" w:cstheme="minorBidi"/>
              <w:noProof/>
              <w:sz w:val="22"/>
              <w:szCs w:val="22"/>
            </w:rPr>
          </w:pPr>
          <w:hyperlink w:anchor="_Toc93843329" w:history="1">
            <w:r w:rsidR="0026734B" w:rsidRPr="00A649CD">
              <w:rPr>
                <w:rStyle w:val="Hyperlink"/>
                <w:noProof/>
              </w:rPr>
              <w:t>2.1</w:t>
            </w:r>
            <w:r w:rsidR="0026734B">
              <w:rPr>
                <w:rFonts w:asciiTheme="minorHAnsi" w:eastAsiaTheme="minorEastAsia" w:hAnsiTheme="minorHAnsi" w:cstheme="minorBidi"/>
                <w:noProof/>
                <w:sz w:val="22"/>
                <w:szCs w:val="22"/>
              </w:rPr>
              <w:tab/>
            </w:r>
            <w:r w:rsidR="0026734B" w:rsidRPr="00A649CD">
              <w:rPr>
                <w:rStyle w:val="Hyperlink"/>
                <w:noProof/>
              </w:rPr>
              <w:t>Toward a Cultural Satellite Account</w:t>
            </w:r>
            <w:r w:rsidR="0026734B">
              <w:rPr>
                <w:noProof/>
                <w:webHidden/>
              </w:rPr>
              <w:tab/>
            </w:r>
            <w:r w:rsidR="0026734B">
              <w:rPr>
                <w:noProof/>
                <w:webHidden/>
              </w:rPr>
              <w:fldChar w:fldCharType="begin"/>
            </w:r>
            <w:r w:rsidR="0026734B">
              <w:rPr>
                <w:noProof/>
                <w:webHidden/>
              </w:rPr>
              <w:instrText xml:space="preserve"> PAGEREF _Toc93843329 \h </w:instrText>
            </w:r>
            <w:r w:rsidR="0026734B">
              <w:rPr>
                <w:noProof/>
                <w:webHidden/>
              </w:rPr>
            </w:r>
            <w:r w:rsidR="0026734B">
              <w:rPr>
                <w:noProof/>
                <w:webHidden/>
              </w:rPr>
              <w:fldChar w:fldCharType="separate"/>
            </w:r>
            <w:r w:rsidR="0026734B">
              <w:rPr>
                <w:noProof/>
                <w:webHidden/>
              </w:rPr>
              <w:t>5</w:t>
            </w:r>
            <w:r w:rsidR="0026734B">
              <w:rPr>
                <w:noProof/>
                <w:webHidden/>
              </w:rPr>
              <w:fldChar w:fldCharType="end"/>
            </w:r>
          </w:hyperlink>
        </w:p>
        <w:p w14:paraId="78468366" w14:textId="03CBA035" w:rsidR="0026734B" w:rsidRDefault="002475E0">
          <w:pPr>
            <w:pStyle w:val="TOC2"/>
            <w:tabs>
              <w:tab w:val="left" w:pos="880"/>
              <w:tab w:val="right" w:leader="dot" w:pos="9016"/>
            </w:tabs>
            <w:rPr>
              <w:rFonts w:asciiTheme="minorHAnsi" w:eastAsiaTheme="minorEastAsia" w:hAnsiTheme="minorHAnsi" w:cstheme="minorBidi"/>
              <w:noProof/>
              <w:sz w:val="22"/>
              <w:szCs w:val="22"/>
            </w:rPr>
          </w:pPr>
          <w:hyperlink w:anchor="_Toc93843330" w:history="1">
            <w:r w:rsidR="0026734B" w:rsidRPr="00A649CD">
              <w:rPr>
                <w:rStyle w:val="Hyperlink"/>
                <w:noProof/>
              </w:rPr>
              <w:t>2.2</w:t>
            </w:r>
            <w:r w:rsidR="0026734B">
              <w:rPr>
                <w:rFonts w:asciiTheme="minorHAnsi" w:eastAsiaTheme="minorEastAsia" w:hAnsiTheme="minorHAnsi" w:cstheme="minorBidi"/>
                <w:noProof/>
                <w:sz w:val="22"/>
                <w:szCs w:val="22"/>
              </w:rPr>
              <w:tab/>
            </w:r>
            <w:r w:rsidR="0026734B" w:rsidRPr="00A649CD">
              <w:rPr>
                <w:rStyle w:val="Hyperlink"/>
                <w:noProof/>
              </w:rPr>
              <w:t>Classification of CCIs</w:t>
            </w:r>
            <w:r w:rsidR="0026734B">
              <w:rPr>
                <w:noProof/>
                <w:webHidden/>
              </w:rPr>
              <w:tab/>
            </w:r>
            <w:r w:rsidR="0026734B">
              <w:rPr>
                <w:noProof/>
                <w:webHidden/>
              </w:rPr>
              <w:fldChar w:fldCharType="begin"/>
            </w:r>
            <w:r w:rsidR="0026734B">
              <w:rPr>
                <w:noProof/>
                <w:webHidden/>
              </w:rPr>
              <w:instrText xml:space="preserve"> PAGEREF _Toc93843330 \h </w:instrText>
            </w:r>
            <w:r w:rsidR="0026734B">
              <w:rPr>
                <w:noProof/>
                <w:webHidden/>
              </w:rPr>
            </w:r>
            <w:r w:rsidR="0026734B">
              <w:rPr>
                <w:noProof/>
                <w:webHidden/>
              </w:rPr>
              <w:fldChar w:fldCharType="separate"/>
            </w:r>
            <w:r w:rsidR="0026734B">
              <w:rPr>
                <w:noProof/>
                <w:webHidden/>
              </w:rPr>
              <w:t>5</w:t>
            </w:r>
            <w:r w:rsidR="0026734B">
              <w:rPr>
                <w:noProof/>
                <w:webHidden/>
              </w:rPr>
              <w:fldChar w:fldCharType="end"/>
            </w:r>
          </w:hyperlink>
        </w:p>
        <w:p w14:paraId="442BDDDC" w14:textId="21D33CCF" w:rsidR="0026734B" w:rsidRDefault="002475E0">
          <w:pPr>
            <w:pStyle w:val="TOC2"/>
            <w:tabs>
              <w:tab w:val="left" w:pos="880"/>
              <w:tab w:val="right" w:leader="dot" w:pos="9016"/>
            </w:tabs>
            <w:rPr>
              <w:rFonts w:asciiTheme="minorHAnsi" w:eastAsiaTheme="minorEastAsia" w:hAnsiTheme="minorHAnsi" w:cstheme="minorBidi"/>
              <w:noProof/>
              <w:sz w:val="22"/>
              <w:szCs w:val="22"/>
            </w:rPr>
          </w:pPr>
          <w:hyperlink w:anchor="_Toc93843331" w:history="1">
            <w:r w:rsidR="0026734B" w:rsidRPr="00A649CD">
              <w:rPr>
                <w:rStyle w:val="Hyperlink"/>
                <w:noProof/>
              </w:rPr>
              <w:t>2.3</w:t>
            </w:r>
            <w:r w:rsidR="0026734B">
              <w:rPr>
                <w:rFonts w:asciiTheme="minorHAnsi" w:eastAsiaTheme="minorEastAsia" w:hAnsiTheme="minorHAnsi" w:cstheme="minorBidi"/>
                <w:noProof/>
                <w:sz w:val="22"/>
                <w:szCs w:val="22"/>
              </w:rPr>
              <w:tab/>
            </w:r>
            <w:r w:rsidR="0026734B" w:rsidRPr="00A649CD">
              <w:rPr>
                <w:rStyle w:val="Hyperlink"/>
                <w:noProof/>
              </w:rPr>
              <w:t>The South African Policy Environment and Rationale for a CSA</w:t>
            </w:r>
            <w:r w:rsidR="0026734B">
              <w:rPr>
                <w:noProof/>
                <w:webHidden/>
              </w:rPr>
              <w:tab/>
            </w:r>
            <w:r w:rsidR="0026734B">
              <w:rPr>
                <w:noProof/>
                <w:webHidden/>
              </w:rPr>
              <w:fldChar w:fldCharType="begin"/>
            </w:r>
            <w:r w:rsidR="0026734B">
              <w:rPr>
                <w:noProof/>
                <w:webHidden/>
              </w:rPr>
              <w:instrText xml:space="preserve"> PAGEREF _Toc93843331 \h </w:instrText>
            </w:r>
            <w:r w:rsidR="0026734B">
              <w:rPr>
                <w:noProof/>
                <w:webHidden/>
              </w:rPr>
            </w:r>
            <w:r w:rsidR="0026734B">
              <w:rPr>
                <w:noProof/>
                <w:webHidden/>
              </w:rPr>
              <w:fldChar w:fldCharType="separate"/>
            </w:r>
            <w:r w:rsidR="0026734B">
              <w:rPr>
                <w:noProof/>
                <w:webHidden/>
              </w:rPr>
              <w:t>7</w:t>
            </w:r>
            <w:r w:rsidR="0026734B">
              <w:rPr>
                <w:noProof/>
                <w:webHidden/>
              </w:rPr>
              <w:fldChar w:fldCharType="end"/>
            </w:r>
          </w:hyperlink>
        </w:p>
        <w:p w14:paraId="61EB19DC" w14:textId="288EDD76" w:rsidR="0026734B" w:rsidRDefault="002475E0">
          <w:pPr>
            <w:pStyle w:val="TOC2"/>
            <w:tabs>
              <w:tab w:val="left" w:pos="880"/>
              <w:tab w:val="right" w:leader="dot" w:pos="9016"/>
            </w:tabs>
            <w:rPr>
              <w:rFonts w:asciiTheme="minorHAnsi" w:eastAsiaTheme="minorEastAsia" w:hAnsiTheme="minorHAnsi" w:cstheme="minorBidi"/>
              <w:noProof/>
              <w:sz w:val="22"/>
              <w:szCs w:val="22"/>
            </w:rPr>
          </w:pPr>
          <w:hyperlink w:anchor="_Toc93843332" w:history="1">
            <w:r w:rsidR="0026734B" w:rsidRPr="00A649CD">
              <w:rPr>
                <w:rStyle w:val="Hyperlink"/>
                <w:noProof/>
              </w:rPr>
              <w:t>2.4</w:t>
            </w:r>
            <w:r w:rsidR="0026734B">
              <w:rPr>
                <w:rFonts w:asciiTheme="minorHAnsi" w:eastAsiaTheme="minorEastAsia" w:hAnsiTheme="minorHAnsi" w:cstheme="minorBidi"/>
                <w:noProof/>
                <w:sz w:val="22"/>
                <w:szCs w:val="22"/>
              </w:rPr>
              <w:tab/>
            </w:r>
            <w:r w:rsidR="0026734B" w:rsidRPr="00A649CD">
              <w:rPr>
                <w:rStyle w:val="Hyperlink"/>
                <w:noProof/>
              </w:rPr>
              <w:t>Methodologies to Develop Satellite Accounts</w:t>
            </w:r>
            <w:r w:rsidR="0026734B">
              <w:rPr>
                <w:noProof/>
                <w:webHidden/>
              </w:rPr>
              <w:tab/>
            </w:r>
            <w:r w:rsidR="0026734B">
              <w:rPr>
                <w:noProof/>
                <w:webHidden/>
              </w:rPr>
              <w:fldChar w:fldCharType="begin"/>
            </w:r>
            <w:r w:rsidR="0026734B">
              <w:rPr>
                <w:noProof/>
                <w:webHidden/>
              </w:rPr>
              <w:instrText xml:space="preserve"> PAGEREF _Toc93843332 \h </w:instrText>
            </w:r>
            <w:r w:rsidR="0026734B">
              <w:rPr>
                <w:noProof/>
                <w:webHidden/>
              </w:rPr>
            </w:r>
            <w:r w:rsidR="0026734B">
              <w:rPr>
                <w:noProof/>
                <w:webHidden/>
              </w:rPr>
              <w:fldChar w:fldCharType="separate"/>
            </w:r>
            <w:r w:rsidR="0026734B">
              <w:rPr>
                <w:noProof/>
                <w:webHidden/>
              </w:rPr>
              <w:t>7</w:t>
            </w:r>
            <w:r w:rsidR="0026734B">
              <w:rPr>
                <w:noProof/>
                <w:webHidden/>
              </w:rPr>
              <w:fldChar w:fldCharType="end"/>
            </w:r>
          </w:hyperlink>
        </w:p>
        <w:p w14:paraId="134BFE11" w14:textId="5075A33F" w:rsidR="0026734B" w:rsidRDefault="002475E0">
          <w:pPr>
            <w:pStyle w:val="TOC3"/>
            <w:tabs>
              <w:tab w:val="left" w:pos="1320"/>
              <w:tab w:val="right" w:leader="dot" w:pos="9016"/>
            </w:tabs>
            <w:rPr>
              <w:rFonts w:asciiTheme="minorHAnsi" w:eastAsiaTheme="minorEastAsia" w:hAnsiTheme="minorHAnsi" w:cstheme="minorBidi"/>
              <w:noProof/>
              <w:sz w:val="22"/>
              <w:szCs w:val="22"/>
            </w:rPr>
          </w:pPr>
          <w:hyperlink w:anchor="_Toc93843333" w:history="1">
            <w:r w:rsidR="0026734B" w:rsidRPr="00A649CD">
              <w:rPr>
                <w:rStyle w:val="Hyperlink"/>
                <w:noProof/>
              </w:rPr>
              <w:t>2.4.1</w:t>
            </w:r>
            <w:r w:rsidR="0026734B">
              <w:rPr>
                <w:rFonts w:asciiTheme="minorHAnsi" w:eastAsiaTheme="minorEastAsia" w:hAnsiTheme="minorHAnsi" w:cstheme="minorBidi"/>
                <w:noProof/>
                <w:sz w:val="22"/>
                <w:szCs w:val="22"/>
              </w:rPr>
              <w:tab/>
            </w:r>
            <w:r w:rsidR="0026734B" w:rsidRPr="00A649CD">
              <w:rPr>
                <w:rStyle w:val="Hyperlink"/>
                <w:noProof/>
              </w:rPr>
              <w:t>Structure of the System of National Accounts</w:t>
            </w:r>
            <w:r w:rsidR="0026734B">
              <w:rPr>
                <w:noProof/>
                <w:webHidden/>
              </w:rPr>
              <w:tab/>
            </w:r>
            <w:r w:rsidR="0026734B">
              <w:rPr>
                <w:noProof/>
                <w:webHidden/>
              </w:rPr>
              <w:fldChar w:fldCharType="begin"/>
            </w:r>
            <w:r w:rsidR="0026734B">
              <w:rPr>
                <w:noProof/>
                <w:webHidden/>
              </w:rPr>
              <w:instrText xml:space="preserve"> PAGEREF _Toc93843333 \h </w:instrText>
            </w:r>
            <w:r w:rsidR="0026734B">
              <w:rPr>
                <w:noProof/>
                <w:webHidden/>
              </w:rPr>
            </w:r>
            <w:r w:rsidR="0026734B">
              <w:rPr>
                <w:noProof/>
                <w:webHidden/>
              </w:rPr>
              <w:fldChar w:fldCharType="separate"/>
            </w:r>
            <w:r w:rsidR="0026734B">
              <w:rPr>
                <w:noProof/>
                <w:webHidden/>
              </w:rPr>
              <w:t>7</w:t>
            </w:r>
            <w:r w:rsidR="0026734B">
              <w:rPr>
                <w:noProof/>
                <w:webHidden/>
              </w:rPr>
              <w:fldChar w:fldCharType="end"/>
            </w:r>
          </w:hyperlink>
        </w:p>
        <w:p w14:paraId="655E904A" w14:textId="7383223B" w:rsidR="0026734B" w:rsidRDefault="002475E0">
          <w:pPr>
            <w:pStyle w:val="TOC3"/>
            <w:tabs>
              <w:tab w:val="left" w:pos="1320"/>
              <w:tab w:val="right" w:leader="dot" w:pos="9016"/>
            </w:tabs>
            <w:rPr>
              <w:rFonts w:asciiTheme="minorHAnsi" w:eastAsiaTheme="minorEastAsia" w:hAnsiTheme="minorHAnsi" w:cstheme="minorBidi"/>
              <w:noProof/>
              <w:sz w:val="22"/>
              <w:szCs w:val="22"/>
            </w:rPr>
          </w:pPr>
          <w:hyperlink w:anchor="_Toc93843334" w:history="1">
            <w:r w:rsidR="0026734B" w:rsidRPr="00A649CD">
              <w:rPr>
                <w:rStyle w:val="Hyperlink"/>
                <w:noProof/>
              </w:rPr>
              <w:t>2.4.2</w:t>
            </w:r>
            <w:r w:rsidR="0026734B">
              <w:rPr>
                <w:rFonts w:asciiTheme="minorHAnsi" w:eastAsiaTheme="minorEastAsia" w:hAnsiTheme="minorHAnsi" w:cstheme="minorBidi"/>
                <w:noProof/>
                <w:sz w:val="22"/>
                <w:szCs w:val="22"/>
              </w:rPr>
              <w:tab/>
            </w:r>
            <w:r w:rsidR="0026734B" w:rsidRPr="00A649CD">
              <w:rPr>
                <w:rStyle w:val="Hyperlink"/>
                <w:noProof/>
              </w:rPr>
              <w:t>Embedding the SNA into a CCI-Input-Output Model</w:t>
            </w:r>
            <w:r w:rsidR="0026734B">
              <w:rPr>
                <w:noProof/>
                <w:webHidden/>
              </w:rPr>
              <w:tab/>
            </w:r>
            <w:r w:rsidR="0026734B">
              <w:rPr>
                <w:noProof/>
                <w:webHidden/>
              </w:rPr>
              <w:fldChar w:fldCharType="begin"/>
            </w:r>
            <w:r w:rsidR="0026734B">
              <w:rPr>
                <w:noProof/>
                <w:webHidden/>
              </w:rPr>
              <w:instrText xml:space="preserve"> PAGEREF _Toc93843334 \h </w:instrText>
            </w:r>
            <w:r w:rsidR="0026734B">
              <w:rPr>
                <w:noProof/>
                <w:webHidden/>
              </w:rPr>
            </w:r>
            <w:r w:rsidR="0026734B">
              <w:rPr>
                <w:noProof/>
                <w:webHidden/>
              </w:rPr>
              <w:fldChar w:fldCharType="separate"/>
            </w:r>
            <w:r w:rsidR="0026734B">
              <w:rPr>
                <w:noProof/>
                <w:webHidden/>
              </w:rPr>
              <w:t>8</w:t>
            </w:r>
            <w:r w:rsidR="0026734B">
              <w:rPr>
                <w:noProof/>
                <w:webHidden/>
              </w:rPr>
              <w:fldChar w:fldCharType="end"/>
            </w:r>
          </w:hyperlink>
        </w:p>
        <w:p w14:paraId="77D256F9" w14:textId="6C8B312F" w:rsidR="0026734B" w:rsidRDefault="002475E0">
          <w:pPr>
            <w:pStyle w:val="TOC3"/>
            <w:tabs>
              <w:tab w:val="left" w:pos="1320"/>
              <w:tab w:val="right" w:leader="dot" w:pos="9016"/>
            </w:tabs>
            <w:rPr>
              <w:rFonts w:asciiTheme="minorHAnsi" w:eastAsiaTheme="minorEastAsia" w:hAnsiTheme="minorHAnsi" w:cstheme="minorBidi"/>
              <w:noProof/>
              <w:sz w:val="22"/>
              <w:szCs w:val="22"/>
            </w:rPr>
          </w:pPr>
          <w:hyperlink w:anchor="_Toc93843335" w:history="1">
            <w:r w:rsidR="0026734B" w:rsidRPr="00A649CD">
              <w:rPr>
                <w:rStyle w:val="Hyperlink"/>
                <w:noProof/>
              </w:rPr>
              <w:t>2.4.3</w:t>
            </w:r>
            <w:r w:rsidR="0026734B">
              <w:rPr>
                <w:rFonts w:asciiTheme="minorHAnsi" w:eastAsiaTheme="minorEastAsia" w:hAnsiTheme="minorHAnsi" w:cstheme="minorBidi"/>
                <w:noProof/>
                <w:sz w:val="22"/>
                <w:szCs w:val="22"/>
              </w:rPr>
              <w:tab/>
            </w:r>
            <w:r w:rsidR="0026734B" w:rsidRPr="00A649CD">
              <w:rPr>
                <w:rStyle w:val="Hyperlink"/>
                <w:noProof/>
              </w:rPr>
              <w:t>Methodology</w:t>
            </w:r>
            <w:r w:rsidR="0026734B">
              <w:rPr>
                <w:noProof/>
                <w:webHidden/>
              </w:rPr>
              <w:tab/>
            </w:r>
            <w:r w:rsidR="0026734B">
              <w:rPr>
                <w:noProof/>
                <w:webHidden/>
              </w:rPr>
              <w:fldChar w:fldCharType="begin"/>
            </w:r>
            <w:r w:rsidR="0026734B">
              <w:rPr>
                <w:noProof/>
                <w:webHidden/>
              </w:rPr>
              <w:instrText xml:space="preserve"> PAGEREF _Toc93843335 \h </w:instrText>
            </w:r>
            <w:r w:rsidR="0026734B">
              <w:rPr>
                <w:noProof/>
                <w:webHidden/>
              </w:rPr>
            </w:r>
            <w:r w:rsidR="0026734B">
              <w:rPr>
                <w:noProof/>
                <w:webHidden/>
              </w:rPr>
              <w:fldChar w:fldCharType="separate"/>
            </w:r>
            <w:r w:rsidR="0026734B">
              <w:rPr>
                <w:noProof/>
                <w:webHidden/>
              </w:rPr>
              <w:t>9</w:t>
            </w:r>
            <w:r w:rsidR="0026734B">
              <w:rPr>
                <w:noProof/>
                <w:webHidden/>
              </w:rPr>
              <w:fldChar w:fldCharType="end"/>
            </w:r>
          </w:hyperlink>
        </w:p>
        <w:p w14:paraId="5B5F8478" w14:textId="7F8FE9E3" w:rsidR="0026734B" w:rsidRDefault="002475E0">
          <w:pPr>
            <w:pStyle w:val="TOC3"/>
            <w:tabs>
              <w:tab w:val="left" w:pos="1320"/>
              <w:tab w:val="right" w:leader="dot" w:pos="9016"/>
            </w:tabs>
            <w:rPr>
              <w:rFonts w:asciiTheme="minorHAnsi" w:eastAsiaTheme="minorEastAsia" w:hAnsiTheme="minorHAnsi" w:cstheme="minorBidi"/>
              <w:noProof/>
              <w:sz w:val="22"/>
              <w:szCs w:val="22"/>
            </w:rPr>
          </w:pPr>
          <w:hyperlink w:anchor="_Toc93843336" w:history="1">
            <w:r w:rsidR="0026734B" w:rsidRPr="00A649CD">
              <w:rPr>
                <w:rStyle w:val="Hyperlink"/>
                <w:noProof/>
              </w:rPr>
              <w:t>2.4.4</w:t>
            </w:r>
            <w:r w:rsidR="0026734B">
              <w:rPr>
                <w:rFonts w:asciiTheme="minorHAnsi" w:eastAsiaTheme="minorEastAsia" w:hAnsiTheme="minorHAnsi" w:cstheme="minorBidi"/>
                <w:noProof/>
                <w:sz w:val="22"/>
                <w:szCs w:val="22"/>
              </w:rPr>
              <w:tab/>
            </w:r>
            <w:r w:rsidR="0026734B" w:rsidRPr="00A649CD">
              <w:rPr>
                <w:rStyle w:val="Hyperlink"/>
                <w:noProof/>
              </w:rPr>
              <w:t>Disaggregating the SNA Data</w:t>
            </w:r>
            <w:r w:rsidR="0026734B">
              <w:rPr>
                <w:noProof/>
                <w:webHidden/>
              </w:rPr>
              <w:tab/>
            </w:r>
            <w:r w:rsidR="0026734B">
              <w:rPr>
                <w:noProof/>
                <w:webHidden/>
              </w:rPr>
              <w:fldChar w:fldCharType="begin"/>
            </w:r>
            <w:r w:rsidR="0026734B">
              <w:rPr>
                <w:noProof/>
                <w:webHidden/>
              </w:rPr>
              <w:instrText xml:space="preserve"> PAGEREF _Toc93843336 \h </w:instrText>
            </w:r>
            <w:r w:rsidR="0026734B">
              <w:rPr>
                <w:noProof/>
                <w:webHidden/>
              </w:rPr>
            </w:r>
            <w:r w:rsidR="0026734B">
              <w:rPr>
                <w:noProof/>
                <w:webHidden/>
              </w:rPr>
              <w:fldChar w:fldCharType="separate"/>
            </w:r>
            <w:r w:rsidR="0026734B">
              <w:rPr>
                <w:noProof/>
                <w:webHidden/>
              </w:rPr>
              <w:t>9</w:t>
            </w:r>
            <w:r w:rsidR="0026734B">
              <w:rPr>
                <w:noProof/>
                <w:webHidden/>
              </w:rPr>
              <w:fldChar w:fldCharType="end"/>
            </w:r>
          </w:hyperlink>
        </w:p>
        <w:p w14:paraId="7A69CCBA" w14:textId="1C1071D0" w:rsidR="0026734B" w:rsidRDefault="002475E0">
          <w:pPr>
            <w:pStyle w:val="TOC3"/>
            <w:tabs>
              <w:tab w:val="left" w:pos="1320"/>
              <w:tab w:val="right" w:leader="dot" w:pos="9016"/>
            </w:tabs>
            <w:rPr>
              <w:rFonts w:asciiTheme="minorHAnsi" w:eastAsiaTheme="minorEastAsia" w:hAnsiTheme="minorHAnsi" w:cstheme="minorBidi"/>
              <w:noProof/>
              <w:sz w:val="22"/>
              <w:szCs w:val="22"/>
            </w:rPr>
          </w:pPr>
          <w:hyperlink w:anchor="_Toc93843337" w:history="1">
            <w:r w:rsidR="0026734B" w:rsidRPr="00A649CD">
              <w:rPr>
                <w:rStyle w:val="Hyperlink"/>
                <w:noProof/>
              </w:rPr>
              <w:t>2.4.5</w:t>
            </w:r>
            <w:r w:rsidR="0026734B">
              <w:rPr>
                <w:rFonts w:asciiTheme="minorHAnsi" w:eastAsiaTheme="minorEastAsia" w:hAnsiTheme="minorHAnsi" w:cstheme="minorBidi"/>
                <w:noProof/>
                <w:sz w:val="22"/>
                <w:szCs w:val="22"/>
              </w:rPr>
              <w:tab/>
            </w:r>
            <w:r w:rsidR="0026734B" w:rsidRPr="00A649CD">
              <w:rPr>
                <w:rStyle w:val="Hyperlink"/>
                <w:noProof/>
              </w:rPr>
              <w:t>Establishing the Magnitude of the Cultural and Creative Industries</w:t>
            </w:r>
            <w:r w:rsidR="0026734B">
              <w:rPr>
                <w:noProof/>
                <w:webHidden/>
              </w:rPr>
              <w:tab/>
            </w:r>
            <w:r w:rsidR="0026734B">
              <w:rPr>
                <w:noProof/>
                <w:webHidden/>
              </w:rPr>
              <w:fldChar w:fldCharType="begin"/>
            </w:r>
            <w:r w:rsidR="0026734B">
              <w:rPr>
                <w:noProof/>
                <w:webHidden/>
              </w:rPr>
              <w:instrText xml:space="preserve"> PAGEREF _Toc93843337 \h </w:instrText>
            </w:r>
            <w:r w:rsidR="0026734B">
              <w:rPr>
                <w:noProof/>
                <w:webHidden/>
              </w:rPr>
            </w:r>
            <w:r w:rsidR="0026734B">
              <w:rPr>
                <w:noProof/>
                <w:webHidden/>
              </w:rPr>
              <w:fldChar w:fldCharType="separate"/>
            </w:r>
            <w:r w:rsidR="0026734B">
              <w:rPr>
                <w:noProof/>
                <w:webHidden/>
              </w:rPr>
              <w:t>9</w:t>
            </w:r>
            <w:r w:rsidR="0026734B">
              <w:rPr>
                <w:noProof/>
                <w:webHidden/>
              </w:rPr>
              <w:fldChar w:fldCharType="end"/>
            </w:r>
          </w:hyperlink>
        </w:p>
        <w:p w14:paraId="47DFF34E" w14:textId="4A12DE13" w:rsidR="0026734B" w:rsidRDefault="002475E0">
          <w:pPr>
            <w:pStyle w:val="TOC3"/>
            <w:tabs>
              <w:tab w:val="left" w:pos="1320"/>
              <w:tab w:val="right" w:leader="dot" w:pos="9016"/>
            </w:tabs>
            <w:rPr>
              <w:rFonts w:asciiTheme="minorHAnsi" w:eastAsiaTheme="minorEastAsia" w:hAnsiTheme="minorHAnsi" w:cstheme="minorBidi"/>
              <w:noProof/>
              <w:sz w:val="22"/>
              <w:szCs w:val="22"/>
            </w:rPr>
          </w:pPr>
          <w:hyperlink w:anchor="_Toc93843338" w:history="1">
            <w:r w:rsidR="0026734B" w:rsidRPr="00A649CD">
              <w:rPr>
                <w:rStyle w:val="Hyperlink"/>
                <w:noProof/>
              </w:rPr>
              <w:t>2.4.6</w:t>
            </w:r>
            <w:r w:rsidR="0026734B">
              <w:rPr>
                <w:rFonts w:asciiTheme="minorHAnsi" w:eastAsiaTheme="minorEastAsia" w:hAnsiTheme="minorHAnsi" w:cstheme="minorBidi"/>
                <w:noProof/>
                <w:sz w:val="22"/>
                <w:szCs w:val="22"/>
              </w:rPr>
              <w:tab/>
            </w:r>
            <w:r w:rsidR="0026734B" w:rsidRPr="00A649CD">
              <w:rPr>
                <w:rStyle w:val="Hyperlink"/>
                <w:noProof/>
              </w:rPr>
              <w:t>Structure of the CCI Satellite Account for South Africa</w:t>
            </w:r>
            <w:r w:rsidR="0026734B">
              <w:rPr>
                <w:noProof/>
                <w:webHidden/>
              </w:rPr>
              <w:tab/>
            </w:r>
            <w:r w:rsidR="0026734B">
              <w:rPr>
                <w:noProof/>
                <w:webHidden/>
              </w:rPr>
              <w:fldChar w:fldCharType="begin"/>
            </w:r>
            <w:r w:rsidR="0026734B">
              <w:rPr>
                <w:noProof/>
                <w:webHidden/>
              </w:rPr>
              <w:instrText xml:space="preserve"> PAGEREF _Toc93843338 \h </w:instrText>
            </w:r>
            <w:r w:rsidR="0026734B">
              <w:rPr>
                <w:noProof/>
                <w:webHidden/>
              </w:rPr>
            </w:r>
            <w:r w:rsidR="0026734B">
              <w:rPr>
                <w:noProof/>
                <w:webHidden/>
              </w:rPr>
              <w:fldChar w:fldCharType="separate"/>
            </w:r>
            <w:r w:rsidR="0026734B">
              <w:rPr>
                <w:noProof/>
                <w:webHidden/>
              </w:rPr>
              <w:t>10</w:t>
            </w:r>
            <w:r w:rsidR="0026734B">
              <w:rPr>
                <w:noProof/>
                <w:webHidden/>
              </w:rPr>
              <w:fldChar w:fldCharType="end"/>
            </w:r>
          </w:hyperlink>
        </w:p>
        <w:p w14:paraId="7585DB5D" w14:textId="2ACD6937" w:rsidR="0026734B" w:rsidRDefault="002475E0">
          <w:pPr>
            <w:pStyle w:val="TOC3"/>
            <w:tabs>
              <w:tab w:val="left" w:pos="1320"/>
              <w:tab w:val="right" w:leader="dot" w:pos="9016"/>
            </w:tabs>
            <w:rPr>
              <w:rFonts w:asciiTheme="minorHAnsi" w:eastAsiaTheme="minorEastAsia" w:hAnsiTheme="minorHAnsi" w:cstheme="minorBidi"/>
              <w:noProof/>
              <w:sz w:val="22"/>
              <w:szCs w:val="22"/>
            </w:rPr>
          </w:pPr>
          <w:hyperlink w:anchor="_Toc93843339" w:history="1">
            <w:r w:rsidR="0026734B" w:rsidRPr="00A649CD">
              <w:rPr>
                <w:rStyle w:val="Hyperlink"/>
                <w:noProof/>
              </w:rPr>
              <w:t>2.4.7</w:t>
            </w:r>
            <w:r w:rsidR="0026734B">
              <w:rPr>
                <w:rFonts w:asciiTheme="minorHAnsi" w:eastAsiaTheme="minorEastAsia" w:hAnsiTheme="minorHAnsi" w:cstheme="minorBidi"/>
                <w:noProof/>
                <w:sz w:val="22"/>
                <w:szCs w:val="22"/>
              </w:rPr>
              <w:tab/>
            </w:r>
            <w:r w:rsidR="0026734B" w:rsidRPr="00A649CD">
              <w:rPr>
                <w:rStyle w:val="Hyperlink"/>
                <w:noProof/>
              </w:rPr>
              <w:t>Data</w:t>
            </w:r>
            <w:r w:rsidR="0026734B">
              <w:rPr>
                <w:noProof/>
                <w:webHidden/>
              </w:rPr>
              <w:tab/>
            </w:r>
            <w:r w:rsidR="0026734B">
              <w:rPr>
                <w:noProof/>
                <w:webHidden/>
              </w:rPr>
              <w:fldChar w:fldCharType="begin"/>
            </w:r>
            <w:r w:rsidR="0026734B">
              <w:rPr>
                <w:noProof/>
                <w:webHidden/>
              </w:rPr>
              <w:instrText xml:space="preserve"> PAGEREF _Toc93843339 \h </w:instrText>
            </w:r>
            <w:r w:rsidR="0026734B">
              <w:rPr>
                <w:noProof/>
                <w:webHidden/>
              </w:rPr>
            </w:r>
            <w:r w:rsidR="0026734B">
              <w:rPr>
                <w:noProof/>
                <w:webHidden/>
              </w:rPr>
              <w:fldChar w:fldCharType="separate"/>
            </w:r>
            <w:r w:rsidR="0026734B">
              <w:rPr>
                <w:noProof/>
                <w:webHidden/>
              </w:rPr>
              <w:t>10</w:t>
            </w:r>
            <w:r w:rsidR="0026734B">
              <w:rPr>
                <w:noProof/>
                <w:webHidden/>
              </w:rPr>
              <w:fldChar w:fldCharType="end"/>
            </w:r>
          </w:hyperlink>
        </w:p>
        <w:p w14:paraId="2B3D6B6F" w14:textId="3CD96F6A" w:rsidR="0026734B" w:rsidRDefault="002475E0">
          <w:pPr>
            <w:pStyle w:val="TOC3"/>
            <w:tabs>
              <w:tab w:val="left" w:pos="1320"/>
              <w:tab w:val="right" w:leader="dot" w:pos="9016"/>
            </w:tabs>
            <w:rPr>
              <w:rFonts w:asciiTheme="minorHAnsi" w:eastAsiaTheme="minorEastAsia" w:hAnsiTheme="minorHAnsi" w:cstheme="minorBidi"/>
              <w:noProof/>
              <w:sz w:val="22"/>
              <w:szCs w:val="22"/>
            </w:rPr>
          </w:pPr>
          <w:hyperlink w:anchor="_Toc93843340" w:history="1">
            <w:r w:rsidR="0026734B" w:rsidRPr="00A649CD">
              <w:rPr>
                <w:rStyle w:val="Hyperlink"/>
                <w:noProof/>
              </w:rPr>
              <w:t>2.4.8</w:t>
            </w:r>
            <w:r w:rsidR="0026734B">
              <w:rPr>
                <w:rFonts w:asciiTheme="minorHAnsi" w:eastAsiaTheme="minorEastAsia" w:hAnsiTheme="minorHAnsi" w:cstheme="minorBidi"/>
                <w:noProof/>
                <w:sz w:val="22"/>
                <w:szCs w:val="22"/>
              </w:rPr>
              <w:tab/>
            </w:r>
            <w:r w:rsidR="0026734B" w:rsidRPr="00A649CD">
              <w:rPr>
                <w:rStyle w:val="Hyperlink"/>
                <w:noProof/>
              </w:rPr>
              <w:t>Caveats</w:t>
            </w:r>
            <w:r w:rsidR="0026734B">
              <w:rPr>
                <w:noProof/>
                <w:webHidden/>
              </w:rPr>
              <w:tab/>
            </w:r>
            <w:r w:rsidR="0026734B">
              <w:rPr>
                <w:noProof/>
                <w:webHidden/>
              </w:rPr>
              <w:fldChar w:fldCharType="begin"/>
            </w:r>
            <w:r w:rsidR="0026734B">
              <w:rPr>
                <w:noProof/>
                <w:webHidden/>
              </w:rPr>
              <w:instrText xml:space="preserve"> PAGEREF _Toc93843340 \h </w:instrText>
            </w:r>
            <w:r w:rsidR="0026734B">
              <w:rPr>
                <w:noProof/>
                <w:webHidden/>
              </w:rPr>
            </w:r>
            <w:r w:rsidR="0026734B">
              <w:rPr>
                <w:noProof/>
                <w:webHidden/>
              </w:rPr>
              <w:fldChar w:fldCharType="separate"/>
            </w:r>
            <w:r w:rsidR="0026734B">
              <w:rPr>
                <w:noProof/>
                <w:webHidden/>
              </w:rPr>
              <w:t>11</w:t>
            </w:r>
            <w:r w:rsidR="0026734B">
              <w:rPr>
                <w:noProof/>
                <w:webHidden/>
              </w:rPr>
              <w:fldChar w:fldCharType="end"/>
            </w:r>
          </w:hyperlink>
        </w:p>
        <w:p w14:paraId="6E4F437C" w14:textId="1251584A" w:rsidR="0026734B" w:rsidRDefault="002475E0">
          <w:pPr>
            <w:pStyle w:val="TOC2"/>
            <w:tabs>
              <w:tab w:val="left" w:pos="880"/>
              <w:tab w:val="right" w:leader="dot" w:pos="9016"/>
            </w:tabs>
            <w:rPr>
              <w:rFonts w:asciiTheme="minorHAnsi" w:eastAsiaTheme="minorEastAsia" w:hAnsiTheme="minorHAnsi" w:cstheme="minorBidi"/>
              <w:noProof/>
              <w:sz w:val="22"/>
              <w:szCs w:val="22"/>
            </w:rPr>
          </w:pPr>
          <w:hyperlink w:anchor="_Toc93843341" w:history="1">
            <w:r w:rsidR="0026734B" w:rsidRPr="00A649CD">
              <w:rPr>
                <w:rStyle w:val="Hyperlink"/>
                <w:noProof/>
              </w:rPr>
              <w:t>2.5</w:t>
            </w:r>
            <w:r w:rsidR="0026734B">
              <w:rPr>
                <w:rFonts w:asciiTheme="minorHAnsi" w:eastAsiaTheme="minorEastAsia" w:hAnsiTheme="minorHAnsi" w:cstheme="minorBidi"/>
                <w:noProof/>
                <w:sz w:val="22"/>
                <w:szCs w:val="22"/>
              </w:rPr>
              <w:tab/>
            </w:r>
            <w:r w:rsidR="0026734B" w:rsidRPr="00A649CD">
              <w:rPr>
                <w:rStyle w:val="Hyperlink"/>
                <w:noProof/>
              </w:rPr>
              <w:t>A South African Cultural Satellite Account</w:t>
            </w:r>
            <w:r w:rsidR="0026734B">
              <w:rPr>
                <w:noProof/>
                <w:webHidden/>
              </w:rPr>
              <w:tab/>
            </w:r>
            <w:r w:rsidR="0026734B">
              <w:rPr>
                <w:noProof/>
                <w:webHidden/>
              </w:rPr>
              <w:fldChar w:fldCharType="begin"/>
            </w:r>
            <w:r w:rsidR="0026734B">
              <w:rPr>
                <w:noProof/>
                <w:webHidden/>
              </w:rPr>
              <w:instrText xml:space="preserve"> PAGEREF _Toc93843341 \h </w:instrText>
            </w:r>
            <w:r w:rsidR="0026734B">
              <w:rPr>
                <w:noProof/>
                <w:webHidden/>
              </w:rPr>
            </w:r>
            <w:r w:rsidR="0026734B">
              <w:rPr>
                <w:noProof/>
                <w:webHidden/>
              </w:rPr>
              <w:fldChar w:fldCharType="separate"/>
            </w:r>
            <w:r w:rsidR="0026734B">
              <w:rPr>
                <w:noProof/>
                <w:webHidden/>
              </w:rPr>
              <w:t>11</w:t>
            </w:r>
            <w:r w:rsidR="0026734B">
              <w:rPr>
                <w:noProof/>
                <w:webHidden/>
              </w:rPr>
              <w:fldChar w:fldCharType="end"/>
            </w:r>
          </w:hyperlink>
        </w:p>
        <w:p w14:paraId="71DCD4CB" w14:textId="6AFAC738" w:rsidR="0026734B" w:rsidRDefault="002475E0">
          <w:pPr>
            <w:pStyle w:val="TOC3"/>
            <w:tabs>
              <w:tab w:val="left" w:pos="1320"/>
              <w:tab w:val="right" w:leader="dot" w:pos="9016"/>
            </w:tabs>
            <w:rPr>
              <w:rFonts w:asciiTheme="minorHAnsi" w:eastAsiaTheme="minorEastAsia" w:hAnsiTheme="minorHAnsi" w:cstheme="minorBidi"/>
              <w:noProof/>
              <w:sz w:val="22"/>
              <w:szCs w:val="22"/>
            </w:rPr>
          </w:pPr>
          <w:hyperlink w:anchor="_Toc93843342" w:history="1">
            <w:r w:rsidR="0026734B" w:rsidRPr="00A649CD">
              <w:rPr>
                <w:rStyle w:val="Hyperlink"/>
                <w:noProof/>
              </w:rPr>
              <w:t>2.5.1</w:t>
            </w:r>
            <w:r w:rsidR="0026734B">
              <w:rPr>
                <w:rFonts w:asciiTheme="minorHAnsi" w:eastAsiaTheme="minorEastAsia" w:hAnsiTheme="minorHAnsi" w:cstheme="minorBidi"/>
                <w:noProof/>
                <w:sz w:val="22"/>
                <w:szCs w:val="22"/>
              </w:rPr>
              <w:tab/>
            </w:r>
            <w:r w:rsidR="0026734B" w:rsidRPr="00A649CD">
              <w:rPr>
                <w:rStyle w:val="Hyperlink"/>
                <w:noProof/>
              </w:rPr>
              <w:t>Data Input and Report Generation</w:t>
            </w:r>
            <w:r w:rsidR="0026734B">
              <w:rPr>
                <w:noProof/>
                <w:webHidden/>
              </w:rPr>
              <w:tab/>
            </w:r>
            <w:r w:rsidR="0026734B">
              <w:rPr>
                <w:noProof/>
                <w:webHidden/>
              </w:rPr>
              <w:fldChar w:fldCharType="begin"/>
            </w:r>
            <w:r w:rsidR="0026734B">
              <w:rPr>
                <w:noProof/>
                <w:webHidden/>
              </w:rPr>
              <w:instrText xml:space="preserve"> PAGEREF _Toc93843342 \h </w:instrText>
            </w:r>
            <w:r w:rsidR="0026734B">
              <w:rPr>
                <w:noProof/>
                <w:webHidden/>
              </w:rPr>
            </w:r>
            <w:r w:rsidR="0026734B">
              <w:rPr>
                <w:noProof/>
                <w:webHidden/>
              </w:rPr>
              <w:fldChar w:fldCharType="separate"/>
            </w:r>
            <w:r w:rsidR="0026734B">
              <w:rPr>
                <w:noProof/>
                <w:webHidden/>
              </w:rPr>
              <w:t>11</w:t>
            </w:r>
            <w:r w:rsidR="0026734B">
              <w:rPr>
                <w:noProof/>
                <w:webHidden/>
              </w:rPr>
              <w:fldChar w:fldCharType="end"/>
            </w:r>
          </w:hyperlink>
        </w:p>
        <w:p w14:paraId="3FDC6D8D" w14:textId="4224AC68" w:rsidR="0026734B" w:rsidRDefault="002475E0">
          <w:pPr>
            <w:pStyle w:val="TOC3"/>
            <w:tabs>
              <w:tab w:val="left" w:pos="1320"/>
              <w:tab w:val="right" w:leader="dot" w:pos="9016"/>
            </w:tabs>
            <w:rPr>
              <w:rFonts w:asciiTheme="minorHAnsi" w:eastAsiaTheme="minorEastAsia" w:hAnsiTheme="minorHAnsi" w:cstheme="minorBidi"/>
              <w:noProof/>
              <w:sz w:val="22"/>
              <w:szCs w:val="22"/>
            </w:rPr>
          </w:pPr>
          <w:hyperlink w:anchor="_Toc93843343" w:history="1">
            <w:r w:rsidR="0026734B" w:rsidRPr="00A649CD">
              <w:rPr>
                <w:rStyle w:val="Hyperlink"/>
                <w:noProof/>
              </w:rPr>
              <w:t>2.5.2</w:t>
            </w:r>
            <w:r w:rsidR="0026734B">
              <w:rPr>
                <w:rFonts w:asciiTheme="minorHAnsi" w:eastAsiaTheme="minorEastAsia" w:hAnsiTheme="minorHAnsi" w:cstheme="minorBidi"/>
                <w:noProof/>
                <w:sz w:val="22"/>
                <w:szCs w:val="22"/>
              </w:rPr>
              <w:tab/>
            </w:r>
            <w:r w:rsidR="0026734B" w:rsidRPr="00A649CD">
              <w:rPr>
                <w:rStyle w:val="Hyperlink"/>
                <w:noProof/>
              </w:rPr>
              <w:t>Social Accounting Matrix</w:t>
            </w:r>
            <w:r w:rsidR="0026734B">
              <w:rPr>
                <w:noProof/>
                <w:webHidden/>
              </w:rPr>
              <w:tab/>
            </w:r>
            <w:r w:rsidR="0026734B">
              <w:rPr>
                <w:noProof/>
                <w:webHidden/>
              </w:rPr>
              <w:fldChar w:fldCharType="begin"/>
            </w:r>
            <w:r w:rsidR="0026734B">
              <w:rPr>
                <w:noProof/>
                <w:webHidden/>
              </w:rPr>
              <w:instrText xml:space="preserve"> PAGEREF _Toc93843343 \h </w:instrText>
            </w:r>
            <w:r w:rsidR="0026734B">
              <w:rPr>
                <w:noProof/>
                <w:webHidden/>
              </w:rPr>
            </w:r>
            <w:r w:rsidR="0026734B">
              <w:rPr>
                <w:noProof/>
                <w:webHidden/>
              </w:rPr>
              <w:fldChar w:fldCharType="separate"/>
            </w:r>
            <w:r w:rsidR="0026734B">
              <w:rPr>
                <w:noProof/>
                <w:webHidden/>
              </w:rPr>
              <w:t>12</w:t>
            </w:r>
            <w:r w:rsidR="0026734B">
              <w:rPr>
                <w:noProof/>
                <w:webHidden/>
              </w:rPr>
              <w:fldChar w:fldCharType="end"/>
            </w:r>
          </w:hyperlink>
        </w:p>
        <w:p w14:paraId="0663932B" w14:textId="226F22E3" w:rsidR="0026734B" w:rsidRDefault="002475E0">
          <w:pPr>
            <w:pStyle w:val="TOC2"/>
            <w:tabs>
              <w:tab w:val="left" w:pos="880"/>
              <w:tab w:val="right" w:leader="dot" w:pos="9016"/>
            </w:tabs>
            <w:rPr>
              <w:rFonts w:asciiTheme="minorHAnsi" w:eastAsiaTheme="minorEastAsia" w:hAnsiTheme="minorHAnsi" w:cstheme="minorBidi"/>
              <w:noProof/>
              <w:sz w:val="22"/>
              <w:szCs w:val="22"/>
            </w:rPr>
          </w:pPr>
          <w:hyperlink w:anchor="_Toc93843344" w:history="1">
            <w:r w:rsidR="0026734B" w:rsidRPr="00A649CD">
              <w:rPr>
                <w:rStyle w:val="Hyperlink"/>
                <w:noProof/>
              </w:rPr>
              <w:t>2.6</w:t>
            </w:r>
            <w:r w:rsidR="0026734B">
              <w:rPr>
                <w:rFonts w:asciiTheme="minorHAnsi" w:eastAsiaTheme="minorEastAsia" w:hAnsiTheme="minorHAnsi" w:cstheme="minorBidi"/>
                <w:noProof/>
                <w:sz w:val="22"/>
                <w:szCs w:val="22"/>
              </w:rPr>
              <w:tab/>
            </w:r>
            <w:r w:rsidR="0026734B" w:rsidRPr="00A649CD">
              <w:rPr>
                <w:rStyle w:val="Hyperlink"/>
                <w:noProof/>
              </w:rPr>
              <w:t>Rebasing of the GDP</w:t>
            </w:r>
            <w:r w:rsidR="0026734B">
              <w:rPr>
                <w:noProof/>
                <w:webHidden/>
              </w:rPr>
              <w:tab/>
            </w:r>
            <w:r w:rsidR="0026734B">
              <w:rPr>
                <w:noProof/>
                <w:webHidden/>
              </w:rPr>
              <w:fldChar w:fldCharType="begin"/>
            </w:r>
            <w:r w:rsidR="0026734B">
              <w:rPr>
                <w:noProof/>
                <w:webHidden/>
              </w:rPr>
              <w:instrText xml:space="preserve"> PAGEREF _Toc93843344 \h </w:instrText>
            </w:r>
            <w:r w:rsidR="0026734B">
              <w:rPr>
                <w:noProof/>
                <w:webHidden/>
              </w:rPr>
            </w:r>
            <w:r w:rsidR="0026734B">
              <w:rPr>
                <w:noProof/>
                <w:webHidden/>
              </w:rPr>
              <w:fldChar w:fldCharType="separate"/>
            </w:r>
            <w:r w:rsidR="0026734B">
              <w:rPr>
                <w:noProof/>
                <w:webHidden/>
              </w:rPr>
              <w:t>13</w:t>
            </w:r>
            <w:r w:rsidR="0026734B">
              <w:rPr>
                <w:noProof/>
                <w:webHidden/>
              </w:rPr>
              <w:fldChar w:fldCharType="end"/>
            </w:r>
          </w:hyperlink>
        </w:p>
        <w:p w14:paraId="35117D0A" w14:textId="4BD82109" w:rsidR="0026734B" w:rsidRDefault="002475E0">
          <w:pPr>
            <w:pStyle w:val="TOC1"/>
            <w:rPr>
              <w:rFonts w:asciiTheme="minorHAnsi" w:eastAsiaTheme="minorEastAsia" w:hAnsiTheme="minorHAnsi" w:cstheme="minorBidi"/>
              <w:noProof/>
              <w:sz w:val="22"/>
              <w:szCs w:val="22"/>
            </w:rPr>
          </w:pPr>
          <w:hyperlink w:anchor="_Toc93843345" w:history="1">
            <w:r w:rsidR="0026734B" w:rsidRPr="00A649CD">
              <w:rPr>
                <w:rStyle w:val="Hyperlink"/>
                <w:noProof/>
              </w:rPr>
              <w:t>3</w:t>
            </w:r>
            <w:r w:rsidR="0026734B">
              <w:rPr>
                <w:rFonts w:asciiTheme="minorHAnsi" w:eastAsiaTheme="minorEastAsia" w:hAnsiTheme="minorHAnsi" w:cstheme="minorBidi"/>
                <w:noProof/>
                <w:sz w:val="22"/>
                <w:szCs w:val="22"/>
              </w:rPr>
              <w:tab/>
            </w:r>
            <w:r w:rsidR="0026734B" w:rsidRPr="00A649CD">
              <w:rPr>
                <w:rStyle w:val="Hyperlink"/>
                <w:noProof/>
              </w:rPr>
              <w:t>The Magnitude of the Cultural and Creative Industries</w:t>
            </w:r>
            <w:r w:rsidR="0026734B">
              <w:rPr>
                <w:noProof/>
                <w:webHidden/>
              </w:rPr>
              <w:tab/>
            </w:r>
            <w:r w:rsidR="0026734B">
              <w:rPr>
                <w:noProof/>
                <w:webHidden/>
              </w:rPr>
              <w:fldChar w:fldCharType="begin"/>
            </w:r>
            <w:r w:rsidR="0026734B">
              <w:rPr>
                <w:noProof/>
                <w:webHidden/>
              </w:rPr>
              <w:instrText xml:space="preserve"> PAGEREF _Toc93843345 \h </w:instrText>
            </w:r>
            <w:r w:rsidR="0026734B">
              <w:rPr>
                <w:noProof/>
                <w:webHidden/>
              </w:rPr>
            </w:r>
            <w:r w:rsidR="0026734B">
              <w:rPr>
                <w:noProof/>
                <w:webHidden/>
              </w:rPr>
              <w:fldChar w:fldCharType="separate"/>
            </w:r>
            <w:r w:rsidR="0026734B">
              <w:rPr>
                <w:noProof/>
                <w:webHidden/>
              </w:rPr>
              <w:t>14</w:t>
            </w:r>
            <w:r w:rsidR="0026734B">
              <w:rPr>
                <w:noProof/>
                <w:webHidden/>
              </w:rPr>
              <w:fldChar w:fldCharType="end"/>
            </w:r>
          </w:hyperlink>
        </w:p>
        <w:p w14:paraId="7AF6A6BF" w14:textId="2FAC2395" w:rsidR="0026734B" w:rsidRDefault="002475E0">
          <w:pPr>
            <w:pStyle w:val="TOC2"/>
            <w:tabs>
              <w:tab w:val="left" w:pos="880"/>
              <w:tab w:val="right" w:leader="dot" w:pos="9016"/>
            </w:tabs>
            <w:rPr>
              <w:rFonts w:asciiTheme="minorHAnsi" w:eastAsiaTheme="minorEastAsia" w:hAnsiTheme="minorHAnsi" w:cstheme="minorBidi"/>
              <w:noProof/>
              <w:sz w:val="22"/>
              <w:szCs w:val="22"/>
            </w:rPr>
          </w:pPr>
          <w:hyperlink w:anchor="_Toc93843346" w:history="1">
            <w:r w:rsidR="0026734B" w:rsidRPr="00A649CD">
              <w:rPr>
                <w:rStyle w:val="Hyperlink"/>
                <w:noProof/>
              </w:rPr>
              <w:t>3.1</w:t>
            </w:r>
            <w:r w:rsidR="0026734B">
              <w:rPr>
                <w:rFonts w:asciiTheme="minorHAnsi" w:eastAsiaTheme="minorEastAsia" w:hAnsiTheme="minorHAnsi" w:cstheme="minorBidi"/>
                <w:noProof/>
                <w:sz w:val="22"/>
                <w:szCs w:val="22"/>
              </w:rPr>
              <w:tab/>
            </w:r>
            <w:r w:rsidR="0026734B" w:rsidRPr="00A649CD">
              <w:rPr>
                <w:rStyle w:val="Hyperlink"/>
                <w:noProof/>
              </w:rPr>
              <w:t>Gross Value Added</w:t>
            </w:r>
            <w:r w:rsidR="0026734B">
              <w:rPr>
                <w:noProof/>
                <w:webHidden/>
              </w:rPr>
              <w:tab/>
            </w:r>
            <w:r w:rsidR="0026734B">
              <w:rPr>
                <w:noProof/>
                <w:webHidden/>
              </w:rPr>
              <w:fldChar w:fldCharType="begin"/>
            </w:r>
            <w:r w:rsidR="0026734B">
              <w:rPr>
                <w:noProof/>
                <w:webHidden/>
              </w:rPr>
              <w:instrText xml:space="preserve"> PAGEREF _Toc93843346 \h </w:instrText>
            </w:r>
            <w:r w:rsidR="0026734B">
              <w:rPr>
                <w:noProof/>
                <w:webHidden/>
              </w:rPr>
            </w:r>
            <w:r w:rsidR="0026734B">
              <w:rPr>
                <w:noProof/>
                <w:webHidden/>
              </w:rPr>
              <w:fldChar w:fldCharType="separate"/>
            </w:r>
            <w:r w:rsidR="0026734B">
              <w:rPr>
                <w:noProof/>
                <w:webHidden/>
              </w:rPr>
              <w:t>15</w:t>
            </w:r>
            <w:r w:rsidR="0026734B">
              <w:rPr>
                <w:noProof/>
                <w:webHidden/>
              </w:rPr>
              <w:fldChar w:fldCharType="end"/>
            </w:r>
          </w:hyperlink>
        </w:p>
        <w:p w14:paraId="6367DD7A" w14:textId="514DFD3F" w:rsidR="0026734B" w:rsidRDefault="002475E0">
          <w:pPr>
            <w:pStyle w:val="TOC2"/>
            <w:tabs>
              <w:tab w:val="left" w:pos="880"/>
              <w:tab w:val="right" w:leader="dot" w:pos="9016"/>
            </w:tabs>
            <w:rPr>
              <w:rFonts w:asciiTheme="minorHAnsi" w:eastAsiaTheme="minorEastAsia" w:hAnsiTheme="minorHAnsi" w:cstheme="minorBidi"/>
              <w:noProof/>
              <w:sz w:val="22"/>
              <w:szCs w:val="22"/>
            </w:rPr>
          </w:pPr>
          <w:hyperlink w:anchor="_Toc93843347" w:history="1">
            <w:r w:rsidR="0026734B" w:rsidRPr="00A649CD">
              <w:rPr>
                <w:rStyle w:val="Hyperlink"/>
                <w:noProof/>
              </w:rPr>
              <w:t>3.2</w:t>
            </w:r>
            <w:r w:rsidR="0026734B">
              <w:rPr>
                <w:rFonts w:asciiTheme="minorHAnsi" w:eastAsiaTheme="minorEastAsia" w:hAnsiTheme="minorHAnsi" w:cstheme="minorBidi"/>
                <w:noProof/>
                <w:sz w:val="22"/>
                <w:szCs w:val="22"/>
              </w:rPr>
              <w:tab/>
            </w:r>
            <w:r w:rsidR="0026734B" w:rsidRPr="00A649CD">
              <w:rPr>
                <w:rStyle w:val="Hyperlink"/>
                <w:noProof/>
              </w:rPr>
              <w:t>Size of the Domains</w:t>
            </w:r>
            <w:r w:rsidR="0026734B">
              <w:rPr>
                <w:noProof/>
                <w:webHidden/>
              </w:rPr>
              <w:tab/>
            </w:r>
            <w:r w:rsidR="0026734B">
              <w:rPr>
                <w:noProof/>
                <w:webHidden/>
              </w:rPr>
              <w:fldChar w:fldCharType="begin"/>
            </w:r>
            <w:r w:rsidR="0026734B">
              <w:rPr>
                <w:noProof/>
                <w:webHidden/>
              </w:rPr>
              <w:instrText xml:space="preserve"> PAGEREF _Toc93843347 \h </w:instrText>
            </w:r>
            <w:r w:rsidR="0026734B">
              <w:rPr>
                <w:noProof/>
                <w:webHidden/>
              </w:rPr>
            </w:r>
            <w:r w:rsidR="0026734B">
              <w:rPr>
                <w:noProof/>
                <w:webHidden/>
              </w:rPr>
              <w:fldChar w:fldCharType="separate"/>
            </w:r>
            <w:r w:rsidR="0026734B">
              <w:rPr>
                <w:noProof/>
                <w:webHidden/>
              </w:rPr>
              <w:t>17</w:t>
            </w:r>
            <w:r w:rsidR="0026734B">
              <w:rPr>
                <w:noProof/>
                <w:webHidden/>
              </w:rPr>
              <w:fldChar w:fldCharType="end"/>
            </w:r>
          </w:hyperlink>
        </w:p>
        <w:p w14:paraId="22A88756" w14:textId="3E43FE29" w:rsidR="0026734B" w:rsidRDefault="002475E0">
          <w:pPr>
            <w:pStyle w:val="TOC2"/>
            <w:tabs>
              <w:tab w:val="left" w:pos="880"/>
              <w:tab w:val="right" w:leader="dot" w:pos="9016"/>
            </w:tabs>
            <w:rPr>
              <w:rFonts w:asciiTheme="minorHAnsi" w:eastAsiaTheme="minorEastAsia" w:hAnsiTheme="minorHAnsi" w:cstheme="minorBidi"/>
              <w:noProof/>
              <w:sz w:val="22"/>
              <w:szCs w:val="22"/>
            </w:rPr>
          </w:pPr>
          <w:hyperlink w:anchor="_Toc93843348" w:history="1">
            <w:r w:rsidR="0026734B" w:rsidRPr="00A649CD">
              <w:rPr>
                <w:rStyle w:val="Hyperlink"/>
                <w:noProof/>
              </w:rPr>
              <w:t>3.3</w:t>
            </w:r>
            <w:r w:rsidR="0026734B">
              <w:rPr>
                <w:rFonts w:asciiTheme="minorHAnsi" w:eastAsiaTheme="minorEastAsia" w:hAnsiTheme="minorHAnsi" w:cstheme="minorBidi"/>
                <w:noProof/>
                <w:sz w:val="22"/>
                <w:szCs w:val="22"/>
              </w:rPr>
              <w:tab/>
            </w:r>
            <w:r w:rsidR="0026734B" w:rsidRPr="00A649CD">
              <w:rPr>
                <w:rStyle w:val="Hyperlink"/>
                <w:noProof/>
              </w:rPr>
              <w:t>Growth Rates</w:t>
            </w:r>
            <w:r w:rsidR="0026734B">
              <w:rPr>
                <w:noProof/>
                <w:webHidden/>
              </w:rPr>
              <w:tab/>
            </w:r>
            <w:r w:rsidR="0026734B">
              <w:rPr>
                <w:noProof/>
                <w:webHidden/>
              </w:rPr>
              <w:fldChar w:fldCharType="begin"/>
            </w:r>
            <w:r w:rsidR="0026734B">
              <w:rPr>
                <w:noProof/>
                <w:webHidden/>
              </w:rPr>
              <w:instrText xml:space="preserve"> PAGEREF _Toc93843348 \h </w:instrText>
            </w:r>
            <w:r w:rsidR="0026734B">
              <w:rPr>
                <w:noProof/>
                <w:webHidden/>
              </w:rPr>
            </w:r>
            <w:r w:rsidR="0026734B">
              <w:rPr>
                <w:noProof/>
                <w:webHidden/>
              </w:rPr>
              <w:fldChar w:fldCharType="separate"/>
            </w:r>
            <w:r w:rsidR="0026734B">
              <w:rPr>
                <w:noProof/>
                <w:webHidden/>
              </w:rPr>
              <w:t>18</w:t>
            </w:r>
            <w:r w:rsidR="0026734B">
              <w:rPr>
                <w:noProof/>
                <w:webHidden/>
              </w:rPr>
              <w:fldChar w:fldCharType="end"/>
            </w:r>
          </w:hyperlink>
        </w:p>
        <w:p w14:paraId="365CA4F1" w14:textId="4A484489" w:rsidR="0026734B" w:rsidRDefault="002475E0">
          <w:pPr>
            <w:pStyle w:val="TOC2"/>
            <w:tabs>
              <w:tab w:val="left" w:pos="880"/>
              <w:tab w:val="right" w:leader="dot" w:pos="9016"/>
            </w:tabs>
            <w:rPr>
              <w:rFonts w:asciiTheme="minorHAnsi" w:eastAsiaTheme="minorEastAsia" w:hAnsiTheme="minorHAnsi" w:cstheme="minorBidi"/>
              <w:noProof/>
              <w:sz w:val="22"/>
              <w:szCs w:val="22"/>
            </w:rPr>
          </w:pPr>
          <w:hyperlink w:anchor="_Toc93843349" w:history="1">
            <w:r w:rsidR="0026734B" w:rsidRPr="00A649CD">
              <w:rPr>
                <w:rStyle w:val="Hyperlink"/>
                <w:noProof/>
              </w:rPr>
              <w:t>3.4</w:t>
            </w:r>
            <w:r w:rsidR="0026734B">
              <w:rPr>
                <w:rFonts w:asciiTheme="minorHAnsi" w:eastAsiaTheme="minorEastAsia" w:hAnsiTheme="minorHAnsi" w:cstheme="minorBidi"/>
                <w:noProof/>
                <w:sz w:val="22"/>
                <w:szCs w:val="22"/>
              </w:rPr>
              <w:tab/>
            </w:r>
            <w:r w:rsidR="0026734B" w:rsidRPr="00A649CD">
              <w:rPr>
                <w:rStyle w:val="Hyperlink"/>
                <w:noProof/>
              </w:rPr>
              <w:t>Total Output or Sales (Intermediate Output plus Final Output) at Basic Prices</w:t>
            </w:r>
            <w:r w:rsidR="0026734B">
              <w:rPr>
                <w:noProof/>
                <w:webHidden/>
              </w:rPr>
              <w:tab/>
            </w:r>
            <w:r w:rsidR="0026734B">
              <w:rPr>
                <w:noProof/>
                <w:webHidden/>
              </w:rPr>
              <w:fldChar w:fldCharType="begin"/>
            </w:r>
            <w:r w:rsidR="0026734B">
              <w:rPr>
                <w:noProof/>
                <w:webHidden/>
              </w:rPr>
              <w:instrText xml:space="preserve"> PAGEREF _Toc93843349 \h </w:instrText>
            </w:r>
            <w:r w:rsidR="0026734B">
              <w:rPr>
                <w:noProof/>
                <w:webHidden/>
              </w:rPr>
            </w:r>
            <w:r w:rsidR="0026734B">
              <w:rPr>
                <w:noProof/>
                <w:webHidden/>
              </w:rPr>
              <w:fldChar w:fldCharType="separate"/>
            </w:r>
            <w:r w:rsidR="0026734B">
              <w:rPr>
                <w:noProof/>
                <w:webHidden/>
              </w:rPr>
              <w:t>20</w:t>
            </w:r>
            <w:r w:rsidR="0026734B">
              <w:rPr>
                <w:noProof/>
                <w:webHidden/>
              </w:rPr>
              <w:fldChar w:fldCharType="end"/>
            </w:r>
          </w:hyperlink>
        </w:p>
        <w:p w14:paraId="1B307BF5" w14:textId="79D1DEF2" w:rsidR="0026734B" w:rsidRDefault="002475E0">
          <w:pPr>
            <w:pStyle w:val="TOC2"/>
            <w:tabs>
              <w:tab w:val="left" w:pos="880"/>
              <w:tab w:val="right" w:leader="dot" w:pos="9016"/>
            </w:tabs>
            <w:rPr>
              <w:rFonts w:asciiTheme="minorHAnsi" w:eastAsiaTheme="minorEastAsia" w:hAnsiTheme="minorHAnsi" w:cstheme="minorBidi"/>
              <w:noProof/>
              <w:sz w:val="22"/>
              <w:szCs w:val="22"/>
            </w:rPr>
          </w:pPr>
          <w:hyperlink w:anchor="_Toc93843350" w:history="1">
            <w:r w:rsidR="0026734B" w:rsidRPr="00A649CD">
              <w:rPr>
                <w:rStyle w:val="Hyperlink"/>
                <w:noProof/>
              </w:rPr>
              <w:t>3.5</w:t>
            </w:r>
            <w:r w:rsidR="0026734B">
              <w:rPr>
                <w:rFonts w:asciiTheme="minorHAnsi" w:eastAsiaTheme="minorEastAsia" w:hAnsiTheme="minorHAnsi" w:cstheme="minorBidi"/>
                <w:noProof/>
                <w:sz w:val="22"/>
                <w:szCs w:val="22"/>
              </w:rPr>
              <w:tab/>
            </w:r>
            <w:r w:rsidR="0026734B" w:rsidRPr="00A649CD">
              <w:rPr>
                <w:rStyle w:val="Hyperlink"/>
                <w:noProof/>
              </w:rPr>
              <w:t>Multipliers</w:t>
            </w:r>
            <w:r w:rsidR="0026734B">
              <w:rPr>
                <w:noProof/>
                <w:webHidden/>
              </w:rPr>
              <w:tab/>
            </w:r>
            <w:r w:rsidR="0026734B">
              <w:rPr>
                <w:noProof/>
                <w:webHidden/>
              </w:rPr>
              <w:fldChar w:fldCharType="begin"/>
            </w:r>
            <w:r w:rsidR="0026734B">
              <w:rPr>
                <w:noProof/>
                <w:webHidden/>
              </w:rPr>
              <w:instrText xml:space="preserve"> PAGEREF _Toc93843350 \h </w:instrText>
            </w:r>
            <w:r w:rsidR="0026734B">
              <w:rPr>
                <w:noProof/>
                <w:webHidden/>
              </w:rPr>
            </w:r>
            <w:r w:rsidR="0026734B">
              <w:rPr>
                <w:noProof/>
                <w:webHidden/>
              </w:rPr>
              <w:fldChar w:fldCharType="separate"/>
            </w:r>
            <w:r w:rsidR="0026734B">
              <w:rPr>
                <w:noProof/>
                <w:webHidden/>
              </w:rPr>
              <w:t>20</w:t>
            </w:r>
            <w:r w:rsidR="0026734B">
              <w:rPr>
                <w:noProof/>
                <w:webHidden/>
              </w:rPr>
              <w:fldChar w:fldCharType="end"/>
            </w:r>
          </w:hyperlink>
        </w:p>
        <w:p w14:paraId="2E1027A4" w14:textId="3F0EFE18" w:rsidR="0026734B" w:rsidRDefault="002475E0">
          <w:pPr>
            <w:pStyle w:val="TOC2"/>
            <w:tabs>
              <w:tab w:val="left" w:pos="880"/>
              <w:tab w:val="right" w:leader="dot" w:pos="9016"/>
            </w:tabs>
            <w:rPr>
              <w:rFonts w:asciiTheme="minorHAnsi" w:eastAsiaTheme="minorEastAsia" w:hAnsiTheme="minorHAnsi" w:cstheme="minorBidi"/>
              <w:noProof/>
              <w:sz w:val="22"/>
              <w:szCs w:val="22"/>
            </w:rPr>
          </w:pPr>
          <w:hyperlink w:anchor="_Toc93843351" w:history="1">
            <w:r w:rsidR="0026734B" w:rsidRPr="00A649CD">
              <w:rPr>
                <w:rStyle w:val="Hyperlink"/>
                <w:noProof/>
              </w:rPr>
              <w:t>3.6</w:t>
            </w:r>
            <w:r w:rsidR="0026734B">
              <w:rPr>
                <w:rFonts w:asciiTheme="minorHAnsi" w:eastAsiaTheme="minorEastAsia" w:hAnsiTheme="minorHAnsi" w:cstheme="minorBidi"/>
                <w:noProof/>
                <w:sz w:val="22"/>
                <w:szCs w:val="22"/>
              </w:rPr>
              <w:tab/>
            </w:r>
            <w:r w:rsidR="0026734B" w:rsidRPr="00A649CD">
              <w:rPr>
                <w:rStyle w:val="Hyperlink"/>
                <w:noProof/>
              </w:rPr>
              <w:t>Factors of Production</w:t>
            </w:r>
            <w:r w:rsidR="0026734B">
              <w:rPr>
                <w:noProof/>
                <w:webHidden/>
              </w:rPr>
              <w:tab/>
            </w:r>
            <w:r w:rsidR="0026734B">
              <w:rPr>
                <w:noProof/>
                <w:webHidden/>
              </w:rPr>
              <w:fldChar w:fldCharType="begin"/>
            </w:r>
            <w:r w:rsidR="0026734B">
              <w:rPr>
                <w:noProof/>
                <w:webHidden/>
              </w:rPr>
              <w:instrText xml:space="preserve"> PAGEREF _Toc93843351 \h </w:instrText>
            </w:r>
            <w:r w:rsidR="0026734B">
              <w:rPr>
                <w:noProof/>
                <w:webHidden/>
              </w:rPr>
            </w:r>
            <w:r w:rsidR="0026734B">
              <w:rPr>
                <w:noProof/>
                <w:webHidden/>
              </w:rPr>
              <w:fldChar w:fldCharType="separate"/>
            </w:r>
            <w:r w:rsidR="0026734B">
              <w:rPr>
                <w:noProof/>
                <w:webHidden/>
              </w:rPr>
              <w:t>21</w:t>
            </w:r>
            <w:r w:rsidR="0026734B">
              <w:rPr>
                <w:noProof/>
                <w:webHidden/>
              </w:rPr>
              <w:fldChar w:fldCharType="end"/>
            </w:r>
          </w:hyperlink>
        </w:p>
        <w:p w14:paraId="3CCD9CEA" w14:textId="34311B86" w:rsidR="0026734B" w:rsidRDefault="002475E0">
          <w:pPr>
            <w:pStyle w:val="TOC3"/>
            <w:tabs>
              <w:tab w:val="left" w:pos="1320"/>
              <w:tab w:val="right" w:leader="dot" w:pos="9016"/>
            </w:tabs>
            <w:rPr>
              <w:rFonts w:asciiTheme="minorHAnsi" w:eastAsiaTheme="minorEastAsia" w:hAnsiTheme="minorHAnsi" w:cstheme="minorBidi"/>
              <w:noProof/>
              <w:sz w:val="22"/>
              <w:szCs w:val="22"/>
            </w:rPr>
          </w:pPr>
          <w:hyperlink w:anchor="_Toc93843352" w:history="1">
            <w:r w:rsidR="0026734B" w:rsidRPr="00A649CD">
              <w:rPr>
                <w:rStyle w:val="Hyperlink"/>
                <w:noProof/>
              </w:rPr>
              <w:t>3.6.1</w:t>
            </w:r>
            <w:r w:rsidR="0026734B">
              <w:rPr>
                <w:rFonts w:asciiTheme="minorHAnsi" w:eastAsiaTheme="minorEastAsia" w:hAnsiTheme="minorHAnsi" w:cstheme="minorBidi"/>
                <w:noProof/>
                <w:sz w:val="22"/>
                <w:szCs w:val="22"/>
              </w:rPr>
              <w:tab/>
            </w:r>
            <w:r w:rsidR="0026734B" w:rsidRPr="00A649CD">
              <w:rPr>
                <w:rStyle w:val="Hyperlink"/>
                <w:noProof/>
              </w:rPr>
              <w:t>Capital Stock</w:t>
            </w:r>
            <w:r w:rsidR="0026734B">
              <w:rPr>
                <w:noProof/>
                <w:webHidden/>
              </w:rPr>
              <w:tab/>
            </w:r>
            <w:r w:rsidR="0026734B">
              <w:rPr>
                <w:noProof/>
                <w:webHidden/>
              </w:rPr>
              <w:fldChar w:fldCharType="begin"/>
            </w:r>
            <w:r w:rsidR="0026734B">
              <w:rPr>
                <w:noProof/>
                <w:webHidden/>
              </w:rPr>
              <w:instrText xml:space="preserve"> PAGEREF _Toc93843352 \h </w:instrText>
            </w:r>
            <w:r w:rsidR="0026734B">
              <w:rPr>
                <w:noProof/>
                <w:webHidden/>
              </w:rPr>
            </w:r>
            <w:r w:rsidR="0026734B">
              <w:rPr>
                <w:noProof/>
                <w:webHidden/>
              </w:rPr>
              <w:fldChar w:fldCharType="separate"/>
            </w:r>
            <w:r w:rsidR="0026734B">
              <w:rPr>
                <w:noProof/>
                <w:webHidden/>
              </w:rPr>
              <w:t>22</w:t>
            </w:r>
            <w:r w:rsidR="0026734B">
              <w:rPr>
                <w:noProof/>
                <w:webHidden/>
              </w:rPr>
              <w:fldChar w:fldCharType="end"/>
            </w:r>
          </w:hyperlink>
        </w:p>
        <w:p w14:paraId="37098AC9" w14:textId="562AFD71" w:rsidR="0026734B" w:rsidRDefault="002475E0">
          <w:pPr>
            <w:pStyle w:val="TOC3"/>
            <w:tabs>
              <w:tab w:val="left" w:pos="1320"/>
              <w:tab w:val="right" w:leader="dot" w:pos="9016"/>
            </w:tabs>
            <w:rPr>
              <w:rFonts w:asciiTheme="minorHAnsi" w:eastAsiaTheme="minorEastAsia" w:hAnsiTheme="minorHAnsi" w:cstheme="minorBidi"/>
              <w:noProof/>
              <w:sz w:val="22"/>
              <w:szCs w:val="22"/>
            </w:rPr>
          </w:pPr>
          <w:hyperlink w:anchor="_Toc93843353" w:history="1">
            <w:r w:rsidR="0026734B" w:rsidRPr="00A649CD">
              <w:rPr>
                <w:rStyle w:val="Hyperlink"/>
                <w:noProof/>
              </w:rPr>
              <w:t>3.6.2</w:t>
            </w:r>
            <w:r w:rsidR="0026734B">
              <w:rPr>
                <w:rFonts w:asciiTheme="minorHAnsi" w:eastAsiaTheme="minorEastAsia" w:hAnsiTheme="minorHAnsi" w:cstheme="minorBidi"/>
                <w:noProof/>
                <w:sz w:val="22"/>
                <w:szCs w:val="22"/>
              </w:rPr>
              <w:tab/>
            </w:r>
            <w:r w:rsidR="0026734B" w:rsidRPr="00A649CD">
              <w:rPr>
                <w:rStyle w:val="Hyperlink"/>
                <w:noProof/>
              </w:rPr>
              <w:t>Capital Formation</w:t>
            </w:r>
            <w:r w:rsidR="0026734B">
              <w:rPr>
                <w:noProof/>
                <w:webHidden/>
              </w:rPr>
              <w:tab/>
            </w:r>
            <w:r w:rsidR="0026734B">
              <w:rPr>
                <w:noProof/>
                <w:webHidden/>
              </w:rPr>
              <w:fldChar w:fldCharType="begin"/>
            </w:r>
            <w:r w:rsidR="0026734B">
              <w:rPr>
                <w:noProof/>
                <w:webHidden/>
              </w:rPr>
              <w:instrText xml:space="preserve"> PAGEREF _Toc93843353 \h </w:instrText>
            </w:r>
            <w:r w:rsidR="0026734B">
              <w:rPr>
                <w:noProof/>
                <w:webHidden/>
              </w:rPr>
            </w:r>
            <w:r w:rsidR="0026734B">
              <w:rPr>
                <w:noProof/>
                <w:webHidden/>
              </w:rPr>
              <w:fldChar w:fldCharType="separate"/>
            </w:r>
            <w:r w:rsidR="0026734B">
              <w:rPr>
                <w:noProof/>
                <w:webHidden/>
              </w:rPr>
              <w:t>22</w:t>
            </w:r>
            <w:r w:rsidR="0026734B">
              <w:rPr>
                <w:noProof/>
                <w:webHidden/>
              </w:rPr>
              <w:fldChar w:fldCharType="end"/>
            </w:r>
          </w:hyperlink>
        </w:p>
        <w:p w14:paraId="041E0954" w14:textId="08D2F495" w:rsidR="0026734B" w:rsidRDefault="002475E0">
          <w:pPr>
            <w:pStyle w:val="TOC3"/>
            <w:tabs>
              <w:tab w:val="left" w:pos="1320"/>
              <w:tab w:val="right" w:leader="dot" w:pos="9016"/>
            </w:tabs>
            <w:rPr>
              <w:rFonts w:asciiTheme="minorHAnsi" w:eastAsiaTheme="minorEastAsia" w:hAnsiTheme="minorHAnsi" w:cstheme="minorBidi"/>
              <w:noProof/>
              <w:sz w:val="22"/>
              <w:szCs w:val="22"/>
            </w:rPr>
          </w:pPr>
          <w:hyperlink w:anchor="_Toc93843354" w:history="1">
            <w:r w:rsidR="0026734B" w:rsidRPr="00A649CD">
              <w:rPr>
                <w:rStyle w:val="Hyperlink"/>
                <w:noProof/>
              </w:rPr>
              <w:t>3.6.3</w:t>
            </w:r>
            <w:r w:rsidR="0026734B">
              <w:rPr>
                <w:rFonts w:asciiTheme="minorHAnsi" w:eastAsiaTheme="minorEastAsia" w:hAnsiTheme="minorHAnsi" w:cstheme="minorBidi"/>
                <w:noProof/>
                <w:sz w:val="22"/>
                <w:szCs w:val="22"/>
              </w:rPr>
              <w:tab/>
            </w:r>
            <w:r w:rsidR="0026734B" w:rsidRPr="00A649CD">
              <w:rPr>
                <w:rStyle w:val="Hyperlink"/>
                <w:noProof/>
              </w:rPr>
              <w:t>Labour</w:t>
            </w:r>
            <w:r w:rsidR="0026734B">
              <w:rPr>
                <w:noProof/>
                <w:webHidden/>
              </w:rPr>
              <w:tab/>
            </w:r>
            <w:r w:rsidR="0026734B">
              <w:rPr>
                <w:noProof/>
                <w:webHidden/>
              </w:rPr>
              <w:fldChar w:fldCharType="begin"/>
            </w:r>
            <w:r w:rsidR="0026734B">
              <w:rPr>
                <w:noProof/>
                <w:webHidden/>
              </w:rPr>
              <w:instrText xml:space="preserve"> PAGEREF _Toc93843354 \h </w:instrText>
            </w:r>
            <w:r w:rsidR="0026734B">
              <w:rPr>
                <w:noProof/>
                <w:webHidden/>
              </w:rPr>
            </w:r>
            <w:r w:rsidR="0026734B">
              <w:rPr>
                <w:noProof/>
                <w:webHidden/>
              </w:rPr>
              <w:fldChar w:fldCharType="separate"/>
            </w:r>
            <w:r w:rsidR="0026734B">
              <w:rPr>
                <w:noProof/>
                <w:webHidden/>
              </w:rPr>
              <w:t>23</w:t>
            </w:r>
            <w:r w:rsidR="0026734B">
              <w:rPr>
                <w:noProof/>
                <w:webHidden/>
              </w:rPr>
              <w:fldChar w:fldCharType="end"/>
            </w:r>
          </w:hyperlink>
        </w:p>
        <w:p w14:paraId="0F5899DC" w14:textId="513D29F4" w:rsidR="0026734B" w:rsidRDefault="002475E0">
          <w:pPr>
            <w:pStyle w:val="TOC2"/>
            <w:tabs>
              <w:tab w:val="left" w:pos="880"/>
              <w:tab w:val="right" w:leader="dot" w:pos="9016"/>
            </w:tabs>
            <w:rPr>
              <w:rFonts w:asciiTheme="minorHAnsi" w:eastAsiaTheme="minorEastAsia" w:hAnsiTheme="minorHAnsi" w:cstheme="minorBidi"/>
              <w:noProof/>
              <w:sz w:val="22"/>
              <w:szCs w:val="22"/>
            </w:rPr>
          </w:pPr>
          <w:hyperlink w:anchor="_Toc93843355" w:history="1">
            <w:r w:rsidR="0026734B" w:rsidRPr="00A649CD">
              <w:rPr>
                <w:rStyle w:val="Hyperlink"/>
                <w:noProof/>
              </w:rPr>
              <w:t>3.7</w:t>
            </w:r>
            <w:r w:rsidR="0026734B">
              <w:rPr>
                <w:rFonts w:asciiTheme="minorHAnsi" w:eastAsiaTheme="minorEastAsia" w:hAnsiTheme="minorHAnsi" w:cstheme="minorBidi"/>
                <w:noProof/>
                <w:sz w:val="22"/>
                <w:szCs w:val="22"/>
              </w:rPr>
              <w:tab/>
            </w:r>
            <w:r w:rsidR="0026734B" w:rsidRPr="00A649CD">
              <w:rPr>
                <w:rStyle w:val="Hyperlink"/>
                <w:noProof/>
              </w:rPr>
              <w:t>Distribution of Income Within Each Domain</w:t>
            </w:r>
            <w:r w:rsidR="0026734B">
              <w:rPr>
                <w:noProof/>
                <w:webHidden/>
              </w:rPr>
              <w:tab/>
            </w:r>
            <w:r w:rsidR="0026734B">
              <w:rPr>
                <w:noProof/>
                <w:webHidden/>
              </w:rPr>
              <w:fldChar w:fldCharType="begin"/>
            </w:r>
            <w:r w:rsidR="0026734B">
              <w:rPr>
                <w:noProof/>
                <w:webHidden/>
              </w:rPr>
              <w:instrText xml:space="preserve"> PAGEREF _Toc93843355 \h </w:instrText>
            </w:r>
            <w:r w:rsidR="0026734B">
              <w:rPr>
                <w:noProof/>
                <w:webHidden/>
              </w:rPr>
            </w:r>
            <w:r w:rsidR="0026734B">
              <w:rPr>
                <w:noProof/>
                <w:webHidden/>
              </w:rPr>
              <w:fldChar w:fldCharType="separate"/>
            </w:r>
            <w:r w:rsidR="0026734B">
              <w:rPr>
                <w:noProof/>
                <w:webHidden/>
              </w:rPr>
              <w:t>23</w:t>
            </w:r>
            <w:r w:rsidR="0026734B">
              <w:rPr>
                <w:noProof/>
                <w:webHidden/>
              </w:rPr>
              <w:fldChar w:fldCharType="end"/>
            </w:r>
          </w:hyperlink>
        </w:p>
        <w:p w14:paraId="55134531" w14:textId="45510958" w:rsidR="0026734B" w:rsidRDefault="002475E0">
          <w:pPr>
            <w:pStyle w:val="TOC1"/>
            <w:rPr>
              <w:rFonts w:asciiTheme="minorHAnsi" w:eastAsiaTheme="minorEastAsia" w:hAnsiTheme="minorHAnsi" w:cstheme="minorBidi"/>
              <w:noProof/>
              <w:sz w:val="22"/>
              <w:szCs w:val="22"/>
            </w:rPr>
          </w:pPr>
          <w:hyperlink w:anchor="_Toc93843356" w:history="1">
            <w:r w:rsidR="0026734B" w:rsidRPr="00A649CD">
              <w:rPr>
                <w:rStyle w:val="Hyperlink"/>
                <w:noProof/>
              </w:rPr>
              <w:t>4</w:t>
            </w:r>
            <w:r w:rsidR="0026734B">
              <w:rPr>
                <w:rFonts w:asciiTheme="minorHAnsi" w:eastAsiaTheme="minorEastAsia" w:hAnsiTheme="minorHAnsi" w:cstheme="minorBidi"/>
                <w:noProof/>
                <w:sz w:val="22"/>
                <w:szCs w:val="22"/>
              </w:rPr>
              <w:tab/>
            </w:r>
            <w:r w:rsidR="0026734B" w:rsidRPr="00A649CD">
              <w:rPr>
                <w:rStyle w:val="Hyperlink"/>
                <w:noProof/>
              </w:rPr>
              <w:t>Consumption Expenditure on Recreation and Entertainment</w:t>
            </w:r>
            <w:r w:rsidR="0026734B">
              <w:rPr>
                <w:noProof/>
                <w:webHidden/>
              </w:rPr>
              <w:tab/>
            </w:r>
            <w:r w:rsidR="0026734B">
              <w:rPr>
                <w:noProof/>
                <w:webHidden/>
              </w:rPr>
              <w:fldChar w:fldCharType="begin"/>
            </w:r>
            <w:r w:rsidR="0026734B">
              <w:rPr>
                <w:noProof/>
                <w:webHidden/>
              </w:rPr>
              <w:instrText xml:space="preserve"> PAGEREF _Toc93843356 \h </w:instrText>
            </w:r>
            <w:r w:rsidR="0026734B">
              <w:rPr>
                <w:noProof/>
                <w:webHidden/>
              </w:rPr>
            </w:r>
            <w:r w:rsidR="0026734B">
              <w:rPr>
                <w:noProof/>
                <w:webHidden/>
              </w:rPr>
              <w:fldChar w:fldCharType="separate"/>
            </w:r>
            <w:r w:rsidR="0026734B">
              <w:rPr>
                <w:noProof/>
                <w:webHidden/>
              </w:rPr>
              <w:t>25</w:t>
            </w:r>
            <w:r w:rsidR="0026734B">
              <w:rPr>
                <w:noProof/>
                <w:webHidden/>
              </w:rPr>
              <w:fldChar w:fldCharType="end"/>
            </w:r>
          </w:hyperlink>
        </w:p>
        <w:p w14:paraId="5F525273" w14:textId="09078086" w:rsidR="0026734B" w:rsidRDefault="002475E0">
          <w:pPr>
            <w:pStyle w:val="TOC1"/>
            <w:rPr>
              <w:rFonts w:asciiTheme="minorHAnsi" w:eastAsiaTheme="minorEastAsia" w:hAnsiTheme="minorHAnsi" w:cstheme="minorBidi"/>
              <w:noProof/>
              <w:sz w:val="22"/>
              <w:szCs w:val="22"/>
            </w:rPr>
          </w:pPr>
          <w:hyperlink w:anchor="_Toc93843357" w:history="1">
            <w:r w:rsidR="0026734B" w:rsidRPr="00A649CD">
              <w:rPr>
                <w:rStyle w:val="Hyperlink"/>
                <w:noProof/>
              </w:rPr>
              <w:t>5</w:t>
            </w:r>
            <w:r w:rsidR="0026734B">
              <w:rPr>
                <w:rFonts w:asciiTheme="minorHAnsi" w:eastAsiaTheme="minorEastAsia" w:hAnsiTheme="minorHAnsi" w:cstheme="minorBidi"/>
                <w:noProof/>
                <w:sz w:val="22"/>
                <w:szCs w:val="22"/>
              </w:rPr>
              <w:tab/>
            </w:r>
            <w:r w:rsidR="0026734B" w:rsidRPr="00A649CD">
              <w:rPr>
                <w:rStyle w:val="Hyperlink"/>
                <w:noProof/>
              </w:rPr>
              <w:t>Inflation</w:t>
            </w:r>
            <w:r w:rsidR="0026734B">
              <w:rPr>
                <w:noProof/>
                <w:webHidden/>
              </w:rPr>
              <w:tab/>
            </w:r>
            <w:r w:rsidR="0026734B">
              <w:rPr>
                <w:noProof/>
                <w:webHidden/>
              </w:rPr>
              <w:fldChar w:fldCharType="begin"/>
            </w:r>
            <w:r w:rsidR="0026734B">
              <w:rPr>
                <w:noProof/>
                <w:webHidden/>
              </w:rPr>
              <w:instrText xml:space="preserve"> PAGEREF _Toc93843357 \h </w:instrText>
            </w:r>
            <w:r w:rsidR="0026734B">
              <w:rPr>
                <w:noProof/>
                <w:webHidden/>
              </w:rPr>
            </w:r>
            <w:r w:rsidR="0026734B">
              <w:rPr>
                <w:noProof/>
                <w:webHidden/>
              </w:rPr>
              <w:fldChar w:fldCharType="separate"/>
            </w:r>
            <w:r w:rsidR="0026734B">
              <w:rPr>
                <w:noProof/>
                <w:webHidden/>
              </w:rPr>
              <w:t>27</w:t>
            </w:r>
            <w:r w:rsidR="0026734B">
              <w:rPr>
                <w:noProof/>
                <w:webHidden/>
              </w:rPr>
              <w:fldChar w:fldCharType="end"/>
            </w:r>
          </w:hyperlink>
        </w:p>
        <w:p w14:paraId="7431E3F6" w14:textId="0C232413" w:rsidR="0026734B" w:rsidRDefault="002475E0">
          <w:pPr>
            <w:pStyle w:val="TOC1"/>
            <w:rPr>
              <w:rFonts w:asciiTheme="minorHAnsi" w:eastAsiaTheme="minorEastAsia" w:hAnsiTheme="minorHAnsi" w:cstheme="minorBidi"/>
              <w:noProof/>
              <w:sz w:val="22"/>
              <w:szCs w:val="22"/>
            </w:rPr>
          </w:pPr>
          <w:hyperlink w:anchor="_Toc93843358" w:history="1">
            <w:r w:rsidR="0026734B" w:rsidRPr="00A649CD">
              <w:rPr>
                <w:rStyle w:val="Hyperlink"/>
                <w:noProof/>
              </w:rPr>
              <w:t>6</w:t>
            </w:r>
            <w:r w:rsidR="0026734B">
              <w:rPr>
                <w:rFonts w:asciiTheme="minorHAnsi" w:eastAsiaTheme="minorEastAsia" w:hAnsiTheme="minorHAnsi" w:cstheme="minorBidi"/>
                <w:noProof/>
                <w:sz w:val="22"/>
                <w:szCs w:val="22"/>
              </w:rPr>
              <w:tab/>
            </w:r>
            <w:r w:rsidR="0026734B" w:rsidRPr="00A649CD">
              <w:rPr>
                <w:rStyle w:val="Hyperlink"/>
                <w:noProof/>
              </w:rPr>
              <w:t>Critique of the System of National Accounts</w:t>
            </w:r>
            <w:r w:rsidR="0026734B">
              <w:rPr>
                <w:noProof/>
                <w:webHidden/>
              </w:rPr>
              <w:tab/>
            </w:r>
            <w:r w:rsidR="0026734B">
              <w:rPr>
                <w:noProof/>
                <w:webHidden/>
              </w:rPr>
              <w:fldChar w:fldCharType="begin"/>
            </w:r>
            <w:r w:rsidR="0026734B">
              <w:rPr>
                <w:noProof/>
                <w:webHidden/>
              </w:rPr>
              <w:instrText xml:space="preserve"> PAGEREF _Toc93843358 \h </w:instrText>
            </w:r>
            <w:r w:rsidR="0026734B">
              <w:rPr>
                <w:noProof/>
                <w:webHidden/>
              </w:rPr>
            </w:r>
            <w:r w:rsidR="0026734B">
              <w:rPr>
                <w:noProof/>
                <w:webHidden/>
              </w:rPr>
              <w:fldChar w:fldCharType="separate"/>
            </w:r>
            <w:r w:rsidR="0026734B">
              <w:rPr>
                <w:noProof/>
                <w:webHidden/>
              </w:rPr>
              <w:t>30</w:t>
            </w:r>
            <w:r w:rsidR="0026734B">
              <w:rPr>
                <w:noProof/>
                <w:webHidden/>
              </w:rPr>
              <w:fldChar w:fldCharType="end"/>
            </w:r>
          </w:hyperlink>
        </w:p>
        <w:p w14:paraId="39033A92" w14:textId="0EF4D039" w:rsidR="0026734B" w:rsidRDefault="002475E0">
          <w:pPr>
            <w:pStyle w:val="TOC1"/>
            <w:rPr>
              <w:rFonts w:asciiTheme="minorHAnsi" w:eastAsiaTheme="minorEastAsia" w:hAnsiTheme="minorHAnsi" w:cstheme="minorBidi"/>
              <w:noProof/>
              <w:sz w:val="22"/>
              <w:szCs w:val="22"/>
            </w:rPr>
          </w:pPr>
          <w:hyperlink w:anchor="_Toc93843359" w:history="1">
            <w:r w:rsidR="0026734B" w:rsidRPr="00A649CD">
              <w:rPr>
                <w:rStyle w:val="Hyperlink"/>
                <w:noProof/>
              </w:rPr>
              <w:t>7</w:t>
            </w:r>
            <w:r w:rsidR="0026734B">
              <w:rPr>
                <w:rFonts w:asciiTheme="minorHAnsi" w:eastAsiaTheme="minorEastAsia" w:hAnsiTheme="minorHAnsi" w:cstheme="minorBidi"/>
                <w:noProof/>
                <w:sz w:val="22"/>
                <w:szCs w:val="22"/>
              </w:rPr>
              <w:tab/>
            </w:r>
            <w:r w:rsidR="0026734B" w:rsidRPr="00A649CD">
              <w:rPr>
                <w:rStyle w:val="Hyperlink"/>
                <w:noProof/>
              </w:rPr>
              <w:t>Conclusion and Implications</w:t>
            </w:r>
            <w:r w:rsidR="0026734B">
              <w:rPr>
                <w:noProof/>
                <w:webHidden/>
              </w:rPr>
              <w:tab/>
            </w:r>
            <w:r w:rsidR="0026734B">
              <w:rPr>
                <w:noProof/>
                <w:webHidden/>
              </w:rPr>
              <w:fldChar w:fldCharType="begin"/>
            </w:r>
            <w:r w:rsidR="0026734B">
              <w:rPr>
                <w:noProof/>
                <w:webHidden/>
              </w:rPr>
              <w:instrText xml:space="preserve"> PAGEREF _Toc93843359 \h </w:instrText>
            </w:r>
            <w:r w:rsidR="0026734B">
              <w:rPr>
                <w:noProof/>
                <w:webHidden/>
              </w:rPr>
            </w:r>
            <w:r w:rsidR="0026734B">
              <w:rPr>
                <w:noProof/>
                <w:webHidden/>
              </w:rPr>
              <w:fldChar w:fldCharType="separate"/>
            </w:r>
            <w:r w:rsidR="0026734B">
              <w:rPr>
                <w:noProof/>
                <w:webHidden/>
              </w:rPr>
              <w:t>30</w:t>
            </w:r>
            <w:r w:rsidR="0026734B">
              <w:rPr>
                <w:noProof/>
                <w:webHidden/>
              </w:rPr>
              <w:fldChar w:fldCharType="end"/>
            </w:r>
          </w:hyperlink>
        </w:p>
        <w:p w14:paraId="4BEAC396" w14:textId="21480E30" w:rsidR="0026734B" w:rsidRDefault="002475E0">
          <w:pPr>
            <w:pStyle w:val="TOC1"/>
            <w:rPr>
              <w:rFonts w:asciiTheme="minorHAnsi" w:eastAsiaTheme="minorEastAsia" w:hAnsiTheme="minorHAnsi" w:cstheme="minorBidi"/>
              <w:noProof/>
              <w:sz w:val="22"/>
              <w:szCs w:val="22"/>
            </w:rPr>
          </w:pPr>
          <w:hyperlink w:anchor="_Toc93843360" w:history="1">
            <w:r w:rsidR="0026734B" w:rsidRPr="00A649CD">
              <w:rPr>
                <w:rStyle w:val="Hyperlink"/>
                <w:noProof/>
              </w:rPr>
              <w:t>8</w:t>
            </w:r>
            <w:r w:rsidR="0026734B">
              <w:rPr>
                <w:rFonts w:asciiTheme="minorHAnsi" w:eastAsiaTheme="minorEastAsia" w:hAnsiTheme="minorHAnsi" w:cstheme="minorBidi"/>
                <w:noProof/>
                <w:sz w:val="22"/>
                <w:szCs w:val="22"/>
              </w:rPr>
              <w:tab/>
            </w:r>
            <w:r w:rsidR="0026734B" w:rsidRPr="00A649CD">
              <w:rPr>
                <w:rStyle w:val="Hyperlink"/>
                <w:noProof/>
              </w:rPr>
              <w:t>References</w:t>
            </w:r>
            <w:r w:rsidR="0026734B">
              <w:rPr>
                <w:noProof/>
                <w:webHidden/>
              </w:rPr>
              <w:tab/>
            </w:r>
            <w:r w:rsidR="0026734B">
              <w:rPr>
                <w:noProof/>
                <w:webHidden/>
              </w:rPr>
              <w:fldChar w:fldCharType="begin"/>
            </w:r>
            <w:r w:rsidR="0026734B">
              <w:rPr>
                <w:noProof/>
                <w:webHidden/>
              </w:rPr>
              <w:instrText xml:space="preserve"> PAGEREF _Toc93843360 \h </w:instrText>
            </w:r>
            <w:r w:rsidR="0026734B">
              <w:rPr>
                <w:noProof/>
                <w:webHidden/>
              </w:rPr>
            </w:r>
            <w:r w:rsidR="0026734B">
              <w:rPr>
                <w:noProof/>
                <w:webHidden/>
              </w:rPr>
              <w:fldChar w:fldCharType="separate"/>
            </w:r>
            <w:r w:rsidR="0026734B">
              <w:rPr>
                <w:noProof/>
                <w:webHidden/>
              </w:rPr>
              <w:t>34</w:t>
            </w:r>
            <w:r w:rsidR="0026734B">
              <w:rPr>
                <w:noProof/>
                <w:webHidden/>
              </w:rPr>
              <w:fldChar w:fldCharType="end"/>
            </w:r>
          </w:hyperlink>
        </w:p>
        <w:p w14:paraId="085E3573" w14:textId="636B7C28" w:rsidR="0026734B" w:rsidRDefault="002475E0">
          <w:pPr>
            <w:pStyle w:val="TOC1"/>
            <w:rPr>
              <w:rFonts w:asciiTheme="minorHAnsi" w:eastAsiaTheme="minorEastAsia" w:hAnsiTheme="minorHAnsi" w:cstheme="minorBidi"/>
              <w:noProof/>
              <w:sz w:val="22"/>
              <w:szCs w:val="22"/>
            </w:rPr>
          </w:pPr>
          <w:hyperlink w:anchor="_Toc93843361" w:history="1">
            <w:r w:rsidR="0026734B" w:rsidRPr="00A649CD">
              <w:rPr>
                <w:rStyle w:val="Hyperlink"/>
                <w:rFonts w:eastAsia="Times New Roman"/>
                <w:noProof/>
              </w:rPr>
              <w:t xml:space="preserve">Appendix 1. </w:t>
            </w:r>
            <w:r w:rsidR="0026734B" w:rsidRPr="00A649CD">
              <w:rPr>
                <w:rStyle w:val="Hyperlink"/>
                <w:noProof/>
              </w:rPr>
              <w:t>The UNESCO Mapping of SNA and Stats SA Classifications</w:t>
            </w:r>
            <w:r w:rsidR="0026734B">
              <w:rPr>
                <w:noProof/>
                <w:webHidden/>
              </w:rPr>
              <w:tab/>
            </w:r>
            <w:r w:rsidR="0026734B">
              <w:rPr>
                <w:noProof/>
                <w:webHidden/>
              </w:rPr>
              <w:fldChar w:fldCharType="begin"/>
            </w:r>
            <w:r w:rsidR="0026734B">
              <w:rPr>
                <w:noProof/>
                <w:webHidden/>
              </w:rPr>
              <w:instrText xml:space="preserve"> PAGEREF _Toc93843361 \h </w:instrText>
            </w:r>
            <w:r w:rsidR="0026734B">
              <w:rPr>
                <w:noProof/>
                <w:webHidden/>
              </w:rPr>
            </w:r>
            <w:r w:rsidR="0026734B">
              <w:rPr>
                <w:noProof/>
                <w:webHidden/>
              </w:rPr>
              <w:fldChar w:fldCharType="separate"/>
            </w:r>
            <w:r w:rsidR="0026734B">
              <w:rPr>
                <w:noProof/>
                <w:webHidden/>
              </w:rPr>
              <w:t>39</w:t>
            </w:r>
            <w:r w:rsidR="0026734B">
              <w:rPr>
                <w:noProof/>
                <w:webHidden/>
              </w:rPr>
              <w:fldChar w:fldCharType="end"/>
            </w:r>
          </w:hyperlink>
        </w:p>
        <w:p w14:paraId="21353C18" w14:textId="73034FFC" w:rsidR="0026734B" w:rsidRDefault="002475E0">
          <w:pPr>
            <w:pStyle w:val="TOC1"/>
            <w:rPr>
              <w:rFonts w:asciiTheme="minorHAnsi" w:eastAsiaTheme="minorEastAsia" w:hAnsiTheme="minorHAnsi" w:cstheme="minorBidi"/>
              <w:noProof/>
              <w:sz w:val="22"/>
              <w:szCs w:val="22"/>
            </w:rPr>
          </w:pPr>
          <w:hyperlink w:anchor="_Toc93843362" w:history="1">
            <w:r w:rsidR="0026734B" w:rsidRPr="00A649CD">
              <w:rPr>
                <w:rStyle w:val="Hyperlink"/>
                <w:noProof/>
              </w:rPr>
              <w:t>Appendix 2. A Simple Input-Output Framework</w:t>
            </w:r>
            <w:r w:rsidR="0026734B">
              <w:rPr>
                <w:noProof/>
                <w:webHidden/>
              </w:rPr>
              <w:tab/>
            </w:r>
            <w:r w:rsidR="0026734B">
              <w:rPr>
                <w:noProof/>
                <w:webHidden/>
              </w:rPr>
              <w:fldChar w:fldCharType="begin"/>
            </w:r>
            <w:r w:rsidR="0026734B">
              <w:rPr>
                <w:noProof/>
                <w:webHidden/>
              </w:rPr>
              <w:instrText xml:space="preserve"> PAGEREF _Toc93843362 \h </w:instrText>
            </w:r>
            <w:r w:rsidR="0026734B">
              <w:rPr>
                <w:noProof/>
                <w:webHidden/>
              </w:rPr>
            </w:r>
            <w:r w:rsidR="0026734B">
              <w:rPr>
                <w:noProof/>
                <w:webHidden/>
              </w:rPr>
              <w:fldChar w:fldCharType="separate"/>
            </w:r>
            <w:r w:rsidR="0026734B">
              <w:rPr>
                <w:noProof/>
                <w:webHidden/>
              </w:rPr>
              <w:t>59</w:t>
            </w:r>
            <w:r w:rsidR="0026734B">
              <w:rPr>
                <w:noProof/>
                <w:webHidden/>
              </w:rPr>
              <w:fldChar w:fldCharType="end"/>
            </w:r>
          </w:hyperlink>
        </w:p>
        <w:p w14:paraId="124F2ADB" w14:textId="43B9B4FD" w:rsidR="0026734B" w:rsidRDefault="002475E0">
          <w:pPr>
            <w:pStyle w:val="TOC1"/>
            <w:rPr>
              <w:rFonts w:asciiTheme="minorHAnsi" w:eastAsiaTheme="minorEastAsia" w:hAnsiTheme="minorHAnsi" w:cstheme="minorBidi"/>
              <w:noProof/>
              <w:sz w:val="22"/>
              <w:szCs w:val="22"/>
            </w:rPr>
          </w:pPr>
          <w:hyperlink w:anchor="_Toc93843363" w:history="1">
            <w:r w:rsidR="0026734B" w:rsidRPr="00A649CD">
              <w:rPr>
                <w:rStyle w:val="Hyperlink"/>
                <w:noProof/>
              </w:rPr>
              <w:t>Appendix 3. Available Data in South Africa</w:t>
            </w:r>
            <w:r w:rsidR="0026734B">
              <w:rPr>
                <w:noProof/>
                <w:webHidden/>
              </w:rPr>
              <w:tab/>
            </w:r>
            <w:r w:rsidR="0026734B">
              <w:rPr>
                <w:noProof/>
                <w:webHidden/>
              </w:rPr>
              <w:fldChar w:fldCharType="begin"/>
            </w:r>
            <w:r w:rsidR="0026734B">
              <w:rPr>
                <w:noProof/>
                <w:webHidden/>
              </w:rPr>
              <w:instrText xml:space="preserve"> PAGEREF _Toc93843363 \h </w:instrText>
            </w:r>
            <w:r w:rsidR="0026734B">
              <w:rPr>
                <w:noProof/>
                <w:webHidden/>
              </w:rPr>
            </w:r>
            <w:r w:rsidR="0026734B">
              <w:rPr>
                <w:noProof/>
                <w:webHidden/>
              </w:rPr>
              <w:fldChar w:fldCharType="separate"/>
            </w:r>
            <w:r w:rsidR="0026734B">
              <w:rPr>
                <w:noProof/>
                <w:webHidden/>
              </w:rPr>
              <w:t>62</w:t>
            </w:r>
            <w:r w:rsidR="0026734B">
              <w:rPr>
                <w:noProof/>
                <w:webHidden/>
              </w:rPr>
              <w:fldChar w:fldCharType="end"/>
            </w:r>
          </w:hyperlink>
        </w:p>
        <w:p w14:paraId="022BC7A3" w14:textId="0C027B9B" w:rsidR="0026734B" w:rsidRDefault="002475E0">
          <w:pPr>
            <w:pStyle w:val="TOC1"/>
            <w:rPr>
              <w:rFonts w:asciiTheme="minorHAnsi" w:eastAsiaTheme="minorEastAsia" w:hAnsiTheme="minorHAnsi" w:cstheme="minorBidi"/>
              <w:noProof/>
              <w:sz w:val="22"/>
              <w:szCs w:val="22"/>
            </w:rPr>
          </w:pPr>
          <w:hyperlink w:anchor="_Toc93843364" w:history="1">
            <w:r w:rsidR="0026734B" w:rsidRPr="00A649CD">
              <w:rPr>
                <w:rStyle w:val="Hyperlink"/>
                <w:noProof/>
              </w:rPr>
              <w:t>Appendix 4. Household Income Deciles</w:t>
            </w:r>
            <w:r w:rsidR="0026734B">
              <w:rPr>
                <w:noProof/>
                <w:webHidden/>
              </w:rPr>
              <w:tab/>
            </w:r>
            <w:r w:rsidR="0026734B">
              <w:rPr>
                <w:noProof/>
                <w:webHidden/>
              </w:rPr>
              <w:fldChar w:fldCharType="begin"/>
            </w:r>
            <w:r w:rsidR="0026734B">
              <w:rPr>
                <w:noProof/>
                <w:webHidden/>
              </w:rPr>
              <w:instrText xml:space="preserve"> PAGEREF _Toc93843364 \h </w:instrText>
            </w:r>
            <w:r w:rsidR="0026734B">
              <w:rPr>
                <w:noProof/>
                <w:webHidden/>
              </w:rPr>
            </w:r>
            <w:r w:rsidR="0026734B">
              <w:rPr>
                <w:noProof/>
                <w:webHidden/>
              </w:rPr>
              <w:fldChar w:fldCharType="separate"/>
            </w:r>
            <w:r w:rsidR="0026734B">
              <w:rPr>
                <w:noProof/>
                <w:webHidden/>
              </w:rPr>
              <w:t>66</w:t>
            </w:r>
            <w:r w:rsidR="0026734B">
              <w:rPr>
                <w:noProof/>
                <w:webHidden/>
              </w:rPr>
              <w:fldChar w:fldCharType="end"/>
            </w:r>
          </w:hyperlink>
        </w:p>
        <w:p w14:paraId="66EF2464" w14:textId="564C93B8" w:rsidR="0026734B" w:rsidRDefault="0026734B">
          <w:r>
            <w:rPr>
              <w:b/>
              <w:bCs/>
              <w:noProof/>
            </w:rPr>
            <w:fldChar w:fldCharType="end"/>
          </w:r>
        </w:p>
      </w:sdtContent>
    </w:sdt>
    <w:p w14:paraId="18A6DD2C" w14:textId="77777777" w:rsidR="00AC4262" w:rsidRDefault="00AC4262" w:rsidP="00AC4262">
      <w:pPr>
        <w:keepNext/>
        <w:keepLines/>
        <w:pBdr>
          <w:top w:val="nil"/>
          <w:left w:val="nil"/>
          <w:bottom w:val="nil"/>
          <w:right w:val="nil"/>
          <w:between w:val="nil"/>
        </w:pBdr>
        <w:spacing w:before="240" w:after="0"/>
      </w:pPr>
    </w:p>
    <w:p w14:paraId="5B9F3E79" w14:textId="77777777" w:rsidR="00AC46E4" w:rsidRDefault="00AC46E4" w:rsidP="008D4897">
      <w:pPr>
        <w:keepNext/>
        <w:keepLines/>
        <w:pBdr>
          <w:top w:val="nil"/>
          <w:left w:val="nil"/>
          <w:bottom w:val="nil"/>
          <w:right w:val="nil"/>
          <w:between w:val="nil"/>
        </w:pBdr>
        <w:spacing w:before="240" w:after="0"/>
        <w:rPr>
          <w:rFonts w:ascii="Calibri" w:eastAsia="Calibri" w:hAnsi="Calibri" w:cs="Calibri"/>
          <w:color w:val="2F5496"/>
          <w:sz w:val="28"/>
          <w:szCs w:val="28"/>
        </w:rPr>
      </w:pPr>
      <w:r>
        <w:rPr>
          <w:rFonts w:ascii="Calibri" w:eastAsia="Calibri" w:hAnsi="Calibri" w:cs="Calibri"/>
          <w:color w:val="2F5496"/>
          <w:sz w:val="28"/>
          <w:szCs w:val="28"/>
        </w:rPr>
        <w:t>Tables</w:t>
      </w:r>
    </w:p>
    <w:sdt>
      <w:sdtPr>
        <w:id w:val="232897556"/>
        <w:docPartObj>
          <w:docPartGallery w:val="Table of Contents"/>
          <w:docPartUnique/>
        </w:docPartObj>
      </w:sdtPr>
      <w:sdtEndPr/>
      <w:sdtContent>
        <w:p w14:paraId="072C8A57" w14:textId="77777777" w:rsidR="00AC46E4" w:rsidRPr="009D3DA2" w:rsidRDefault="00AC46E4" w:rsidP="00AC46E4">
          <w:pPr>
            <w:pBdr>
              <w:top w:val="nil"/>
              <w:left w:val="nil"/>
              <w:bottom w:val="nil"/>
              <w:right w:val="nil"/>
              <w:between w:val="nil"/>
            </w:pBdr>
            <w:tabs>
              <w:tab w:val="right" w:pos="9016"/>
            </w:tabs>
          </w:pPr>
          <w:r>
            <w:fldChar w:fldCharType="begin"/>
          </w:r>
          <w:r>
            <w:instrText xml:space="preserve"> TOC \h \u \z </w:instrText>
          </w:r>
          <w:r>
            <w:fldChar w:fldCharType="separate"/>
          </w:r>
          <w:hyperlink w:anchor="_heading=h.41mghml">
            <w:r w:rsidRPr="009D3DA2">
              <w:t>Table 1: Wages and employment numbers in 2020 at current prices</w:t>
            </w:r>
            <w:r w:rsidRPr="009D3DA2">
              <w:tab/>
              <w:t>15</w:t>
            </w:r>
          </w:hyperlink>
        </w:p>
        <w:p w14:paraId="52C3F20A" w14:textId="77777777" w:rsidR="00AC46E4" w:rsidRPr="009D3DA2" w:rsidRDefault="002475E0" w:rsidP="00AC46E4">
          <w:pPr>
            <w:pBdr>
              <w:top w:val="nil"/>
              <w:left w:val="nil"/>
              <w:bottom w:val="nil"/>
              <w:right w:val="nil"/>
              <w:between w:val="nil"/>
            </w:pBdr>
            <w:tabs>
              <w:tab w:val="right" w:pos="9016"/>
            </w:tabs>
          </w:pPr>
          <w:hyperlink w:anchor="_heading=h.vx1227">
            <w:r w:rsidR="00AC46E4" w:rsidRPr="009D3DA2">
              <w:t xml:space="preserve">Table 2: CCI domain sizes and elements that contribute to their size </w:t>
            </w:r>
            <w:r w:rsidR="00AC46E4" w:rsidRPr="009D3DA2">
              <w:tab/>
              <w:t>1</w:t>
            </w:r>
            <w:r w:rsidR="00AC46E4">
              <w:t>7</w:t>
            </w:r>
          </w:hyperlink>
        </w:p>
        <w:p w14:paraId="42293995" w14:textId="77777777" w:rsidR="00AC46E4" w:rsidRPr="009D3DA2" w:rsidRDefault="002475E0" w:rsidP="00AC46E4">
          <w:pPr>
            <w:pBdr>
              <w:top w:val="nil"/>
              <w:left w:val="nil"/>
              <w:bottom w:val="nil"/>
              <w:right w:val="nil"/>
              <w:between w:val="nil"/>
            </w:pBdr>
            <w:tabs>
              <w:tab w:val="right" w:pos="9016"/>
            </w:tabs>
          </w:pPr>
          <w:hyperlink w:anchor="_heading=h.4f1mdlm">
            <w:r w:rsidR="00AC46E4" w:rsidRPr="009D3DA2">
              <w:t>Table 3: South Africa’s GVA and GVA growth rate 2016-2020</w:t>
            </w:r>
            <w:r w:rsidR="00AC46E4" w:rsidRPr="009D3DA2">
              <w:tab/>
              <w:t>1</w:t>
            </w:r>
            <w:r w:rsidR="00AC46E4">
              <w:t>8</w:t>
            </w:r>
          </w:hyperlink>
        </w:p>
        <w:p w14:paraId="4292DBB3" w14:textId="77777777" w:rsidR="00AC46E4" w:rsidRPr="009D3DA2" w:rsidRDefault="002475E0" w:rsidP="00AC46E4">
          <w:pPr>
            <w:keepNext/>
            <w:pBdr>
              <w:top w:val="nil"/>
              <w:left w:val="nil"/>
              <w:bottom w:val="nil"/>
              <w:right w:val="nil"/>
              <w:between w:val="nil"/>
            </w:pBdr>
            <w:tabs>
              <w:tab w:val="right" w:pos="9016"/>
            </w:tabs>
          </w:pPr>
          <w:hyperlink w:anchor="_heading=h.2u6wntf">
            <w:r w:rsidR="00AC46E4" w:rsidRPr="009D3DA2">
              <w:t>Table 4: The Cultural and Creative Industries’ GVA and GVA growth rates 2016-2010</w:t>
            </w:r>
            <w:r w:rsidR="00AC46E4" w:rsidRPr="009D3DA2">
              <w:tab/>
            </w:r>
            <w:r w:rsidR="00AC46E4">
              <w:t>19</w:t>
            </w:r>
          </w:hyperlink>
        </w:p>
        <w:p w14:paraId="17034250" w14:textId="77777777" w:rsidR="00AC46E4" w:rsidRPr="009D3DA2" w:rsidRDefault="002475E0" w:rsidP="00AC46E4">
          <w:pPr>
            <w:pBdr>
              <w:top w:val="nil"/>
              <w:left w:val="nil"/>
              <w:bottom w:val="nil"/>
              <w:right w:val="nil"/>
              <w:between w:val="nil"/>
            </w:pBdr>
            <w:tabs>
              <w:tab w:val="right" w:pos="9016"/>
            </w:tabs>
          </w:pPr>
          <w:hyperlink w:anchor="_heading=h.28h4qwu">
            <w:r w:rsidR="00AC46E4" w:rsidRPr="009D3DA2">
              <w:t>Table 5: GVA at basic prices per domain (Constant 2015 prices, R millions)</w:t>
            </w:r>
            <w:r w:rsidR="00AC46E4" w:rsidRPr="009D3DA2">
              <w:tab/>
              <w:t>1</w:t>
            </w:r>
          </w:hyperlink>
          <w:r w:rsidR="00AC46E4">
            <w:t>9</w:t>
          </w:r>
        </w:p>
        <w:p w14:paraId="7313BA32" w14:textId="77777777" w:rsidR="00AC46E4" w:rsidRPr="009D3DA2" w:rsidRDefault="002475E0" w:rsidP="00AC46E4">
          <w:pPr>
            <w:pBdr>
              <w:top w:val="nil"/>
              <w:left w:val="nil"/>
              <w:bottom w:val="nil"/>
              <w:right w:val="nil"/>
              <w:between w:val="nil"/>
            </w:pBdr>
            <w:tabs>
              <w:tab w:val="right" w:pos="9016"/>
            </w:tabs>
          </w:pPr>
          <w:hyperlink w:anchor="_heading=h.nmf14n">
            <w:r w:rsidR="00AC46E4" w:rsidRPr="009D3DA2">
              <w:t>Table 6: GVA annual growth rates by domain</w:t>
            </w:r>
            <w:r w:rsidR="00AC46E4" w:rsidRPr="009D3DA2" w:rsidDel="0020771B">
              <w:t xml:space="preserve"> </w:t>
            </w:r>
            <w:r w:rsidR="00AC46E4" w:rsidRPr="009D3DA2">
              <w:tab/>
              <w:t>2</w:t>
            </w:r>
            <w:r w:rsidR="00AC46E4">
              <w:t>0</w:t>
            </w:r>
          </w:hyperlink>
        </w:p>
        <w:p w14:paraId="56DB06C6" w14:textId="77777777" w:rsidR="00AC46E4" w:rsidRPr="009D3DA2" w:rsidRDefault="002475E0" w:rsidP="00AC46E4">
          <w:pPr>
            <w:pBdr>
              <w:top w:val="nil"/>
              <w:left w:val="nil"/>
              <w:bottom w:val="nil"/>
              <w:right w:val="nil"/>
              <w:between w:val="nil"/>
            </w:pBdr>
            <w:tabs>
              <w:tab w:val="right" w:pos="9016"/>
            </w:tabs>
          </w:pPr>
          <w:hyperlink w:anchor="_heading=h.46r0co2">
            <w:r w:rsidR="00AC46E4" w:rsidRPr="009D3DA2">
              <w:t xml:space="preserve">Table 7: Total output or sales (intermediate output and final output) </w:t>
            </w:r>
            <w:r w:rsidR="00AC46E4" w:rsidRPr="009D3DA2">
              <w:tab/>
              <w:t>2</w:t>
            </w:r>
            <w:r w:rsidR="00AC46E4">
              <w:t>0</w:t>
            </w:r>
          </w:hyperlink>
        </w:p>
        <w:p w14:paraId="2B9FC873" w14:textId="77777777" w:rsidR="00AC46E4" w:rsidRPr="009D3DA2" w:rsidRDefault="002475E0" w:rsidP="00AC46E4">
          <w:pPr>
            <w:pBdr>
              <w:top w:val="nil"/>
              <w:left w:val="nil"/>
              <w:bottom w:val="nil"/>
              <w:right w:val="nil"/>
              <w:between w:val="nil"/>
            </w:pBdr>
            <w:tabs>
              <w:tab w:val="right" w:pos="9016"/>
            </w:tabs>
          </w:pPr>
          <w:hyperlink w:anchor="_heading=h.111kx3o">
            <w:r w:rsidR="00AC46E4" w:rsidRPr="009D3DA2">
              <w:t>Table 8: CCI Type I output multipliers for 2019</w:t>
            </w:r>
            <w:r w:rsidR="00AC46E4" w:rsidRPr="009D3DA2">
              <w:tab/>
              <w:t>2</w:t>
            </w:r>
            <w:r w:rsidR="00AC46E4">
              <w:t>1</w:t>
            </w:r>
          </w:hyperlink>
        </w:p>
        <w:p w14:paraId="2BD9BA8C" w14:textId="77777777" w:rsidR="00AC46E4" w:rsidRPr="009D3DA2" w:rsidRDefault="002475E0" w:rsidP="00AC46E4">
          <w:pPr>
            <w:pBdr>
              <w:top w:val="nil"/>
              <w:left w:val="nil"/>
              <w:bottom w:val="nil"/>
              <w:right w:val="nil"/>
              <w:between w:val="nil"/>
            </w:pBdr>
            <w:tabs>
              <w:tab w:val="right" w:pos="9016"/>
            </w:tabs>
          </w:pPr>
          <w:hyperlink w:anchor="_heading=h.2zbgiuw">
            <w:r w:rsidR="00AC46E4" w:rsidRPr="009D3DA2">
              <w:t>Table 9: CCI Type II output multipliers for 2019</w:t>
            </w:r>
            <w:r w:rsidR="00AC46E4" w:rsidRPr="009D3DA2">
              <w:tab/>
              <w:t>2</w:t>
            </w:r>
            <w:r w:rsidR="00AC46E4">
              <w:t>1</w:t>
            </w:r>
          </w:hyperlink>
        </w:p>
        <w:p w14:paraId="5AD64D5F" w14:textId="77777777" w:rsidR="00AC46E4" w:rsidRPr="009D3DA2" w:rsidRDefault="002475E0" w:rsidP="00AC46E4">
          <w:pPr>
            <w:pBdr>
              <w:top w:val="nil"/>
              <w:left w:val="nil"/>
              <w:bottom w:val="nil"/>
              <w:right w:val="nil"/>
              <w:between w:val="nil"/>
            </w:pBdr>
            <w:tabs>
              <w:tab w:val="right" w:pos="9016"/>
            </w:tabs>
          </w:pPr>
          <w:hyperlink w:anchor="_heading=h.2afmg28">
            <w:r w:rsidR="00AC46E4" w:rsidRPr="009D3DA2">
              <w:t>Table 10: CCI Capital Stock (R million 2015 constant prices)</w:t>
            </w:r>
            <w:r w:rsidR="00AC46E4" w:rsidRPr="009D3DA2">
              <w:tab/>
            </w:r>
            <w:r w:rsidR="00AC46E4">
              <w:t>22</w:t>
            </w:r>
          </w:hyperlink>
        </w:p>
        <w:p w14:paraId="6A631E69" w14:textId="77777777" w:rsidR="00AC46E4" w:rsidRPr="009D3DA2" w:rsidRDefault="002475E0" w:rsidP="00AC46E4">
          <w:pPr>
            <w:pBdr>
              <w:top w:val="nil"/>
              <w:left w:val="nil"/>
              <w:bottom w:val="nil"/>
              <w:right w:val="nil"/>
              <w:between w:val="nil"/>
            </w:pBdr>
            <w:tabs>
              <w:tab w:val="right" w:pos="9016"/>
            </w:tabs>
          </w:pPr>
          <w:hyperlink w:anchor="_heading=h.2afmg28">
            <w:r w:rsidR="00AC46E4" w:rsidRPr="009D3DA2">
              <w:t>Table 11: Gross fixed capital formation (GFCF) 2020 (R million 2015 constant prices)</w:t>
            </w:r>
            <w:r w:rsidR="00AC46E4" w:rsidRPr="009D3DA2">
              <w:tab/>
            </w:r>
            <w:r w:rsidR="00AC46E4">
              <w:t>22</w:t>
            </w:r>
          </w:hyperlink>
        </w:p>
        <w:p w14:paraId="7792875F" w14:textId="77777777" w:rsidR="00AC46E4" w:rsidRPr="009D3DA2" w:rsidRDefault="002475E0" w:rsidP="00AC46E4">
          <w:pPr>
            <w:pBdr>
              <w:top w:val="nil"/>
              <w:left w:val="nil"/>
              <w:bottom w:val="nil"/>
              <w:right w:val="nil"/>
              <w:between w:val="nil"/>
            </w:pBdr>
            <w:tabs>
              <w:tab w:val="right" w:pos="9016"/>
            </w:tabs>
          </w:pPr>
          <w:hyperlink w:anchor="_heading=h.2afmg28">
            <w:r w:rsidR="00AC46E4" w:rsidRPr="009D3DA2">
              <w:t>Table 12: Labour skills levels by domain (derived from total compensation data)</w:t>
            </w:r>
            <w:r w:rsidR="00AC46E4" w:rsidRPr="009D3DA2">
              <w:tab/>
            </w:r>
            <w:r w:rsidR="00AC46E4">
              <w:t>23</w:t>
            </w:r>
          </w:hyperlink>
        </w:p>
        <w:p w14:paraId="4B603090" w14:textId="77777777" w:rsidR="00AC46E4" w:rsidRPr="009D3DA2" w:rsidRDefault="002475E0" w:rsidP="00AC46E4">
          <w:pPr>
            <w:pBdr>
              <w:top w:val="nil"/>
              <w:left w:val="nil"/>
              <w:bottom w:val="nil"/>
              <w:right w:val="nil"/>
              <w:between w:val="nil"/>
            </w:pBdr>
            <w:tabs>
              <w:tab w:val="right" w:pos="9016"/>
            </w:tabs>
          </w:pPr>
          <w:hyperlink w:anchor="_heading=h.2afmg28">
            <w:r w:rsidR="00AC46E4" w:rsidRPr="009D3DA2">
              <w:t>Table 13: Gini coefficients per domain</w:t>
            </w:r>
            <w:r w:rsidR="00AC46E4" w:rsidRPr="009D3DA2">
              <w:tab/>
            </w:r>
            <w:r w:rsidR="00AC46E4">
              <w:t>24</w:t>
            </w:r>
          </w:hyperlink>
        </w:p>
        <w:p w14:paraId="4433D144" w14:textId="77777777" w:rsidR="00AC46E4" w:rsidRPr="009D3DA2" w:rsidRDefault="002475E0" w:rsidP="00AC46E4">
          <w:pPr>
            <w:pBdr>
              <w:top w:val="nil"/>
              <w:left w:val="nil"/>
              <w:bottom w:val="nil"/>
              <w:right w:val="nil"/>
              <w:between w:val="nil"/>
            </w:pBdr>
            <w:tabs>
              <w:tab w:val="right" w:pos="9016"/>
            </w:tabs>
          </w:pPr>
          <w:hyperlink w:anchor="_heading=h.2afmg28">
            <w:r w:rsidR="00AC46E4" w:rsidRPr="009D3DA2">
              <w:t>Table 14: Basic IO Transactions Table</w:t>
            </w:r>
            <w:r w:rsidR="00AC46E4" w:rsidRPr="009D3DA2">
              <w:tab/>
            </w:r>
            <w:r w:rsidR="00AC46E4">
              <w:t>59</w:t>
            </w:r>
          </w:hyperlink>
        </w:p>
        <w:p w14:paraId="12EFE616" w14:textId="77777777" w:rsidR="00AC46E4" w:rsidRPr="009D3DA2" w:rsidRDefault="002475E0" w:rsidP="00AC46E4">
          <w:pPr>
            <w:pBdr>
              <w:top w:val="nil"/>
              <w:left w:val="nil"/>
              <w:bottom w:val="nil"/>
              <w:right w:val="nil"/>
              <w:between w:val="nil"/>
            </w:pBdr>
            <w:tabs>
              <w:tab w:val="right" w:pos="9016"/>
            </w:tabs>
          </w:pPr>
          <w:hyperlink w:anchor="_heading=h.2afmg28">
            <w:r w:rsidR="00AC46E4" w:rsidRPr="009D3DA2">
              <w:t>Table 15: A highly simplified IO accounting framework</w:t>
            </w:r>
            <w:r w:rsidR="00AC46E4" w:rsidRPr="009D3DA2">
              <w:tab/>
            </w:r>
            <w:r w:rsidR="00AC46E4">
              <w:t>59</w:t>
            </w:r>
          </w:hyperlink>
        </w:p>
        <w:p w14:paraId="185A9F4E" w14:textId="77777777" w:rsidR="00AC46E4" w:rsidRPr="009D3DA2" w:rsidRDefault="002475E0" w:rsidP="00AC46E4">
          <w:pPr>
            <w:pBdr>
              <w:top w:val="nil"/>
              <w:left w:val="nil"/>
              <w:bottom w:val="nil"/>
              <w:right w:val="nil"/>
              <w:between w:val="nil"/>
            </w:pBdr>
            <w:tabs>
              <w:tab w:val="right" w:pos="9016"/>
            </w:tabs>
            <w:jc w:val="both"/>
          </w:pPr>
          <w:hyperlink w:anchor="_heading=h.2afmg28">
            <w:r w:rsidR="00AC46E4" w:rsidRPr="009D3DA2">
              <w:t>Table 16: Technical coefficients of an IO table (Matrix A)</w:t>
            </w:r>
            <w:r w:rsidR="00AC46E4" w:rsidRPr="009D3DA2">
              <w:tab/>
              <w:t>60</w:t>
            </w:r>
          </w:hyperlink>
        </w:p>
        <w:p w14:paraId="679E277C" w14:textId="77777777" w:rsidR="00AC46E4" w:rsidRPr="009D3DA2" w:rsidRDefault="002475E0" w:rsidP="00AC46E4">
          <w:pPr>
            <w:pBdr>
              <w:top w:val="nil"/>
              <w:left w:val="nil"/>
              <w:bottom w:val="nil"/>
              <w:right w:val="nil"/>
              <w:between w:val="nil"/>
            </w:pBdr>
            <w:tabs>
              <w:tab w:val="right" w:pos="9026"/>
            </w:tabs>
            <w:jc w:val="both"/>
          </w:pPr>
          <w:hyperlink w:anchor="_heading=h.2afmg28">
            <w:r w:rsidR="00AC46E4" w:rsidRPr="009D3DA2">
              <w:t>Table 17: Potential data sources that can be used in the CSA</w:t>
            </w:r>
            <w:r w:rsidR="00AC46E4" w:rsidRPr="009D3DA2">
              <w:tab/>
            </w:r>
            <w:r w:rsidR="00AC46E4">
              <w:t>62</w:t>
            </w:r>
          </w:hyperlink>
        </w:p>
        <w:p w14:paraId="395DAA12" w14:textId="77777777" w:rsidR="00AC46E4" w:rsidRPr="009D3DA2" w:rsidRDefault="002475E0" w:rsidP="00AC46E4">
          <w:pPr>
            <w:pBdr>
              <w:top w:val="nil"/>
              <w:left w:val="nil"/>
              <w:bottom w:val="nil"/>
              <w:right w:val="nil"/>
              <w:between w:val="nil"/>
            </w:pBdr>
            <w:tabs>
              <w:tab w:val="right" w:pos="9026"/>
            </w:tabs>
          </w:pPr>
          <w:hyperlink w:anchor="_heading=h.2afmg28">
            <w:r w:rsidR="00AC46E4" w:rsidRPr="009D3DA2">
              <w:t>Table 18: Differences in coding between SIC, ICNPO and ISIC</w:t>
            </w:r>
            <w:r w:rsidR="00AC46E4" w:rsidRPr="009D3DA2">
              <w:tab/>
              <w:t>6</w:t>
            </w:r>
            <w:r w:rsidR="00AC46E4">
              <w:t>4</w:t>
            </w:r>
          </w:hyperlink>
        </w:p>
        <w:p w14:paraId="59524F33" w14:textId="77777777" w:rsidR="00AC46E4" w:rsidRPr="009D3DA2" w:rsidRDefault="002475E0" w:rsidP="00AC46E4">
          <w:pPr>
            <w:pBdr>
              <w:top w:val="nil"/>
              <w:left w:val="nil"/>
              <w:bottom w:val="nil"/>
              <w:right w:val="nil"/>
              <w:between w:val="nil"/>
            </w:pBdr>
            <w:tabs>
              <w:tab w:val="right" w:pos="9026"/>
            </w:tabs>
          </w:pPr>
          <w:hyperlink w:anchor="_heading=h.2afmg28">
            <w:r w:rsidR="00AC46E4" w:rsidRPr="009D3DA2">
              <w:t>Table 19: H</w:t>
            </w:r>
            <w:r w:rsidR="00AC46E4" w:rsidRPr="00C815B6">
              <w:t>ousehold Income Deciles</w:t>
            </w:r>
            <w:r w:rsidR="00AC46E4" w:rsidRPr="009D3DA2">
              <w:tab/>
              <w:t>6</w:t>
            </w:r>
            <w:r w:rsidR="00AC46E4">
              <w:t>6</w:t>
            </w:r>
          </w:hyperlink>
        </w:p>
        <w:p w14:paraId="45B54F7D" w14:textId="77777777" w:rsidR="00AC46E4" w:rsidRDefault="00AC46E4" w:rsidP="00AC46E4">
          <w:r>
            <w:fldChar w:fldCharType="end"/>
          </w:r>
          <w:r w:rsidRPr="00DE13B5">
            <w:rPr>
              <w:i/>
              <w:color w:val="44546A"/>
              <w:sz w:val="18"/>
              <w:szCs w:val="18"/>
            </w:rPr>
            <w:t xml:space="preserve"> </w:t>
          </w:r>
        </w:p>
      </w:sdtContent>
    </w:sdt>
    <w:p w14:paraId="57B740D5" w14:textId="77777777" w:rsidR="00AC46E4" w:rsidRDefault="00AC46E4" w:rsidP="00AC46E4">
      <w:pPr>
        <w:keepNext/>
        <w:keepLines/>
        <w:pBdr>
          <w:top w:val="nil"/>
          <w:left w:val="nil"/>
          <w:bottom w:val="nil"/>
          <w:right w:val="nil"/>
          <w:between w:val="nil"/>
        </w:pBdr>
        <w:spacing w:before="240" w:after="0"/>
        <w:ind w:left="716" w:hanging="432"/>
        <w:rPr>
          <w:rFonts w:ascii="Calibri" w:eastAsia="Calibri" w:hAnsi="Calibri" w:cs="Calibri"/>
          <w:color w:val="2F5496"/>
          <w:sz w:val="28"/>
          <w:szCs w:val="28"/>
        </w:rPr>
      </w:pPr>
      <w:r>
        <w:br w:type="page"/>
      </w:r>
      <w:r>
        <w:rPr>
          <w:rFonts w:ascii="Calibri" w:eastAsia="Calibri" w:hAnsi="Calibri" w:cs="Calibri"/>
          <w:color w:val="2F5496"/>
          <w:sz w:val="28"/>
          <w:szCs w:val="28"/>
        </w:rPr>
        <w:lastRenderedPageBreak/>
        <w:t>Figures</w:t>
      </w:r>
    </w:p>
    <w:sdt>
      <w:sdtPr>
        <w:id w:val="-1256283513"/>
        <w:docPartObj>
          <w:docPartGallery w:val="Table of Contents"/>
          <w:docPartUnique/>
        </w:docPartObj>
      </w:sdtPr>
      <w:sdtEndPr/>
      <w:sdtContent>
        <w:p w14:paraId="2C3EFDBA" w14:textId="77777777" w:rsidR="00AC46E4" w:rsidRDefault="00AC46E4" w:rsidP="00AC46E4">
          <w:pPr>
            <w:pBdr>
              <w:top w:val="nil"/>
              <w:left w:val="nil"/>
              <w:bottom w:val="nil"/>
              <w:right w:val="nil"/>
              <w:between w:val="nil"/>
            </w:pBdr>
            <w:tabs>
              <w:tab w:val="right" w:pos="9016"/>
            </w:tabs>
            <w:spacing w:after="200" w:line="276" w:lineRule="auto"/>
            <w:rPr>
              <w:color w:val="000000"/>
              <w:sz w:val="22"/>
              <w:szCs w:val="22"/>
            </w:rPr>
          </w:pPr>
          <w:r>
            <w:fldChar w:fldCharType="begin"/>
          </w:r>
          <w:r>
            <w:instrText xml:space="preserve"> TOC \h \u \z </w:instrText>
          </w:r>
          <w:r>
            <w:fldChar w:fldCharType="separate"/>
          </w:r>
          <w:hyperlink w:anchor="_heading=h.1t3h5sf">
            <w:r>
              <w:rPr>
                <w:color w:val="000000"/>
              </w:rPr>
              <w:t>Figure 1: Summary of Research Reports included in the COVID-19 bibliographic database</w:t>
            </w:r>
            <w:r>
              <w:rPr>
                <w:color w:val="000000"/>
              </w:rPr>
              <w:tab/>
              <w:t>2</w:t>
            </w:r>
          </w:hyperlink>
        </w:p>
        <w:p w14:paraId="079893F4"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4d34og8">
            <w:r w:rsidR="00AC46E4">
              <w:rPr>
                <w:color w:val="000000"/>
              </w:rPr>
              <w:t>Figure 2: Themes identified in COVID-19 and the creative economy bibliographic database</w:t>
            </w:r>
            <w:r w:rsidR="00AC46E4">
              <w:rPr>
                <w:color w:val="000000"/>
              </w:rPr>
              <w:tab/>
              <w:t>3</w:t>
            </w:r>
          </w:hyperlink>
        </w:p>
        <w:p w14:paraId="0370A0C8"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lnxbz9">
            <w:r w:rsidR="00AC46E4">
              <w:rPr>
                <w:color w:val="000000"/>
              </w:rPr>
              <w:t>Figure 3: UNESCO’s cultural domains</w:t>
            </w:r>
            <w:r w:rsidR="00AC46E4">
              <w:rPr>
                <w:color w:val="000000"/>
              </w:rPr>
              <w:tab/>
              <w:t>6</w:t>
            </w:r>
          </w:hyperlink>
        </w:p>
        <w:p w14:paraId="12D4C16C"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qsh70q">
            <w:r w:rsidR="00AC46E4">
              <w:rPr>
                <w:color w:val="000000"/>
              </w:rPr>
              <w:t>Figure 4: Schematic of a CCI IO</w:t>
            </w:r>
            <w:r w:rsidR="00AC46E4">
              <w:rPr>
                <w:color w:val="000000"/>
              </w:rPr>
              <w:tab/>
              <w:t>12</w:t>
            </w:r>
          </w:hyperlink>
        </w:p>
        <w:p w14:paraId="070CF885"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49x2ik5">
            <w:r w:rsidR="00AC46E4">
              <w:rPr>
                <w:color w:val="000000"/>
              </w:rPr>
              <w:t>Figure 5: Components of value added in 2015 base year</w:t>
            </w:r>
            <w:r w:rsidR="00AC46E4">
              <w:rPr>
                <w:color w:val="000000"/>
              </w:rPr>
              <w:tab/>
              <w:t>14</w:t>
            </w:r>
          </w:hyperlink>
        </w:p>
        <w:p w14:paraId="17A6C735"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3o7alnk">
            <w:r w:rsidR="00AC46E4">
              <w:rPr>
                <w:color w:val="000000"/>
              </w:rPr>
              <w:t>Figure 6: GVA Contribution per CCI Domain (at current 2020 prices)</w:t>
            </w:r>
            <w:r w:rsidR="00AC46E4">
              <w:rPr>
                <w:color w:val="000000"/>
              </w:rPr>
              <w:tab/>
              <w:t>16</w:t>
            </w:r>
          </w:hyperlink>
        </w:p>
        <w:p w14:paraId="7434FB44"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32hioqz">
            <w:r w:rsidR="00AC46E4">
              <w:rPr>
                <w:color w:val="000000"/>
              </w:rPr>
              <w:t>Figure 7: GVA per Cultural Domain (Percentage) 2020</w:t>
            </w:r>
            <w:r w:rsidR="00AC46E4">
              <w:rPr>
                <w:color w:val="000000"/>
              </w:rPr>
              <w:tab/>
              <w:t>18</w:t>
            </w:r>
          </w:hyperlink>
        </w:p>
        <w:p w14:paraId="2F9856B1"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4k668n3">
            <w:r w:rsidR="00AC46E4">
              <w:rPr>
                <w:color w:val="000000"/>
              </w:rPr>
              <w:t>Figure 8: The Lorenz curve</w:t>
            </w:r>
            <w:r w:rsidR="00AC46E4">
              <w:rPr>
                <w:color w:val="000000"/>
              </w:rPr>
              <w:tab/>
              <w:t>24</w:t>
            </w:r>
          </w:hyperlink>
        </w:p>
        <w:p w14:paraId="024288DD"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1egqt2p">
            <w:r w:rsidR="00AC46E4">
              <w:rPr>
                <w:color w:val="000000"/>
              </w:rPr>
              <w:t>Figure 9: Lorenz Curves by Domain</w:t>
            </w:r>
            <w:r w:rsidR="00AC46E4">
              <w:rPr>
                <w:color w:val="000000"/>
              </w:rPr>
              <w:tab/>
              <w:t>25</w:t>
            </w:r>
          </w:hyperlink>
        </w:p>
        <w:p w14:paraId="4D89417A"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2dlolyb">
            <w:r w:rsidR="00AC46E4">
              <w:rPr>
                <w:color w:val="000000"/>
              </w:rPr>
              <w:t>Figure 10: Consumption expenditure of Recreation and Entertainment goods and services</w:t>
            </w:r>
            <w:r w:rsidR="00AC46E4">
              <w:rPr>
                <w:color w:val="000000"/>
              </w:rPr>
              <w:tab/>
              <w:t>26</w:t>
            </w:r>
          </w:hyperlink>
        </w:p>
        <w:p w14:paraId="25A1D232"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sqyw64">
            <w:r w:rsidR="00AC46E4">
              <w:rPr>
                <w:color w:val="000000"/>
              </w:rPr>
              <w:t>Figure 11: Index of consumption expenditure of Recreation and Entertainment goods and services</w:t>
            </w:r>
            <w:r w:rsidR="00AC46E4">
              <w:rPr>
                <w:color w:val="000000"/>
              </w:rPr>
              <w:tab/>
              <w:t>27</w:t>
            </w:r>
          </w:hyperlink>
        </w:p>
        <w:p w14:paraId="4C098FB8"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1rvwp1q">
            <w:r w:rsidR="00AC46E4">
              <w:rPr>
                <w:color w:val="000000"/>
              </w:rPr>
              <w:t>Figure 12: South Africa’s CPI and CPI of selected CCIs</w:t>
            </w:r>
            <w:r w:rsidR="00AC46E4">
              <w:rPr>
                <w:color w:val="000000"/>
              </w:rPr>
              <w:tab/>
              <w:t>28</w:t>
            </w:r>
          </w:hyperlink>
        </w:p>
        <w:p w14:paraId="25DB7198"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4bvk7pj">
            <w:r w:rsidR="00AC46E4">
              <w:rPr>
                <w:color w:val="000000"/>
              </w:rPr>
              <w:t>Figure 13: CPI of books and newspapers and periodicals</w:t>
            </w:r>
            <w:r w:rsidR="00AC46E4">
              <w:rPr>
                <w:color w:val="000000"/>
              </w:rPr>
              <w:tab/>
              <w:t>29</w:t>
            </w:r>
          </w:hyperlink>
        </w:p>
        <w:p w14:paraId="6EA18F56"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2r0uhxc">
            <w:r w:rsidR="00AC46E4">
              <w:rPr>
                <w:color w:val="000000"/>
              </w:rPr>
              <w:t>Figure 14: CPI of Cinema and TV</w:t>
            </w:r>
            <w:r w:rsidR="00AC46E4">
              <w:rPr>
                <w:color w:val="000000"/>
              </w:rPr>
              <w:tab/>
              <w:t>29</w:t>
            </w:r>
          </w:hyperlink>
        </w:p>
        <w:p w14:paraId="4704BC25"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1664s55">
            <w:r w:rsidR="00AC46E4">
              <w:rPr>
                <w:color w:val="000000"/>
              </w:rPr>
              <w:t>Figure 15: CPI of musical instruments</w:t>
            </w:r>
            <w:r w:rsidR="00AC46E4">
              <w:rPr>
                <w:color w:val="000000"/>
              </w:rPr>
              <w:tab/>
              <w:t>30</w:t>
            </w:r>
          </w:hyperlink>
        </w:p>
        <w:p w14:paraId="1BB2B27B"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kgcv8k">
            <w:r w:rsidR="00AC46E4">
              <w:rPr>
                <w:color w:val="000000"/>
              </w:rPr>
              <w:t>Figure 16: The CCI Ecosystem</w:t>
            </w:r>
            <w:r w:rsidR="00AC46E4">
              <w:rPr>
                <w:color w:val="000000"/>
              </w:rPr>
              <w:tab/>
              <w:t>32</w:t>
            </w:r>
          </w:hyperlink>
        </w:p>
        <w:p w14:paraId="3175E6C3"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2iq8gzs">
            <w:r w:rsidR="00AC46E4">
              <w:rPr>
                <w:color w:val="000000"/>
              </w:rPr>
              <w:t>Figure 17: Tableau Économique</w:t>
            </w:r>
            <w:r w:rsidR="00AC46E4">
              <w:rPr>
                <w:color w:val="000000"/>
              </w:rPr>
              <w:tab/>
              <w:t>38</w:t>
            </w:r>
          </w:hyperlink>
        </w:p>
        <w:p w14:paraId="132284A9" w14:textId="77777777" w:rsidR="00AC46E4" w:rsidRDefault="002475E0" w:rsidP="00AC46E4">
          <w:pPr>
            <w:pBdr>
              <w:top w:val="nil"/>
              <w:left w:val="nil"/>
              <w:bottom w:val="nil"/>
              <w:right w:val="nil"/>
              <w:between w:val="nil"/>
            </w:pBdr>
            <w:tabs>
              <w:tab w:val="right" w:pos="9016"/>
            </w:tabs>
            <w:spacing w:after="200" w:line="276" w:lineRule="auto"/>
            <w:rPr>
              <w:color w:val="000000"/>
              <w:sz w:val="22"/>
              <w:szCs w:val="22"/>
            </w:rPr>
          </w:pPr>
          <w:hyperlink w:anchor="_heading=h.1baon6m">
            <w:r w:rsidR="00AC46E4">
              <w:rPr>
                <w:color w:val="000000"/>
              </w:rPr>
              <w:t>Figure 18: UNESCO mapping using ISIC</w:t>
            </w:r>
            <w:r w:rsidR="00AC46E4">
              <w:rPr>
                <w:color w:val="000000"/>
              </w:rPr>
              <w:tab/>
              <w:t>58</w:t>
            </w:r>
          </w:hyperlink>
        </w:p>
        <w:p w14:paraId="5A511F93" w14:textId="149D2A4E" w:rsidR="00AC46E4" w:rsidRDefault="00AC46E4" w:rsidP="00AC46E4">
          <w:pPr>
            <w:keepNext/>
            <w:keepLines/>
            <w:pBdr>
              <w:top w:val="nil"/>
              <w:left w:val="nil"/>
              <w:bottom w:val="nil"/>
              <w:right w:val="nil"/>
              <w:between w:val="nil"/>
            </w:pBdr>
            <w:spacing w:before="240" w:after="0"/>
          </w:pPr>
          <w:r>
            <w:fldChar w:fldCharType="end"/>
          </w:r>
        </w:p>
      </w:sdtContent>
    </w:sdt>
    <w:p w14:paraId="00000037" w14:textId="052AE99F" w:rsidR="00F8269C" w:rsidRDefault="00450D2D" w:rsidP="00AC46E4">
      <w:pPr>
        <w:keepNext/>
        <w:keepLines/>
        <w:pBdr>
          <w:top w:val="nil"/>
          <w:left w:val="nil"/>
          <w:bottom w:val="nil"/>
          <w:right w:val="nil"/>
          <w:between w:val="nil"/>
        </w:pBdr>
        <w:spacing w:before="240" w:after="0"/>
      </w:pPr>
      <w:r>
        <w:br w:type="page"/>
      </w:r>
    </w:p>
    <w:p w14:paraId="00000058" w14:textId="258700C7" w:rsidR="00F8269C" w:rsidRDefault="00450D2D">
      <w:pPr>
        <w:keepNext/>
        <w:keepLines/>
        <w:pBdr>
          <w:top w:val="nil"/>
          <w:left w:val="nil"/>
          <w:bottom w:val="nil"/>
          <w:right w:val="nil"/>
          <w:between w:val="nil"/>
        </w:pBdr>
        <w:spacing w:before="240" w:after="0"/>
        <w:ind w:left="716" w:hanging="432"/>
        <w:rPr>
          <w:rFonts w:ascii="Calibri" w:eastAsia="Calibri" w:hAnsi="Calibri" w:cs="Calibri"/>
          <w:color w:val="2F5496"/>
          <w:sz w:val="28"/>
          <w:szCs w:val="28"/>
        </w:rPr>
      </w:pPr>
      <w:r>
        <w:rPr>
          <w:rFonts w:ascii="Calibri" w:eastAsia="Calibri" w:hAnsi="Calibri" w:cs="Calibri"/>
          <w:color w:val="2F5496"/>
          <w:sz w:val="28"/>
          <w:szCs w:val="28"/>
        </w:rPr>
        <w:lastRenderedPageBreak/>
        <w:t>Table of Abbreviations</w:t>
      </w:r>
    </w:p>
    <w:p w14:paraId="00000059" w14:textId="77777777" w:rsidR="00F8269C" w:rsidRDefault="00F8269C"/>
    <w:p w14:paraId="0000005A" w14:textId="77777777" w:rsidR="00F8269C" w:rsidRPr="009D3DA2" w:rsidRDefault="00450D2D" w:rsidP="009D3DA2">
      <w:pPr>
        <w:spacing w:line="240" w:lineRule="auto"/>
        <w:rPr>
          <w:sz w:val="22"/>
          <w:szCs w:val="22"/>
        </w:rPr>
      </w:pPr>
      <w:r w:rsidRPr="009D3DA2">
        <w:rPr>
          <w:sz w:val="22"/>
          <w:szCs w:val="22"/>
        </w:rPr>
        <w:t>AFS</w:t>
      </w:r>
      <w:r w:rsidRPr="009D3DA2">
        <w:rPr>
          <w:sz w:val="22"/>
          <w:szCs w:val="22"/>
        </w:rPr>
        <w:tab/>
      </w:r>
      <w:r w:rsidRPr="009D3DA2">
        <w:rPr>
          <w:sz w:val="22"/>
          <w:szCs w:val="22"/>
        </w:rPr>
        <w:tab/>
        <w:t>Annual Financial Statistics</w:t>
      </w:r>
    </w:p>
    <w:p w14:paraId="10D425F8" w14:textId="2C63DC4C" w:rsidR="0017295B" w:rsidRPr="009D3DA2" w:rsidRDefault="0017295B" w:rsidP="009D3DA2">
      <w:pPr>
        <w:spacing w:line="240" w:lineRule="auto"/>
        <w:rPr>
          <w:sz w:val="22"/>
          <w:szCs w:val="22"/>
        </w:rPr>
      </w:pPr>
      <w:r w:rsidRPr="009D3DA2">
        <w:rPr>
          <w:sz w:val="22"/>
          <w:szCs w:val="22"/>
        </w:rPr>
        <w:t>CAGR</w:t>
      </w:r>
      <w:r w:rsidRPr="009D3DA2">
        <w:rPr>
          <w:sz w:val="22"/>
          <w:szCs w:val="22"/>
        </w:rPr>
        <w:tab/>
      </w:r>
      <w:r w:rsidRPr="009D3DA2">
        <w:rPr>
          <w:sz w:val="22"/>
          <w:szCs w:val="22"/>
        </w:rPr>
        <w:tab/>
        <w:t>Compound Annual Growth rate</w:t>
      </w:r>
    </w:p>
    <w:p w14:paraId="0000005B" w14:textId="08A07ABE" w:rsidR="00F8269C" w:rsidRPr="009D3DA2" w:rsidRDefault="00450D2D" w:rsidP="009D3DA2">
      <w:pPr>
        <w:spacing w:line="240" w:lineRule="auto"/>
        <w:rPr>
          <w:sz w:val="22"/>
          <w:szCs w:val="22"/>
        </w:rPr>
      </w:pPr>
      <w:r w:rsidRPr="009D3DA2">
        <w:rPr>
          <w:sz w:val="22"/>
          <w:szCs w:val="22"/>
        </w:rPr>
        <w:t>CCI</w:t>
      </w:r>
      <w:r w:rsidRPr="009D3DA2">
        <w:rPr>
          <w:sz w:val="22"/>
          <w:szCs w:val="22"/>
        </w:rPr>
        <w:tab/>
      </w:r>
      <w:r w:rsidRPr="009D3DA2">
        <w:rPr>
          <w:sz w:val="22"/>
          <w:szCs w:val="22"/>
        </w:rPr>
        <w:tab/>
        <w:t xml:space="preserve">Cultural and </w:t>
      </w:r>
      <w:r w:rsidR="00F44348">
        <w:rPr>
          <w:sz w:val="22"/>
          <w:szCs w:val="22"/>
        </w:rPr>
        <w:t>C</w:t>
      </w:r>
      <w:r w:rsidRPr="009D3DA2">
        <w:rPr>
          <w:sz w:val="22"/>
          <w:szCs w:val="22"/>
        </w:rPr>
        <w:t xml:space="preserve">reative </w:t>
      </w:r>
      <w:r w:rsidR="00F44348">
        <w:rPr>
          <w:sz w:val="22"/>
          <w:szCs w:val="22"/>
        </w:rPr>
        <w:t>I</w:t>
      </w:r>
      <w:r w:rsidRPr="009D3DA2">
        <w:rPr>
          <w:sz w:val="22"/>
          <w:szCs w:val="22"/>
        </w:rPr>
        <w:t>ndustries</w:t>
      </w:r>
    </w:p>
    <w:p w14:paraId="3BD25501" w14:textId="0E070749" w:rsidR="002D44CB" w:rsidRPr="009D3DA2" w:rsidRDefault="002D44CB" w:rsidP="009D3DA2">
      <w:pPr>
        <w:spacing w:line="240" w:lineRule="auto"/>
        <w:rPr>
          <w:sz w:val="24"/>
          <w:szCs w:val="24"/>
        </w:rPr>
      </w:pPr>
      <w:r w:rsidRPr="009D3DA2">
        <w:rPr>
          <w:sz w:val="22"/>
          <w:szCs w:val="22"/>
        </w:rPr>
        <w:t>COICOP</w:t>
      </w:r>
      <w:r w:rsidRPr="009D3DA2">
        <w:rPr>
          <w:sz w:val="22"/>
          <w:szCs w:val="22"/>
        </w:rPr>
        <w:tab/>
        <w:t>Classification of Individual Consumption According to Purpose</w:t>
      </w:r>
    </w:p>
    <w:p w14:paraId="0000005C" w14:textId="0A64104F" w:rsidR="00F8269C" w:rsidRPr="009D3DA2" w:rsidRDefault="00450D2D" w:rsidP="009D3DA2">
      <w:pPr>
        <w:spacing w:line="240" w:lineRule="auto"/>
        <w:rPr>
          <w:sz w:val="22"/>
          <w:szCs w:val="22"/>
        </w:rPr>
      </w:pPr>
      <w:r w:rsidRPr="009D3DA2">
        <w:rPr>
          <w:sz w:val="22"/>
          <w:szCs w:val="22"/>
        </w:rPr>
        <w:t>CPI</w:t>
      </w:r>
      <w:r w:rsidRPr="009D3DA2">
        <w:rPr>
          <w:sz w:val="22"/>
          <w:szCs w:val="22"/>
        </w:rPr>
        <w:tab/>
      </w:r>
      <w:r w:rsidRPr="009D3DA2">
        <w:rPr>
          <w:sz w:val="22"/>
          <w:szCs w:val="22"/>
        </w:rPr>
        <w:tab/>
        <w:t>Consumer Price Index</w:t>
      </w:r>
    </w:p>
    <w:p w14:paraId="0000005D" w14:textId="77777777" w:rsidR="00F8269C" w:rsidRPr="009D3DA2" w:rsidRDefault="00450D2D" w:rsidP="009D3DA2">
      <w:pPr>
        <w:spacing w:line="240" w:lineRule="auto"/>
        <w:rPr>
          <w:sz w:val="22"/>
          <w:szCs w:val="22"/>
        </w:rPr>
      </w:pPr>
      <w:r w:rsidRPr="009D3DA2">
        <w:rPr>
          <w:sz w:val="22"/>
          <w:szCs w:val="22"/>
        </w:rPr>
        <w:t>CSA</w:t>
      </w:r>
      <w:r w:rsidRPr="009D3DA2">
        <w:rPr>
          <w:sz w:val="22"/>
          <w:szCs w:val="22"/>
        </w:rPr>
        <w:tab/>
      </w:r>
      <w:r w:rsidRPr="009D3DA2">
        <w:rPr>
          <w:sz w:val="22"/>
          <w:szCs w:val="22"/>
        </w:rPr>
        <w:tab/>
        <w:t>Cultural Satellite Account</w:t>
      </w:r>
    </w:p>
    <w:p w14:paraId="0000005E" w14:textId="77777777" w:rsidR="00F8269C" w:rsidRPr="009D3DA2" w:rsidRDefault="00450D2D" w:rsidP="009D3DA2">
      <w:pPr>
        <w:spacing w:line="240" w:lineRule="auto"/>
        <w:rPr>
          <w:sz w:val="22"/>
          <w:szCs w:val="22"/>
        </w:rPr>
      </w:pPr>
      <w:r w:rsidRPr="009D3DA2">
        <w:rPr>
          <w:sz w:val="22"/>
          <w:szCs w:val="22"/>
        </w:rPr>
        <w:t>DSAC</w:t>
      </w:r>
      <w:r w:rsidRPr="009D3DA2">
        <w:rPr>
          <w:sz w:val="22"/>
          <w:szCs w:val="22"/>
        </w:rPr>
        <w:tab/>
      </w:r>
      <w:r w:rsidRPr="009D3DA2">
        <w:rPr>
          <w:sz w:val="22"/>
          <w:szCs w:val="22"/>
        </w:rPr>
        <w:tab/>
        <w:t>Department of Sports, Arts and Culture</w:t>
      </w:r>
    </w:p>
    <w:p w14:paraId="0000005F" w14:textId="77777777" w:rsidR="00F8269C" w:rsidRPr="009D3DA2" w:rsidRDefault="00450D2D" w:rsidP="009D3DA2">
      <w:pPr>
        <w:spacing w:line="240" w:lineRule="auto"/>
        <w:rPr>
          <w:sz w:val="22"/>
          <w:szCs w:val="22"/>
        </w:rPr>
      </w:pPr>
      <w:r w:rsidRPr="009D3DA2">
        <w:rPr>
          <w:sz w:val="22"/>
          <w:szCs w:val="22"/>
        </w:rPr>
        <w:t>EBPM</w:t>
      </w:r>
      <w:r w:rsidRPr="009D3DA2">
        <w:rPr>
          <w:sz w:val="22"/>
          <w:szCs w:val="22"/>
        </w:rPr>
        <w:tab/>
      </w:r>
      <w:r w:rsidRPr="009D3DA2">
        <w:rPr>
          <w:sz w:val="22"/>
          <w:szCs w:val="22"/>
        </w:rPr>
        <w:tab/>
        <w:t>Evidence-based policy making</w:t>
      </w:r>
    </w:p>
    <w:p w14:paraId="69FA8B81" w14:textId="6F6F09BB" w:rsidR="006644FC" w:rsidRPr="009D3DA2" w:rsidRDefault="006644FC" w:rsidP="009D3DA2">
      <w:pPr>
        <w:spacing w:line="240" w:lineRule="auto"/>
        <w:rPr>
          <w:sz w:val="22"/>
          <w:szCs w:val="22"/>
        </w:rPr>
      </w:pPr>
      <w:r w:rsidRPr="002772A2">
        <w:rPr>
          <w:sz w:val="22"/>
          <w:szCs w:val="22"/>
        </w:rPr>
        <w:t>FAANGs</w:t>
      </w:r>
      <w:r w:rsidRPr="002772A2">
        <w:rPr>
          <w:sz w:val="22"/>
          <w:szCs w:val="22"/>
        </w:rPr>
        <w:tab/>
        <w:t>Facebook, Amazon, Apple, Netflix and Google</w:t>
      </w:r>
    </w:p>
    <w:p w14:paraId="00000060" w14:textId="3FBA5278" w:rsidR="00F8269C" w:rsidRPr="009D3DA2" w:rsidRDefault="00450D2D" w:rsidP="009D3DA2">
      <w:pPr>
        <w:spacing w:line="240" w:lineRule="auto"/>
        <w:rPr>
          <w:sz w:val="22"/>
          <w:szCs w:val="22"/>
        </w:rPr>
      </w:pPr>
      <w:r w:rsidRPr="009D3DA2">
        <w:rPr>
          <w:sz w:val="22"/>
          <w:szCs w:val="22"/>
        </w:rPr>
        <w:t>GDP</w:t>
      </w:r>
      <w:r w:rsidRPr="009D3DA2">
        <w:rPr>
          <w:sz w:val="22"/>
          <w:szCs w:val="22"/>
        </w:rPr>
        <w:tab/>
      </w:r>
      <w:r w:rsidRPr="009D3DA2">
        <w:rPr>
          <w:sz w:val="22"/>
          <w:szCs w:val="22"/>
        </w:rPr>
        <w:tab/>
        <w:t>Gross domestic product</w:t>
      </w:r>
    </w:p>
    <w:p w14:paraId="7392EE39" w14:textId="3EAF2D6C" w:rsidR="00B93BF7" w:rsidRPr="009D3DA2" w:rsidRDefault="00B93BF7" w:rsidP="009D3DA2">
      <w:pPr>
        <w:spacing w:line="240" w:lineRule="auto"/>
        <w:rPr>
          <w:sz w:val="22"/>
          <w:szCs w:val="22"/>
        </w:rPr>
      </w:pPr>
      <w:r w:rsidRPr="002772A2">
        <w:rPr>
          <w:sz w:val="22"/>
          <w:szCs w:val="22"/>
        </w:rPr>
        <w:t>GFCF</w:t>
      </w:r>
      <w:r w:rsidRPr="002772A2">
        <w:rPr>
          <w:sz w:val="22"/>
          <w:szCs w:val="22"/>
        </w:rPr>
        <w:tab/>
      </w:r>
      <w:r w:rsidRPr="002772A2">
        <w:rPr>
          <w:sz w:val="22"/>
          <w:szCs w:val="22"/>
        </w:rPr>
        <w:tab/>
        <w:t>Gross Fixed Capital Formation</w:t>
      </w:r>
    </w:p>
    <w:p w14:paraId="00000061" w14:textId="1583925E" w:rsidR="00F8269C" w:rsidRPr="009D3DA2" w:rsidRDefault="00450D2D" w:rsidP="009D3DA2">
      <w:pPr>
        <w:spacing w:line="240" w:lineRule="auto"/>
        <w:rPr>
          <w:sz w:val="22"/>
          <w:szCs w:val="22"/>
        </w:rPr>
      </w:pPr>
      <w:r w:rsidRPr="009D3DA2">
        <w:rPr>
          <w:sz w:val="22"/>
          <w:szCs w:val="22"/>
        </w:rPr>
        <w:t>GVA</w:t>
      </w:r>
      <w:r w:rsidRPr="009D3DA2">
        <w:rPr>
          <w:sz w:val="22"/>
          <w:szCs w:val="22"/>
        </w:rPr>
        <w:tab/>
      </w:r>
      <w:r w:rsidRPr="009D3DA2">
        <w:rPr>
          <w:sz w:val="22"/>
          <w:szCs w:val="22"/>
        </w:rPr>
        <w:tab/>
        <w:t>Gross Value Added</w:t>
      </w:r>
    </w:p>
    <w:p w14:paraId="00000062" w14:textId="77777777" w:rsidR="00F8269C" w:rsidRPr="009D3DA2" w:rsidRDefault="00450D2D" w:rsidP="009D3DA2">
      <w:pPr>
        <w:spacing w:line="240" w:lineRule="auto"/>
        <w:rPr>
          <w:sz w:val="22"/>
          <w:szCs w:val="22"/>
        </w:rPr>
      </w:pPr>
      <w:r w:rsidRPr="009D3DA2">
        <w:rPr>
          <w:sz w:val="22"/>
          <w:szCs w:val="22"/>
        </w:rPr>
        <w:t>IMF</w:t>
      </w:r>
      <w:r w:rsidRPr="009D3DA2">
        <w:rPr>
          <w:sz w:val="22"/>
          <w:szCs w:val="22"/>
        </w:rPr>
        <w:tab/>
      </w:r>
      <w:r w:rsidRPr="009D3DA2">
        <w:rPr>
          <w:sz w:val="22"/>
          <w:szCs w:val="22"/>
        </w:rPr>
        <w:tab/>
        <w:t>International Monetary Fund</w:t>
      </w:r>
    </w:p>
    <w:p w14:paraId="00000063" w14:textId="77777777" w:rsidR="00F8269C" w:rsidRPr="009D3DA2" w:rsidRDefault="00450D2D" w:rsidP="009D3DA2">
      <w:pPr>
        <w:spacing w:line="240" w:lineRule="auto"/>
        <w:rPr>
          <w:sz w:val="22"/>
          <w:szCs w:val="22"/>
        </w:rPr>
      </w:pPr>
      <w:r w:rsidRPr="009D3DA2">
        <w:rPr>
          <w:sz w:val="22"/>
          <w:szCs w:val="22"/>
        </w:rPr>
        <w:t>IO</w:t>
      </w:r>
      <w:r w:rsidRPr="009D3DA2">
        <w:rPr>
          <w:sz w:val="22"/>
          <w:szCs w:val="22"/>
        </w:rPr>
        <w:tab/>
      </w:r>
      <w:r w:rsidRPr="009D3DA2">
        <w:rPr>
          <w:sz w:val="22"/>
          <w:szCs w:val="22"/>
        </w:rPr>
        <w:tab/>
        <w:t>Input-Output</w:t>
      </w:r>
    </w:p>
    <w:p w14:paraId="00000064" w14:textId="77777777" w:rsidR="00F8269C" w:rsidRPr="009D3DA2" w:rsidRDefault="00450D2D" w:rsidP="009D3DA2">
      <w:pPr>
        <w:spacing w:line="240" w:lineRule="auto"/>
        <w:rPr>
          <w:sz w:val="22"/>
          <w:szCs w:val="22"/>
        </w:rPr>
      </w:pPr>
      <w:r w:rsidRPr="009D3DA2">
        <w:rPr>
          <w:sz w:val="22"/>
          <w:szCs w:val="22"/>
        </w:rPr>
        <w:t>ISIC</w:t>
      </w:r>
      <w:r w:rsidRPr="009D3DA2">
        <w:rPr>
          <w:sz w:val="22"/>
          <w:szCs w:val="22"/>
        </w:rPr>
        <w:tab/>
      </w:r>
      <w:r w:rsidRPr="009D3DA2">
        <w:rPr>
          <w:sz w:val="22"/>
          <w:szCs w:val="22"/>
        </w:rPr>
        <w:tab/>
        <w:t>International Standard Industrial Classification</w:t>
      </w:r>
    </w:p>
    <w:p w14:paraId="75178384" w14:textId="32E9ABB6" w:rsidR="002772A2" w:rsidRPr="009D3DA2" w:rsidRDefault="002772A2" w:rsidP="009D3DA2">
      <w:pPr>
        <w:spacing w:line="240" w:lineRule="auto"/>
        <w:rPr>
          <w:sz w:val="22"/>
          <w:szCs w:val="22"/>
        </w:rPr>
      </w:pPr>
      <w:r w:rsidRPr="009D3DA2">
        <w:rPr>
          <w:sz w:val="22"/>
          <w:szCs w:val="22"/>
        </w:rPr>
        <w:t>IT</w:t>
      </w:r>
      <w:r w:rsidRPr="009D3DA2">
        <w:rPr>
          <w:sz w:val="22"/>
          <w:szCs w:val="22"/>
        </w:rPr>
        <w:tab/>
      </w:r>
      <w:r w:rsidRPr="009D3DA2">
        <w:rPr>
          <w:sz w:val="22"/>
          <w:szCs w:val="22"/>
        </w:rPr>
        <w:tab/>
        <w:t>income tax</w:t>
      </w:r>
    </w:p>
    <w:p w14:paraId="00000065" w14:textId="02F110A0" w:rsidR="00F8269C" w:rsidRPr="009D3DA2" w:rsidRDefault="00450D2D" w:rsidP="009D3DA2">
      <w:pPr>
        <w:spacing w:line="240" w:lineRule="auto"/>
        <w:rPr>
          <w:sz w:val="22"/>
          <w:szCs w:val="22"/>
        </w:rPr>
      </w:pPr>
      <w:r w:rsidRPr="009D3DA2">
        <w:rPr>
          <w:sz w:val="22"/>
          <w:szCs w:val="22"/>
        </w:rPr>
        <w:t>ITC</w:t>
      </w:r>
      <w:r w:rsidRPr="009D3DA2">
        <w:rPr>
          <w:sz w:val="22"/>
          <w:szCs w:val="22"/>
        </w:rPr>
        <w:tab/>
      </w:r>
      <w:r w:rsidRPr="009D3DA2">
        <w:rPr>
          <w:sz w:val="22"/>
          <w:szCs w:val="22"/>
        </w:rPr>
        <w:tab/>
        <w:t>International Trade Centre</w:t>
      </w:r>
    </w:p>
    <w:p w14:paraId="00000066" w14:textId="77777777" w:rsidR="00F8269C" w:rsidRPr="009D3DA2" w:rsidRDefault="00450D2D" w:rsidP="009D3DA2">
      <w:pPr>
        <w:spacing w:line="240" w:lineRule="auto"/>
        <w:rPr>
          <w:sz w:val="22"/>
          <w:szCs w:val="22"/>
        </w:rPr>
      </w:pPr>
      <w:r w:rsidRPr="009D3DA2">
        <w:rPr>
          <w:sz w:val="22"/>
          <w:szCs w:val="22"/>
        </w:rPr>
        <w:t>NDP</w:t>
      </w:r>
      <w:r w:rsidRPr="009D3DA2">
        <w:rPr>
          <w:sz w:val="22"/>
          <w:szCs w:val="22"/>
        </w:rPr>
        <w:tab/>
      </w:r>
      <w:r w:rsidRPr="009D3DA2">
        <w:rPr>
          <w:sz w:val="22"/>
          <w:szCs w:val="22"/>
        </w:rPr>
        <w:tab/>
        <w:t>National Development Plan</w:t>
      </w:r>
    </w:p>
    <w:p w14:paraId="3A7807EA" w14:textId="2AD95FA3" w:rsidR="00DC2C17" w:rsidRPr="002772A2" w:rsidRDefault="00DC2C17" w:rsidP="009D3DA2">
      <w:pPr>
        <w:spacing w:line="240" w:lineRule="auto"/>
        <w:rPr>
          <w:sz w:val="22"/>
          <w:szCs w:val="22"/>
        </w:rPr>
      </w:pPr>
      <w:r w:rsidRPr="002772A2">
        <w:rPr>
          <w:sz w:val="22"/>
          <w:szCs w:val="22"/>
        </w:rPr>
        <w:t>NGO</w:t>
      </w:r>
      <w:r w:rsidRPr="002772A2">
        <w:rPr>
          <w:sz w:val="22"/>
          <w:szCs w:val="22"/>
        </w:rPr>
        <w:tab/>
      </w:r>
      <w:r w:rsidRPr="002772A2">
        <w:rPr>
          <w:sz w:val="22"/>
          <w:szCs w:val="22"/>
        </w:rPr>
        <w:tab/>
        <w:t>Non-governmental organisation</w:t>
      </w:r>
    </w:p>
    <w:p w14:paraId="00000067" w14:textId="3775BA47" w:rsidR="00F8269C" w:rsidRPr="009D3DA2" w:rsidRDefault="00450D2D" w:rsidP="009D3DA2">
      <w:pPr>
        <w:spacing w:line="240" w:lineRule="auto"/>
        <w:rPr>
          <w:sz w:val="22"/>
          <w:szCs w:val="22"/>
        </w:rPr>
      </w:pPr>
      <w:r w:rsidRPr="009D3DA2">
        <w:rPr>
          <w:sz w:val="22"/>
          <w:szCs w:val="22"/>
        </w:rPr>
        <w:t>OECD</w:t>
      </w:r>
      <w:r w:rsidRPr="009D3DA2">
        <w:rPr>
          <w:sz w:val="22"/>
          <w:szCs w:val="22"/>
        </w:rPr>
        <w:tab/>
      </w:r>
      <w:r w:rsidRPr="009D3DA2">
        <w:rPr>
          <w:sz w:val="22"/>
          <w:szCs w:val="22"/>
        </w:rPr>
        <w:tab/>
        <w:t>Organisation for Economic Co-operation and Development</w:t>
      </w:r>
    </w:p>
    <w:p w14:paraId="330118A7" w14:textId="55DAEA0B" w:rsidR="006644FC" w:rsidRPr="009D3DA2" w:rsidRDefault="006644FC" w:rsidP="009D3DA2">
      <w:pPr>
        <w:spacing w:line="240" w:lineRule="auto"/>
        <w:rPr>
          <w:sz w:val="22"/>
          <w:szCs w:val="22"/>
        </w:rPr>
      </w:pPr>
      <w:r w:rsidRPr="002772A2">
        <w:rPr>
          <w:sz w:val="22"/>
          <w:szCs w:val="22"/>
        </w:rPr>
        <w:t>OTT</w:t>
      </w:r>
      <w:r w:rsidRPr="002772A2">
        <w:rPr>
          <w:sz w:val="22"/>
          <w:szCs w:val="22"/>
        </w:rPr>
        <w:tab/>
      </w:r>
      <w:r w:rsidRPr="002772A2">
        <w:rPr>
          <w:sz w:val="22"/>
          <w:szCs w:val="22"/>
        </w:rPr>
        <w:tab/>
        <w:t>Over-The-Top</w:t>
      </w:r>
    </w:p>
    <w:p w14:paraId="00000068" w14:textId="75EA27AD" w:rsidR="00F8269C" w:rsidRPr="009D3DA2" w:rsidRDefault="00450D2D" w:rsidP="009D3DA2">
      <w:pPr>
        <w:spacing w:line="240" w:lineRule="auto"/>
        <w:rPr>
          <w:sz w:val="22"/>
          <w:szCs w:val="22"/>
        </w:rPr>
      </w:pPr>
      <w:r w:rsidRPr="009D3DA2">
        <w:rPr>
          <w:sz w:val="22"/>
          <w:szCs w:val="22"/>
        </w:rPr>
        <w:t>PPI</w:t>
      </w:r>
      <w:r w:rsidRPr="009D3DA2">
        <w:rPr>
          <w:sz w:val="22"/>
          <w:szCs w:val="22"/>
        </w:rPr>
        <w:tab/>
      </w:r>
      <w:r w:rsidRPr="009D3DA2">
        <w:rPr>
          <w:sz w:val="22"/>
          <w:szCs w:val="22"/>
        </w:rPr>
        <w:tab/>
        <w:t>Producer Price index</w:t>
      </w:r>
    </w:p>
    <w:p w14:paraId="00000069" w14:textId="77777777" w:rsidR="00F8269C" w:rsidRPr="009D3DA2" w:rsidRDefault="00450D2D" w:rsidP="009D3DA2">
      <w:pPr>
        <w:spacing w:line="240" w:lineRule="auto"/>
        <w:rPr>
          <w:sz w:val="22"/>
          <w:szCs w:val="22"/>
        </w:rPr>
      </w:pPr>
      <w:r w:rsidRPr="009D3DA2">
        <w:rPr>
          <w:sz w:val="22"/>
          <w:szCs w:val="22"/>
        </w:rPr>
        <w:t>SACO</w:t>
      </w:r>
      <w:r w:rsidRPr="009D3DA2">
        <w:rPr>
          <w:sz w:val="22"/>
          <w:szCs w:val="22"/>
        </w:rPr>
        <w:tab/>
      </w:r>
      <w:r w:rsidRPr="009D3DA2">
        <w:rPr>
          <w:sz w:val="22"/>
          <w:szCs w:val="22"/>
        </w:rPr>
        <w:tab/>
        <w:t>South African Cultural Observatory</w:t>
      </w:r>
    </w:p>
    <w:p w14:paraId="0000006A" w14:textId="732BD49E" w:rsidR="00F8269C" w:rsidRPr="009D3DA2" w:rsidRDefault="00450D2D" w:rsidP="009D3DA2">
      <w:pPr>
        <w:spacing w:line="240" w:lineRule="auto"/>
        <w:rPr>
          <w:sz w:val="22"/>
          <w:szCs w:val="22"/>
        </w:rPr>
      </w:pPr>
      <w:r w:rsidRPr="009D3DA2">
        <w:rPr>
          <w:sz w:val="22"/>
          <w:szCs w:val="22"/>
        </w:rPr>
        <w:t>SAM</w:t>
      </w:r>
      <w:r w:rsidRPr="009D3DA2">
        <w:rPr>
          <w:sz w:val="22"/>
          <w:szCs w:val="22"/>
        </w:rPr>
        <w:tab/>
      </w:r>
      <w:r w:rsidRPr="009D3DA2">
        <w:rPr>
          <w:sz w:val="22"/>
          <w:szCs w:val="22"/>
        </w:rPr>
        <w:tab/>
        <w:t xml:space="preserve">Social </w:t>
      </w:r>
      <w:r w:rsidR="004914E3">
        <w:rPr>
          <w:sz w:val="22"/>
          <w:szCs w:val="22"/>
        </w:rPr>
        <w:t>A</w:t>
      </w:r>
      <w:r w:rsidRPr="009D3DA2">
        <w:rPr>
          <w:sz w:val="22"/>
          <w:szCs w:val="22"/>
        </w:rPr>
        <w:t xml:space="preserve">ccounting </w:t>
      </w:r>
      <w:r w:rsidR="004914E3">
        <w:rPr>
          <w:sz w:val="22"/>
          <w:szCs w:val="22"/>
        </w:rPr>
        <w:t>M</w:t>
      </w:r>
      <w:r w:rsidRPr="009D3DA2">
        <w:rPr>
          <w:sz w:val="22"/>
          <w:szCs w:val="22"/>
        </w:rPr>
        <w:t>atrix</w:t>
      </w:r>
    </w:p>
    <w:p w14:paraId="0000006B" w14:textId="77777777" w:rsidR="00F8269C" w:rsidRPr="009D3DA2" w:rsidRDefault="00450D2D" w:rsidP="009D3DA2">
      <w:pPr>
        <w:spacing w:line="240" w:lineRule="auto"/>
        <w:rPr>
          <w:sz w:val="22"/>
          <w:szCs w:val="22"/>
        </w:rPr>
      </w:pPr>
      <w:r w:rsidRPr="009D3DA2">
        <w:rPr>
          <w:sz w:val="22"/>
          <w:szCs w:val="22"/>
        </w:rPr>
        <w:t>SARS</w:t>
      </w:r>
      <w:r w:rsidRPr="009D3DA2">
        <w:rPr>
          <w:sz w:val="22"/>
          <w:szCs w:val="22"/>
        </w:rPr>
        <w:tab/>
      </w:r>
      <w:r w:rsidRPr="009D3DA2">
        <w:rPr>
          <w:sz w:val="22"/>
          <w:szCs w:val="22"/>
        </w:rPr>
        <w:tab/>
        <w:t>South African Revenue Services</w:t>
      </w:r>
    </w:p>
    <w:p w14:paraId="0000006C" w14:textId="77777777" w:rsidR="00F8269C" w:rsidRPr="009D3DA2" w:rsidRDefault="00450D2D" w:rsidP="009D3DA2">
      <w:pPr>
        <w:spacing w:line="240" w:lineRule="auto"/>
        <w:rPr>
          <w:sz w:val="22"/>
          <w:szCs w:val="22"/>
        </w:rPr>
      </w:pPr>
      <w:r w:rsidRPr="009D3DA2">
        <w:rPr>
          <w:sz w:val="22"/>
          <w:szCs w:val="22"/>
        </w:rPr>
        <w:t>SIC</w:t>
      </w:r>
      <w:r w:rsidRPr="009D3DA2">
        <w:rPr>
          <w:sz w:val="22"/>
          <w:szCs w:val="22"/>
        </w:rPr>
        <w:tab/>
      </w:r>
      <w:r w:rsidRPr="009D3DA2">
        <w:rPr>
          <w:sz w:val="22"/>
          <w:szCs w:val="22"/>
        </w:rPr>
        <w:tab/>
        <w:t>Standard Industrial Classification</w:t>
      </w:r>
    </w:p>
    <w:p w14:paraId="0000006D" w14:textId="77777777" w:rsidR="00F8269C" w:rsidRPr="009D3DA2" w:rsidRDefault="00450D2D" w:rsidP="009D3DA2">
      <w:pPr>
        <w:spacing w:line="240" w:lineRule="auto"/>
        <w:rPr>
          <w:sz w:val="22"/>
          <w:szCs w:val="22"/>
        </w:rPr>
      </w:pPr>
      <w:r w:rsidRPr="009D3DA2">
        <w:rPr>
          <w:sz w:val="22"/>
          <w:szCs w:val="22"/>
        </w:rPr>
        <w:t>SNA</w:t>
      </w:r>
      <w:r w:rsidRPr="009D3DA2">
        <w:rPr>
          <w:sz w:val="22"/>
          <w:szCs w:val="22"/>
        </w:rPr>
        <w:tab/>
      </w:r>
      <w:r w:rsidRPr="009D3DA2">
        <w:rPr>
          <w:sz w:val="22"/>
          <w:szCs w:val="22"/>
        </w:rPr>
        <w:tab/>
        <w:t>System of National Accounts</w:t>
      </w:r>
    </w:p>
    <w:p w14:paraId="0000006E" w14:textId="77777777" w:rsidR="00F8269C" w:rsidRPr="009D3DA2" w:rsidRDefault="00450D2D" w:rsidP="009D3DA2">
      <w:pPr>
        <w:spacing w:line="240" w:lineRule="auto"/>
        <w:rPr>
          <w:sz w:val="22"/>
          <w:szCs w:val="22"/>
        </w:rPr>
      </w:pPr>
      <w:r w:rsidRPr="009D3DA2">
        <w:rPr>
          <w:sz w:val="22"/>
          <w:szCs w:val="22"/>
        </w:rPr>
        <w:t>UN</w:t>
      </w:r>
      <w:r w:rsidRPr="009D3DA2">
        <w:rPr>
          <w:sz w:val="22"/>
          <w:szCs w:val="22"/>
        </w:rPr>
        <w:tab/>
      </w:r>
      <w:r w:rsidRPr="009D3DA2">
        <w:rPr>
          <w:sz w:val="22"/>
          <w:szCs w:val="22"/>
        </w:rPr>
        <w:tab/>
        <w:t>United Nations</w:t>
      </w:r>
    </w:p>
    <w:p w14:paraId="7E5F3CEB" w14:textId="34002870" w:rsidR="00DC2C17" w:rsidRPr="002772A2" w:rsidRDefault="00DC2C17" w:rsidP="009D3DA2">
      <w:pPr>
        <w:spacing w:line="240" w:lineRule="auto"/>
        <w:rPr>
          <w:sz w:val="22"/>
          <w:szCs w:val="22"/>
        </w:rPr>
      </w:pPr>
      <w:r w:rsidRPr="002772A2">
        <w:rPr>
          <w:sz w:val="22"/>
          <w:szCs w:val="22"/>
        </w:rPr>
        <w:t>UNESCO</w:t>
      </w:r>
      <w:r w:rsidRPr="002772A2">
        <w:rPr>
          <w:sz w:val="22"/>
          <w:szCs w:val="22"/>
        </w:rPr>
        <w:tab/>
      </w:r>
      <w:r w:rsidRPr="009D3DA2">
        <w:rPr>
          <w:sz w:val="22"/>
          <w:szCs w:val="22"/>
        </w:rPr>
        <w:t>United Nations Educational, Scientific and Cultural Organization</w:t>
      </w:r>
    </w:p>
    <w:p w14:paraId="285C5BA0" w14:textId="77777777" w:rsidR="00F8269C" w:rsidRPr="002772A2" w:rsidRDefault="00450D2D" w:rsidP="009D3DA2">
      <w:pPr>
        <w:spacing w:line="240" w:lineRule="auto"/>
        <w:rPr>
          <w:sz w:val="22"/>
          <w:szCs w:val="22"/>
        </w:rPr>
      </w:pPr>
      <w:r w:rsidRPr="009D3DA2">
        <w:rPr>
          <w:sz w:val="22"/>
          <w:szCs w:val="22"/>
        </w:rPr>
        <w:t>UNSC</w:t>
      </w:r>
      <w:r w:rsidRPr="009D3DA2">
        <w:rPr>
          <w:sz w:val="22"/>
          <w:szCs w:val="22"/>
        </w:rPr>
        <w:tab/>
      </w:r>
      <w:r w:rsidRPr="009D3DA2">
        <w:rPr>
          <w:sz w:val="22"/>
          <w:szCs w:val="22"/>
        </w:rPr>
        <w:tab/>
        <w:t>United Nations Statistical Commission</w:t>
      </w:r>
    </w:p>
    <w:p w14:paraId="0000006F" w14:textId="7D4BA06F" w:rsidR="00807132" w:rsidRPr="009D3DA2" w:rsidRDefault="002772A2" w:rsidP="009D3DA2">
      <w:pPr>
        <w:spacing w:line="240" w:lineRule="auto"/>
        <w:rPr>
          <w:sz w:val="22"/>
          <w:szCs w:val="22"/>
        </w:rPr>
        <w:sectPr w:rsidR="00807132" w:rsidRPr="009D3DA2" w:rsidSect="00480053">
          <w:footerReference w:type="default" r:id="rId10"/>
          <w:pgSz w:w="11906" w:h="16838"/>
          <w:pgMar w:top="1440" w:right="1440" w:bottom="1440" w:left="1440" w:header="708" w:footer="708" w:gutter="0"/>
          <w:pgNumType w:fmt="lowerRoman" w:start="1"/>
          <w:cols w:space="720"/>
        </w:sectPr>
      </w:pPr>
      <w:r w:rsidRPr="009D3DA2">
        <w:rPr>
          <w:sz w:val="22"/>
          <w:szCs w:val="22"/>
        </w:rPr>
        <w:t>VAT</w:t>
      </w:r>
      <w:r w:rsidRPr="009D3DA2">
        <w:rPr>
          <w:sz w:val="22"/>
          <w:szCs w:val="22"/>
        </w:rPr>
        <w:tab/>
      </w:r>
      <w:r w:rsidRPr="009D3DA2">
        <w:rPr>
          <w:sz w:val="22"/>
          <w:szCs w:val="22"/>
        </w:rPr>
        <w:tab/>
        <w:t xml:space="preserve">value added tax </w:t>
      </w:r>
    </w:p>
    <w:p w14:paraId="00000070" w14:textId="77777777" w:rsidR="00F8269C" w:rsidRDefault="00450D2D">
      <w:pPr>
        <w:pStyle w:val="Heading1"/>
        <w:numPr>
          <w:ilvl w:val="0"/>
          <w:numId w:val="5"/>
        </w:numPr>
      </w:pPr>
      <w:bookmarkStart w:id="4" w:name="_Toc93842761"/>
      <w:bookmarkStart w:id="5" w:name="_Toc93842947"/>
      <w:bookmarkStart w:id="6" w:name="_Toc93843325"/>
      <w:r>
        <w:lastRenderedPageBreak/>
        <w:t>Introduction and Background</w:t>
      </w:r>
      <w:bookmarkEnd w:id="4"/>
      <w:bookmarkEnd w:id="5"/>
      <w:bookmarkEnd w:id="6"/>
    </w:p>
    <w:p w14:paraId="00000071" w14:textId="57FF8097" w:rsidR="00F8269C" w:rsidRDefault="00450D2D" w:rsidP="00F04CBE">
      <w:pPr>
        <w:jc w:val="both"/>
      </w:pPr>
      <w:r>
        <w:rPr>
          <w:sz w:val="22"/>
          <w:szCs w:val="22"/>
        </w:rPr>
        <w:t xml:space="preserve">South Africa’s Culture and Creativity are important to the nation. Culture comprises society’s social behaviour, norms, knowledge, beliefs, arts, laws, customs, capabilities, and habits. Many of these are </w:t>
      </w:r>
      <w:sdt>
        <w:sdtPr>
          <w:tag w:val="goog_rdk_16"/>
          <w:id w:val="742457355"/>
        </w:sdtPr>
        <w:sdtEndPr/>
        <w:sdtContent>
          <w:r>
            <w:rPr>
              <w:sz w:val="22"/>
              <w:szCs w:val="22"/>
            </w:rPr>
            <w:t>passed</w:t>
          </w:r>
        </w:sdtContent>
      </w:sdt>
      <w:r w:rsidR="001C267C">
        <w:t xml:space="preserve"> </w:t>
      </w:r>
      <w:r w:rsidR="001C267C" w:rsidRPr="001C267C">
        <w:rPr>
          <w:sz w:val="22"/>
          <w:szCs w:val="22"/>
        </w:rPr>
        <w:t>down</w:t>
      </w:r>
      <w:r>
        <w:rPr>
          <w:sz w:val="22"/>
          <w:szCs w:val="22"/>
        </w:rPr>
        <w:t xml:space="preserve"> from our ancestors and these alone are priceless in terms of their intrinsic value. Culture and Creativity have through the ages also had an economic value. As these developed, they have become distinct industries each with considerable economic value. This report covers the economic value that the C</w:t>
      </w:r>
      <w:r w:rsidR="00195565">
        <w:rPr>
          <w:sz w:val="22"/>
          <w:szCs w:val="22"/>
        </w:rPr>
        <w:t>ultural and Creative Industries (CCI)</w:t>
      </w:r>
      <w:r>
        <w:rPr>
          <w:sz w:val="22"/>
          <w:szCs w:val="22"/>
        </w:rPr>
        <w:t xml:space="preserve"> bring to South Africa in terms of their contribution </w:t>
      </w:r>
      <w:r w:rsidR="00856B28">
        <w:rPr>
          <w:sz w:val="22"/>
          <w:szCs w:val="22"/>
        </w:rPr>
        <w:t xml:space="preserve">to </w:t>
      </w:r>
      <w:r>
        <w:rPr>
          <w:sz w:val="22"/>
          <w:szCs w:val="22"/>
        </w:rPr>
        <w:t>Gross Domestic Product, Employment and Trade.</w:t>
      </w:r>
    </w:p>
    <w:p w14:paraId="00000072" w14:textId="77777777" w:rsidR="00F8269C" w:rsidRDefault="00450D2D">
      <w:pPr>
        <w:pStyle w:val="Heading2"/>
        <w:numPr>
          <w:ilvl w:val="1"/>
          <w:numId w:val="5"/>
        </w:numPr>
      </w:pPr>
      <w:bookmarkStart w:id="7" w:name="_Toc93842762"/>
      <w:bookmarkStart w:id="8" w:name="_Toc93842948"/>
      <w:bookmarkStart w:id="9" w:name="_Toc93843326"/>
      <w:r>
        <w:t>Motivation and Context</w:t>
      </w:r>
      <w:bookmarkEnd w:id="7"/>
      <w:bookmarkEnd w:id="8"/>
      <w:bookmarkEnd w:id="9"/>
    </w:p>
    <w:p w14:paraId="00000073" w14:textId="6F8B8F25" w:rsidR="00F8269C" w:rsidRPr="00F04CBE" w:rsidRDefault="00450D2D" w:rsidP="00F04CBE">
      <w:pPr>
        <w:jc w:val="both"/>
        <w:rPr>
          <w:sz w:val="22"/>
          <w:szCs w:val="22"/>
        </w:rPr>
      </w:pPr>
      <w:bookmarkStart w:id="10" w:name="_heading=h.tyjcwt" w:colFirst="0" w:colLast="0"/>
      <w:bookmarkEnd w:id="10"/>
      <w:r w:rsidRPr="00F04CBE">
        <w:rPr>
          <w:sz w:val="22"/>
          <w:szCs w:val="22"/>
        </w:rPr>
        <w:t xml:space="preserve">One of the flagship products of the South African Cultural Observatory (SACO) has been the mapping of the Cultural and Creative Industries on a national level (SACO, 2018; 2020). An essential part of this work is determining the macroeconomic contribution of the sector to the gross domestic product (GDP) of the country, including information </w:t>
      </w:r>
      <w:r w:rsidR="00856B28" w:rsidRPr="00F04CBE">
        <w:rPr>
          <w:sz w:val="22"/>
          <w:szCs w:val="22"/>
        </w:rPr>
        <w:t>on</w:t>
      </w:r>
      <w:r w:rsidRPr="00F04CBE">
        <w:rPr>
          <w:sz w:val="22"/>
          <w:szCs w:val="22"/>
        </w:rPr>
        <w:t xml:space="preserve"> which domains (using the UNESCO Framework for Cultural Statistics, 2009) have increased or reduced in size and growth rate.</w:t>
      </w:r>
    </w:p>
    <w:p w14:paraId="00000074" w14:textId="42CD7ECE" w:rsidR="00F8269C" w:rsidRPr="00F04CBE" w:rsidRDefault="00450D2D" w:rsidP="00F04CBE">
      <w:pPr>
        <w:jc w:val="both"/>
        <w:rPr>
          <w:sz w:val="22"/>
          <w:szCs w:val="22"/>
        </w:rPr>
      </w:pPr>
      <w:r w:rsidRPr="00F04CBE">
        <w:rPr>
          <w:sz w:val="22"/>
          <w:szCs w:val="22"/>
        </w:rPr>
        <w:t xml:space="preserve">Currently, Statistics South Africa does not report on the CCIs as a separate industry in their System of National Accounts. By doing so, chapter 1 of the </w:t>
      </w:r>
      <w:r w:rsidR="00AF1863">
        <w:rPr>
          <w:sz w:val="22"/>
          <w:szCs w:val="22"/>
        </w:rPr>
        <w:t>M</w:t>
      </w:r>
      <w:r w:rsidRPr="00F04CBE">
        <w:rPr>
          <w:sz w:val="22"/>
          <w:szCs w:val="22"/>
        </w:rPr>
        <w:t xml:space="preserve">apping </w:t>
      </w:r>
      <w:r w:rsidR="00AF1863">
        <w:rPr>
          <w:sz w:val="22"/>
          <w:szCs w:val="22"/>
        </w:rPr>
        <w:t>S</w:t>
      </w:r>
      <w:r w:rsidRPr="00F04CBE">
        <w:rPr>
          <w:sz w:val="22"/>
          <w:szCs w:val="22"/>
        </w:rPr>
        <w:t>tudy foregrounds the important role that the CCIs play in contributing to the National Development Plan (NDP) and their potential for post-COVID-19 recovery. Domain-level analysis also provides evidence on which to base sector-specific intervention policies that aim to foster recovery, growth and development.</w:t>
      </w:r>
    </w:p>
    <w:p w14:paraId="00000075" w14:textId="01F817B4" w:rsidR="00F8269C" w:rsidRPr="00F04CBE" w:rsidRDefault="00450D2D" w:rsidP="00F04CBE">
      <w:pPr>
        <w:jc w:val="both"/>
        <w:rPr>
          <w:sz w:val="22"/>
          <w:szCs w:val="22"/>
        </w:rPr>
      </w:pPr>
      <w:r w:rsidRPr="00F04CBE">
        <w:rPr>
          <w:sz w:val="22"/>
          <w:szCs w:val="22"/>
        </w:rPr>
        <w:t xml:space="preserve">This report </w:t>
      </w:r>
      <w:r w:rsidR="00DD7602" w:rsidRPr="00F04CBE">
        <w:rPr>
          <w:sz w:val="22"/>
          <w:szCs w:val="22"/>
        </w:rPr>
        <w:t xml:space="preserve">looks at the Macroeconomic Impact of the CCIs in South Africa and forms </w:t>
      </w:r>
      <w:r w:rsidRPr="00F04CBE">
        <w:rPr>
          <w:sz w:val="22"/>
          <w:szCs w:val="22"/>
        </w:rPr>
        <w:t>Chapter</w:t>
      </w:r>
      <w:r w:rsidR="008D3B66">
        <w:rPr>
          <w:sz w:val="22"/>
          <w:szCs w:val="22"/>
        </w:rPr>
        <w:t> </w:t>
      </w:r>
      <w:r w:rsidRPr="00F04CBE">
        <w:rPr>
          <w:sz w:val="22"/>
          <w:szCs w:val="22"/>
        </w:rPr>
        <w:t>1 of the Cultural and Creative Industries Mapping Study (SACO, 2022). Other chapters give more detail on specific aspects, the methods and data used, and a national picture of the creative economy in South Africa</w:t>
      </w:r>
      <w:r w:rsidR="00DD7602" w:rsidRPr="00F04CBE">
        <w:rPr>
          <w:sz w:val="22"/>
          <w:szCs w:val="22"/>
        </w:rPr>
        <w:t>, as follows</w:t>
      </w:r>
      <w:r w:rsidRPr="00F04CBE">
        <w:rPr>
          <w:sz w:val="22"/>
          <w:szCs w:val="22"/>
        </w:rPr>
        <w:t>:</w:t>
      </w:r>
    </w:p>
    <w:p w14:paraId="00000077" w14:textId="77777777" w:rsidR="00F8269C" w:rsidRPr="00F04CBE" w:rsidRDefault="00450D2D" w:rsidP="00F04CBE">
      <w:pPr>
        <w:jc w:val="both"/>
        <w:rPr>
          <w:sz w:val="22"/>
          <w:szCs w:val="22"/>
        </w:rPr>
      </w:pPr>
      <w:r w:rsidRPr="00F04CBE">
        <w:rPr>
          <w:sz w:val="22"/>
          <w:szCs w:val="22"/>
        </w:rPr>
        <w:t>Chapter 2: Cultural Employment and Transformation</w:t>
      </w:r>
    </w:p>
    <w:p w14:paraId="00000078" w14:textId="77777777" w:rsidR="00F8269C" w:rsidRPr="00F04CBE" w:rsidRDefault="00450D2D" w:rsidP="00F04CBE">
      <w:pPr>
        <w:jc w:val="both"/>
        <w:rPr>
          <w:sz w:val="22"/>
          <w:szCs w:val="22"/>
        </w:rPr>
      </w:pPr>
      <w:r w:rsidRPr="00F04CBE">
        <w:rPr>
          <w:sz w:val="22"/>
          <w:szCs w:val="22"/>
        </w:rPr>
        <w:t>Chapter 3: International Trade in Cultural Goods and Services</w:t>
      </w:r>
    </w:p>
    <w:p w14:paraId="00000079" w14:textId="77777777" w:rsidR="00F8269C" w:rsidRPr="00F04CBE" w:rsidRDefault="00450D2D" w:rsidP="00F04CBE">
      <w:pPr>
        <w:jc w:val="both"/>
        <w:rPr>
          <w:sz w:val="22"/>
          <w:szCs w:val="22"/>
        </w:rPr>
      </w:pPr>
      <w:r w:rsidRPr="00F04CBE">
        <w:rPr>
          <w:sz w:val="22"/>
          <w:szCs w:val="22"/>
        </w:rPr>
        <w:t>Chapter 4: Provincial Profiles</w:t>
      </w:r>
    </w:p>
    <w:p w14:paraId="0000007A" w14:textId="77777777" w:rsidR="00F8269C" w:rsidRPr="00F04CBE" w:rsidRDefault="00450D2D" w:rsidP="00F04CBE">
      <w:pPr>
        <w:jc w:val="both"/>
        <w:rPr>
          <w:sz w:val="22"/>
          <w:szCs w:val="22"/>
        </w:rPr>
      </w:pPr>
      <w:r w:rsidRPr="00F04CBE">
        <w:rPr>
          <w:sz w:val="22"/>
          <w:szCs w:val="22"/>
        </w:rPr>
        <w:t>Chapter 5: The South African Creative Economy in Historical Context</w:t>
      </w:r>
    </w:p>
    <w:p w14:paraId="0000007B" w14:textId="77777777" w:rsidR="00F8269C" w:rsidRPr="00F04CBE" w:rsidRDefault="00450D2D" w:rsidP="00F04CBE">
      <w:pPr>
        <w:jc w:val="both"/>
        <w:rPr>
          <w:sz w:val="22"/>
          <w:szCs w:val="22"/>
        </w:rPr>
      </w:pPr>
      <w:r w:rsidRPr="00F04CBE">
        <w:rPr>
          <w:sz w:val="22"/>
          <w:szCs w:val="22"/>
        </w:rPr>
        <w:t>The aims of this chapter are to provide information on:</w:t>
      </w:r>
    </w:p>
    <w:p w14:paraId="0000007C" w14:textId="77777777" w:rsidR="00F8269C" w:rsidRPr="00F04CBE" w:rsidRDefault="00450D2D" w:rsidP="009D3DA2">
      <w:pPr>
        <w:numPr>
          <w:ilvl w:val="0"/>
          <w:numId w:val="8"/>
        </w:numPr>
        <w:pBdr>
          <w:top w:val="nil"/>
          <w:left w:val="nil"/>
          <w:bottom w:val="nil"/>
          <w:right w:val="nil"/>
          <w:between w:val="nil"/>
        </w:pBdr>
        <w:jc w:val="both"/>
        <w:rPr>
          <w:color w:val="000000"/>
          <w:sz w:val="22"/>
          <w:szCs w:val="22"/>
        </w:rPr>
      </w:pPr>
      <w:r w:rsidRPr="00F04CBE">
        <w:rPr>
          <w:color w:val="000000"/>
          <w:sz w:val="22"/>
          <w:szCs w:val="22"/>
        </w:rPr>
        <w:t>The direct overall contribution of the CCIs (as defined by the UNESCO FCS, 2009) to the GDP of South Africa;</w:t>
      </w:r>
    </w:p>
    <w:p w14:paraId="0000007D" w14:textId="77777777" w:rsidR="00F8269C" w:rsidRPr="00F04CBE" w:rsidRDefault="00450D2D" w:rsidP="009D3DA2">
      <w:pPr>
        <w:numPr>
          <w:ilvl w:val="0"/>
          <w:numId w:val="8"/>
        </w:numPr>
        <w:pBdr>
          <w:top w:val="nil"/>
          <w:left w:val="nil"/>
          <w:bottom w:val="nil"/>
          <w:right w:val="nil"/>
          <w:between w:val="nil"/>
        </w:pBdr>
        <w:jc w:val="both"/>
        <w:rPr>
          <w:color w:val="000000"/>
          <w:sz w:val="22"/>
          <w:szCs w:val="22"/>
        </w:rPr>
      </w:pPr>
      <w:r w:rsidRPr="00F04CBE">
        <w:rPr>
          <w:color w:val="000000"/>
          <w:sz w:val="22"/>
          <w:szCs w:val="22"/>
        </w:rPr>
        <w:t>The direct contribution (relative size) of each of the Domains to the GDP contribution of South Africa;</w:t>
      </w:r>
    </w:p>
    <w:p w14:paraId="0000007E" w14:textId="77777777" w:rsidR="00F8269C" w:rsidRPr="00F04CBE" w:rsidRDefault="00450D2D" w:rsidP="009D3DA2">
      <w:pPr>
        <w:numPr>
          <w:ilvl w:val="0"/>
          <w:numId w:val="8"/>
        </w:numPr>
        <w:pBdr>
          <w:top w:val="nil"/>
          <w:left w:val="nil"/>
          <w:bottom w:val="nil"/>
          <w:right w:val="nil"/>
          <w:between w:val="nil"/>
        </w:pBdr>
        <w:jc w:val="both"/>
        <w:rPr>
          <w:color w:val="000000"/>
          <w:sz w:val="22"/>
          <w:szCs w:val="22"/>
        </w:rPr>
      </w:pPr>
      <w:r w:rsidRPr="00F04CBE">
        <w:rPr>
          <w:color w:val="000000"/>
          <w:sz w:val="22"/>
          <w:szCs w:val="22"/>
        </w:rPr>
        <w:t>The growth rates of the CCIs overall, and per domain, in comparison to the findings of the previous mapping studies (2018; 2020);</w:t>
      </w:r>
    </w:p>
    <w:p w14:paraId="0000007F" w14:textId="1BBD7781" w:rsidR="00F8269C" w:rsidRPr="00F04CBE" w:rsidRDefault="00450D2D" w:rsidP="009D3DA2">
      <w:pPr>
        <w:numPr>
          <w:ilvl w:val="0"/>
          <w:numId w:val="8"/>
        </w:numPr>
        <w:pBdr>
          <w:top w:val="nil"/>
          <w:left w:val="nil"/>
          <w:bottom w:val="nil"/>
          <w:right w:val="nil"/>
          <w:between w:val="nil"/>
        </w:pBdr>
        <w:jc w:val="both"/>
        <w:rPr>
          <w:color w:val="000000"/>
          <w:sz w:val="22"/>
          <w:szCs w:val="22"/>
        </w:rPr>
      </w:pPr>
      <w:r w:rsidRPr="00F04CBE">
        <w:rPr>
          <w:color w:val="000000"/>
          <w:sz w:val="22"/>
          <w:szCs w:val="22"/>
        </w:rPr>
        <w:t>The forward and backward linkages (multiplier effects) that the CCIs have with the rest of the economy;</w:t>
      </w:r>
      <w:r w:rsidR="00DD7602" w:rsidRPr="00F04CBE">
        <w:rPr>
          <w:color w:val="000000"/>
          <w:sz w:val="22"/>
          <w:szCs w:val="22"/>
        </w:rPr>
        <w:t xml:space="preserve"> and</w:t>
      </w:r>
    </w:p>
    <w:p w14:paraId="00000080" w14:textId="77777777" w:rsidR="00F8269C" w:rsidRPr="00F04CBE" w:rsidRDefault="00450D2D" w:rsidP="009D3DA2">
      <w:pPr>
        <w:numPr>
          <w:ilvl w:val="0"/>
          <w:numId w:val="8"/>
        </w:numPr>
        <w:pBdr>
          <w:top w:val="nil"/>
          <w:left w:val="nil"/>
          <w:bottom w:val="nil"/>
          <w:right w:val="nil"/>
          <w:between w:val="nil"/>
        </w:pBdr>
        <w:jc w:val="both"/>
        <w:rPr>
          <w:color w:val="000000"/>
          <w:sz w:val="22"/>
          <w:szCs w:val="22"/>
        </w:rPr>
      </w:pPr>
      <w:r w:rsidRPr="00F04CBE">
        <w:rPr>
          <w:color w:val="000000"/>
          <w:sz w:val="22"/>
          <w:szCs w:val="22"/>
        </w:rPr>
        <w:t>Interpretation and implications of the findings.</w:t>
      </w:r>
    </w:p>
    <w:p w14:paraId="00000081" w14:textId="50F5929E" w:rsidR="00F8269C" w:rsidRDefault="00450D2D" w:rsidP="00F04CBE">
      <w:pPr>
        <w:jc w:val="both"/>
        <w:rPr>
          <w:sz w:val="22"/>
          <w:szCs w:val="22"/>
        </w:rPr>
      </w:pPr>
      <w:r w:rsidRPr="00F04CBE">
        <w:rPr>
          <w:sz w:val="22"/>
          <w:szCs w:val="22"/>
        </w:rPr>
        <w:lastRenderedPageBreak/>
        <w:t xml:space="preserve">Macroeconomic data were sourced from Quantec, Statistics South Africa (Stats SA), South African Revenue Services (SARS), </w:t>
      </w:r>
      <w:r w:rsidR="00EA4062">
        <w:rPr>
          <w:sz w:val="22"/>
          <w:szCs w:val="22"/>
        </w:rPr>
        <w:t xml:space="preserve">South African Reserve Bank (SARB), </w:t>
      </w:r>
      <w:r w:rsidRPr="00F04CBE">
        <w:rPr>
          <w:sz w:val="22"/>
          <w:szCs w:val="22"/>
        </w:rPr>
        <w:t>International Monetary Fund (IMF), World Bank, and the Organisation for Economic Co-operation and Development (OECD). Various models were developed to</w:t>
      </w:r>
      <w:r w:rsidR="009A1FE1" w:rsidRPr="00F04CBE">
        <w:rPr>
          <w:sz w:val="22"/>
          <w:szCs w:val="22"/>
        </w:rPr>
        <w:t>,</w:t>
      </w:r>
      <w:r w:rsidRPr="00F04CBE">
        <w:rPr>
          <w:sz w:val="22"/>
          <w:szCs w:val="22"/>
        </w:rPr>
        <w:t xml:space="preserve"> firstly, disaggregate the relevant data</w:t>
      </w:r>
      <w:r w:rsidR="009A1FE1" w:rsidRPr="00F04CBE">
        <w:rPr>
          <w:sz w:val="22"/>
          <w:szCs w:val="22"/>
        </w:rPr>
        <w:t>,</w:t>
      </w:r>
      <w:r w:rsidRPr="00F04CBE">
        <w:rPr>
          <w:sz w:val="22"/>
          <w:szCs w:val="22"/>
        </w:rPr>
        <w:t xml:space="preserve"> and secondly</w:t>
      </w:r>
      <w:r w:rsidR="009A1FE1" w:rsidRPr="00F04CBE">
        <w:rPr>
          <w:sz w:val="22"/>
          <w:szCs w:val="22"/>
        </w:rPr>
        <w:t>,</w:t>
      </w:r>
      <w:r w:rsidRPr="00F04CBE">
        <w:rPr>
          <w:sz w:val="22"/>
          <w:szCs w:val="22"/>
        </w:rPr>
        <w:t xml:space="preserve"> ensure that the data are</w:t>
      </w:r>
      <w:r>
        <w:rPr>
          <w:sz w:val="22"/>
          <w:szCs w:val="22"/>
        </w:rPr>
        <w:t xml:space="preserve"> standardised. This is the first step to developing a South African CCI Satellite Account based on the UNESCO Framework for Cultural Statistics (2009).</w:t>
      </w:r>
    </w:p>
    <w:p w14:paraId="00000082" w14:textId="3C73B811" w:rsidR="00F8269C" w:rsidRDefault="00450D2D">
      <w:pPr>
        <w:jc w:val="both"/>
        <w:rPr>
          <w:sz w:val="22"/>
          <w:szCs w:val="22"/>
        </w:rPr>
      </w:pPr>
      <w:r>
        <w:rPr>
          <w:sz w:val="22"/>
          <w:szCs w:val="22"/>
        </w:rPr>
        <w:t xml:space="preserve">This chapter includes a review of international literature on the impact of the COVID-19 pandemic on the creative economy. It is followed by a discussion of the South African System of National Accounts (SNA) and how it fits </w:t>
      </w:r>
      <w:r w:rsidR="001C267C" w:rsidRPr="009A1FE1">
        <w:rPr>
          <w:sz w:val="22"/>
          <w:szCs w:val="22"/>
        </w:rPr>
        <w:t>into</w:t>
      </w:r>
      <w:r w:rsidRPr="001C267C">
        <w:rPr>
          <w:sz w:val="22"/>
          <w:szCs w:val="22"/>
        </w:rPr>
        <w:t xml:space="preserve"> </w:t>
      </w:r>
      <w:r>
        <w:rPr>
          <w:sz w:val="22"/>
          <w:szCs w:val="22"/>
        </w:rPr>
        <w:t>the United Nations SNA, the weaknesses of the method, and how these are overcome. The report presents the Gross Value Added (GVA) of CCIs</w:t>
      </w:r>
      <w:r w:rsidR="009A1FE1">
        <w:rPr>
          <w:sz w:val="22"/>
          <w:szCs w:val="22"/>
        </w:rPr>
        <w:t>,</w:t>
      </w:r>
      <w:r>
        <w:rPr>
          <w:sz w:val="22"/>
          <w:szCs w:val="22"/>
        </w:rPr>
        <w:t xml:space="preserve"> the size of the individual CCI domains</w:t>
      </w:r>
      <w:r w:rsidR="009A1FE1">
        <w:rPr>
          <w:sz w:val="22"/>
          <w:szCs w:val="22"/>
        </w:rPr>
        <w:t>,</w:t>
      </w:r>
      <w:r>
        <w:rPr>
          <w:sz w:val="22"/>
          <w:szCs w:val="22"/>
        </w:rPr>
        <w:t xml:space="preserve"> </w:t>
      </w:r>
      <w:r w:rsidR="009A1FE1">
        <w:rPr>
          <w:sz w:val="22"/>
          <w:szCs w:val="22"/>
        </w:rPr>
        <w:t xml:space="preserve">and </w:t>
      </w:r>
      <w:r>
        <w:rPr>
          <w:sz w:val="22"/>
          <w:szCs w:val="22"/>
        </w:rPr>
        <w:t xml:space="preserve">the historic performance of CCI domains. </w:t>
      </w:r>
      <w:r w:rsidR="009A1FE1">
        <w:rPr>
          <w:sz w:val="22"/>
          <w:szCs w:val="22"/>
        </w:rPr>
        <w:t xml:space="preserve">It </w:t>
      </w:r>
      <w:r>
        <w:rPr>
          <w:sz w:val="22"/>
          <w:szCs w:val="22"/>
        </w:rPr>
        <w:t>reports the total output or sales (intermediate output plus final output) of CCIs at base year (2015) prices and also the factors of production (capital and labour). In addition, the CCI Gini Coefficient and the CCI multipliers are discussed. Aspects of CCI consumption patterns and inflation of some CCI components are also reported.</w:t>
      </w:r>
    </w:p>
    <w:p w14:paraId="00000083" w14:textId="13243273" w:rsidR="00F8269C" w:rsidRDefault="00450D2D">
      <w:pPr>
        <w:pStyle w:val="Heading2"/>
        <w:numPr>
          <w:ilvl w:val="1"/>
          <w:numId w:val="5"/>
        </w:numPr>
      </w:pPr>
      <w:bookmarkStart w:id="11" w:name="_Toc93842763"/>
      <w:bookmarkStart w:id="12" w:name="_Toc93842949"/>
      <w:bookmarkStart w:id="13" w:name="_Toc93843327"/>
      <w:r>
        <w:t xml:space="preserve">Review of </w:t>
      </w:r>
      <w:r w:rsidR="00BE2E52">
        <w:t>S</w:t>
      </w:r>
      <w:r>
        <w:t xml:space="preserve">tudies on the </w:t>
      </w:r>
      <w:r w:rsidR="00BE2E52">
        <w:t>I</w:t>
      </w:r>
      <w:r>
        <w:t>mpact of COVID-19 on the Cultural and Creative Industries</w:t>
      </w:r>
      <w:bookmarkEnd w:id="11"/>
      <w:bookmarkEnd w:id="12"/>
      <w:bookmarkEnd w:id="13"/>
    </w:p>
    <w:p w14:paraId="00000084" w14:textId="2B58C4A4" w:rsidR="00F8269C" w:rsidRDefault="00450D2D" w:rsidP="00F04CBE">
      <w:pPr>
        <w:jc w:val="both"/>
        <w:rPr>
          <w:sz w:val="22"/>
          <w:szCs w:val="22"/>
        </w:rPr>
      </w:pPr>
      <w:r>
        <w:rPr>
          <w:sz w:val="22"/>
          <w:szCs w:val="22"/>
        </w:rPr>
        <w:t xml:space="preserve">As part of the preparation for the </w:t>
      </w:r>
      <w:r w:rsidR="00AF1863">
        <w:rPr>
          <w:sz w:val="22"/>
          <w:szCs w:val="22"/>
        </w:rPr>
        <w:t>M</w:t>
      </w:r>
      <w:r>
        <w:rPr>
          <w:sz w:val="22"/>
          <w:szCs w:val="22"/>
        </w:rPr>
        <w:t xml:space="preserve">apping </w:t>
      </w:r>
      <w:r w:rsidR="00AF1863">
        <w:rPr>
          <w:sz w:val="22"/>
          <w:szCs w:val="22"/>
        </w:rPr>
        <w:t>S</w:t>
      </w:r>
      <w:r>
        <w:rPr>
          <w:sz w:val="22"/>
          <w:szCs w:val="22"/>
        </w:rPr>
        <w:t xml:space="preserve">tudy, a review of publications about the impact of COVID-19 on the creative economy was conducted, </w:t>
      </w:r>
      <w:sdt>
        <w:sdtPr>
          <w:tag w:val="goog_rdk_24"/>
          <w:id w:val="-394668015"/>
        </w:sdtPr>
        <w:sdtEndPr/>
        <w:sdtContent/>
      </w:sdt>
      <w:r>
        <w:rPr>
          <w:sz w:val="22"/>
          <w:szCs w:val="22"/>
        </w:rPr>
        <w:t xml:space="preserve">and </w:t>
      </w:r>
      <w:r w:rsidR="009A1FE1">
        <w:rPr>
          <w:sz w:val="22"/>
          <w:szCs w:val="22"/>
        </w:rPr>
        <w:t xml:space="preserve">a </w:t>
      </w:r>
      <w:r>
        <w:rPr>
          <w:sz w:val="22"/>
          <w:szCs w:val="22"/>
        </w:rPr>
        <w:t>bibliographic database of the sources was developed. The criteria for inclu</w:t>
      </w:r>
      <w:sdt>
        <w:sdtPr>
          <w:tag w:val="goog_rdk_25"/>
          <w:id w:val="-267088680"/>
        </w:sdtPr>
        <w:sdtEndPr/>
        <w:sdtContent>
          <w:r>
            <w:rPr>
              <w:sz w:val="22"/>
              <w:szCs w:val="22"/>
            </w:rPr>
            <w:t>sion</w:t>
          </w:r>
        </w:sdtContent>
      </w:sdt>
      <w:r w:rsidR="001C267C" w:rsidRPr="001C267C">
        <w:rPr>
          <w:sz w:val="22"/>
          <w:szCs w:val="22"/>
        </w:rPr>
        <w:t xml:space="preserve"> in</w:t>
      </w:r>
      <w:r>
        <w:rPr>
          <w:sz w:val="22"/>
          <w:szCs w:val="22"/>
        </w:rPr>
        <w:t xml:space="preserve"> the database were:</w:t>
      </w:r>
    </w:p>
    <w:p w14:paraId="00000085" w14:textId="0E89AFDF" w:rsidR="00F8269C" w:rsidRDefault="00450D2D" w:rsidP="009D3DA2">
      <w:pPr>
        <w:numPr>
          <w:ilvl w:val="0"/>
          <w:numId w:val="13"/>
        </w:numPr>
        <w:pBdr>
          <w:top w:val="nil"/>
          <w:left w:val="nil"/>
          <w:bottom w:val="nil"/>
          <w:right w:val="nil"/>
          <w:between w:val="nil"/>
        </w:pBdr>
        <w:spacing w:after="0"/>
        <w:ind w:left="714" w:hanging="357"/>
        <w:jc w:val="both"/>
        <w:rPr>
          <w:color w:val="000000"/>
          <w:sz w:val="22"/>
          <w:szCs w:val="22"/>
        </w:rPr>
      </w:pPr>
      <w:r>
        <w:rPr>
          <w:color w:val="000000"/>
          <w:sz w:val="22"/>
          <w:szCs w:val="22"/>
        </w:rPr>
        <w:t>That the focus of the work should be the impact of COVID-19 on the CCIs (as defined by UNESCO, 2009)</w:t>
      </w:r>
      <w:r w:rsidR="009A1FE1">
        <w:rPr>
          <w:color w:val="000000"/>
          <w:sz w:val="22"/>
          <w:szCs w:val="22"/>
        </w:rPr>
        <w:t>;</w:t>
      </w:r>
    </w:p>
    <w:p w14:paraId="00000086" w14:textId="0F41DC47" w:rsidR="00F8269C" w:rsidRDefault="00450D2D" w:rsidP="009D3DA2">
      <w:pPr>
        <w:numPr>
          <w:ilvl w:val="0"/>
          <w:numId w:val="13"/>
        </w:numPr>
        <w:pBdr>
          <w:top w:val="nil"/>
          <w:left w:val="nil"/>
          <w:bottom w:val="nil"/>
          <w:right w:val="nil"/>
          <w:between w:val="nil"/>
        </w:pBdr>
        <w:spacing w:after="0"/>
        <w:ind w:left="714" w:hanging="357"/>
        <w:jc w:val="both"/>
        <w:rPr>
          <w:color w:val="000000"/>
          <w:sz w:val="22"/>
          <w:szCs w:val="22"/>
        </w:rPr>
      </w:pPr>
      <w:r>
        <w:rPr>
          <w:color w:val="000000"/>
          <w:sz w:val="22"/>
          <w:szCs w:val="22"/>
        </w:rPr>
        <w:t>That the author/s or institution should be identifiable</w:t>
      </w:r>
      <w:r w:rsidR="009A1FE1">
        <w:rPr>
          <w:color w:val="000000"/>
          <w:sz w:val="22"/>
          <w:szCs w:val="22"/>
        </w:rPr>
        <w:t>; and</w:t>
      </w:r>
    </w:p>
    <w:p w14:paraId="00000087" w14:textId="34ECFDF4" w:rsidR="00F8269C" w:rsidRDefault="00450D2D" w:rsidP="00F04CBE">
      <w:pPr>
        <w:numPr>
          <w:ilvl w:val="0"/>
          <w:numId w:val="13"/>
        </w:numPr>
        <w:pBdr>
          <w:top w:val="nil"/>
          <w:left w:val="nil"/>
          <w:bottom w:val="nil"/>
          <w:right w:val="nil"/>
          <w:between w:val="nil"/>
        </w:pBdr>
        <w:jc w:val="both"/>
        <w:rPr>
          <w:color w:val="000000"/>
          <w:sz w:val="22"/>
          <w:szCs w:val="22"/>
        </w:rPr>
      </w:pPr>
      <w:r>
        <w:rPr>
          <w:color w:val="000000"/>
          <w:sz w:val="22"/>
          <w:szCs w:val="22"/>
        </w:rPr>
        <w:t>That, wherever possible, the publications should be based on original research/data</w:t>
      </w:r>
      <w:r w:rsidR="009A1FE1">
        <w:rPr>
          <w:color w:val="000000"/>
          <w:sz w:val="22"/>
          <w:szCs w:val="22"/>
        </w:rPr>
        <w:t>.</w:t>
      </w:r>
    </w:p>
    <w:p w14:paraId="00000088" w14:textId="77777777" w:rsidR="00F8269C" w:rsidRDefault="00450D2D">
      <w:r>
        <w:rPr>
          <w:noProof/>
        </w:rPr>
        <w:drawing>
          <wp:inline distT="0" distB="0" distL="0" distR="0" wp14:anchorId="137D3884" wp14:editId="45EDCFAF">
            <wp:extent cx="5731510" cy="2383367"/>
            <wp:effectExtent l="0" t="0" r="0" b="0"/>
            <wp:docPr id="308" name="Chart 30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0000089" w14:textId="532CB409" w:rsidR="00F8269C" w:rsidRDefault="00450D2D">
      <w:pPr>
        <w:pBdr>
          <w:top w:val="nil"/>
          <w:left w:val="nil"/>
          <w:bottom w:val="nil"/>
          <w:right w:val="nil"/>
          <w:between w:val="nil"/>
        </w:pBdr>
        <w:spacing w:after="200" w:line="240" w:lineRule="auto"/>
        <w:rPr>
          <w:color w:val="44546A"/>
          <w:sz w:val="18"/>
          <w:szCs w:val="18"/>
        </w:rPr>
      </w:pPr>
      <w:r>
        <w:rPr>
          <w:i/>
          <w:color w:val="44546A"/>
          <w:sz w:val="18"/>
          <w:szCs w:val="18"/>
        </w:rPr>
        <w:t>Figure 1</w:t>
      </w:r>
      <w:r w:rsidR="001B682C">
        <w:rPr>
          <w:i/>
          <w:color w:val="44546A"/>
          <w:sz w:val="18"/>
          <w:szCs w:val="18"/>
        </w:rPr>
        <w:t xml:space="preserve">: </w:t>
      </w:r>
      <w:r>
        <w:rPr>
          <w:i/>
          <w:color w:val="44546A"/>
          <w:sz w:val="18"/>
          <w:szCs w:val="18"/>
        </w:rPr>
        <w:t>Summary of Research Reports included in the COVID-19 bibliographic database</w:t>
      </w:r>
    </w:p>
    <w:p w14:paraId="0000008A" w14:textId="750395AF" w:rsidR="00F8269C" w:rsidRPr="00F04CBE" w:rsidRDefault="00450D2D" w:rsidP="00F04CBE">
      <w:pPr>
        <w:jc w:val="both"/>
        <w:rPr>
          <w:sz w:val="22"/>
          <w:szCs w:val="22"/>
        </w:rPr>
      </w:pPr>
      <w:r w:rsidRPr="00F04CBE">
        <w:rPr>
          <w:sz w:val="22"/>
          <w:szCs w:val="22"/>
        </w:rPr>
        <w:t>While preference was given to published journal articles and book chapters, these take time to produce, and there is also some excellent research being done by industry organisations, NGOs, and some government departments. The decision was thus made to</w:t>
      </w:r>
      <w:r w:rsidR="009A1FE1" w:rsidRPr="00F04CBE">
        <w:rPr>
          <w:sz w:val="22"/>
          <w:szCs w:val="22"/>
        </w:rPr>
        <w:t xml:space="preserve"> also</w:t>
      </w:r>
      <w:r w:rsidRPr="00F04CBE">
        <w:rPr>
          <w:sz w:val="22"/>
          <w:szCs w:val="22"/>
        </w:rPr>
        <w:t xml:space="preserve"> include publicly available research reports produced by these institutions.</w:t>
      </w:r>
    </w:p>
    <w:p w14:paraId="0000008B" w14:textId="616E6106" w:rsidR="00F8269C" w:rsidRPr="00F04CBE" w:rsidRDefault="00450D2D" w:rsidP="00F04CBE">
      <w:pPr>
        <w:jc w:val="both"/>
        <w:rPr>
          <w:sz w:val="22"/>
          <w:szCs w:val="22"/>
        </w:rPr>
      </w:pPr>
      <w:r w:rsidRPr="00F04CBE">
        <w:rPr>
          <w:sz w:val="22"/>
          <w:szCs w:val="22"/>
        </w:rPr>
        <w:t>In all, 63 reports, articles and book chapters meeting the above criteria were selected for review</w:t>
      </w:r>
      <w:r w:rsidR="00930986" w:rsidRPr="00F04CBE">
        <w:rPr>
          <w:sz w:val="22"/>
          <w:szCs w:val="22"/>
        </w:rPr>
        <w:t>:</w:t>
      </w:r>
      <w:r w:rsidRPr="00F04CBE">
        <w:rPr>
          <w:sz w:val="22"/>
          <w:szCs w:val="22"/>
        </w:rPr>
        <w:t xml:space="preserve"> 45 of them were published in 2020, and 18 in 2021.</w:t>
      </w:r>
    </w:p>
    <w:p w14:paraId="0000008C" w14:textId="77777777" w:rsidR="00F8269C" w:rsidRPr="00F04CBE" w:rsidRDefault="00450D2D" w:rsidP="00F04CBE">
      <w:pPr>
        <w:jc w:val="both"/>
        <w:rPr>
          <w:sz w:val="22"/>
          <w:szCs w:val="22"/>
        </w:rPr>
      </w:pPr>
      <w:r w:rsidRPr="00F04CBE">
        <w:rPr>
          <w:sz w:val="22"/>
          <w:szCs w:val="22"/>
        </w:rPr>
        <w:lastRenderedPageBreak/>
        <w:t>Many of the studies were international (29%), from Europe (17%), the UK (14%) and the US (10%). However, a number of developing country studies were also found: from Africa, including South Africa (11%), India (6%), China (3%), the Indo-Pacific (3%), Korea and the Middle East.</w:t>
      </w:r>
    </w:p>
    <w:p w14:paraId="0000008D" w14:textId="76E00202" w:rsidR="00F8269C" w:rsidRPr="00F04CBE" w:rsidRDefault="00450D2D" w:rsidP="00F04CBE">
      <w:pPr>
        <w:jc w:val="both"/>
        <w:rPr>
          <w:sz w:val="22"/>
          <w:szCs w:val="22"/>
        </w:rPr>
      </w:pPr>
      <w:r w:rsidRPr="00F04CBE">
        <w:rPr>
          <w:sz w:val="22"/>
          <w:szCs w:val="22"/>
        </w:rPr>
        <w:t xml:space="preserve">About half </w:t>
      </w:r>
      <w:r w:rsidR="00930986" w:rsidRPr="00F04CBE">
        <w:rPr>
          <w:sz w:val="22"/>
          <w:szCs w:val="22"/>
        </w:rPr>
        <w:t>were</w:t>
      </w:r>
      <w:r w:rsidRPr="00F04CBE">
        <w:rPr>
          <w:sz w:val="22"/>
          <w:szCs w:val="22"/>
        </w:rPr>
        <w:t xml:space="preserve"> published as a journal article or book chapter (49%), and the rest were produced as industry or government reports. The majority of the studies used qualitative analysis (60%), 21% were quantitative and 19% used mixed methods.</w:t>
      </w:r>
    </w:p>
    <w:p w14:paraId="0000008E" w14:textId="77777777" w:rsidR="00F8269C" w:rsidRPr="00F04CBE" w:rsidRDefault="00450D2D" w:rsidP="00F04CBE">
      <w:pPr>
        <w:jc w:val="both"/>
        <w:rPr>
          <w:sz w:val="22"/>
          <w:szCs w:val="22"/>
        </w:rPr>
      </w:pPr>
      <w:r w:rsidRPr="00F04CBE">
        <w:rPr>
          <w:sz w:val="22"/>
          <w:szCs w:val="22"/>
        </w:rPr>
        <w:t>The reports provided coverage across the different sectors, or domains, except for domain F (Design and Creative Services). Other SACO research (2021) has shown that, while the activities of Domain F (which includes fashion, graphic, and interior design, advertising and architecture) were negatively impacted by the COVID-19 pandemic, it was not as vulnerable as the other domains, which tended to have higher levels of in-person production and consumption that could not be moved online, and more informal and freelance workers.</w:t>
      </w:r>
    </w:p>
    <w:p w14:paraId="0000008F" w14:textId="78F1282D" w:rsidR="00F8269C" w:rsidRPr="00F04CBE" w:rsidRDefault="00450D2D" w:rsidP="00F04CBE">
      <w:pPr>
        <w:jc w:val="both"/>
        <w:rPr>
          <w:sz w:val="22"/>
          <w:szCs w:val="22"/>
        </w:rPr>
      </w:pPr>
      <w:r w:rsidRPr="00F04CBE">
        <w:rPr>
          <w:sz w:val="22"/>
          <w:szCs w:val="22"/>
        </w:rPr>
        <w:t xml:space="preserve">While space does not allow a detailed analysis of all the research, the annotated bibliographic database is available on the SACO website as an electronic appendix to the </w:t>
      </w:r>
      <w:r w:rsidR="00AF1863">
        <w:rPr>
          <w:sz w:val="22"/>
          <w:szCs w:val="22"/>
        </w:rPr>
        <w:t>M</w:t>
      </w:r>
      <w:r w:rsidRPr="00F04CBE">
        <w:rPr>
          <w:sz w:val="22"/>
          <w:szCs w:val="22"/>
        </w:rPr>
        <w:t xml:space="preserve">apping </w:t>
      </w:r>
      <w:r w:rsidR="00AF1863">
        <w:rPr>
          <w:sz w:val="22"/>
          <w:szCs w:val="22"/>
        </w:rPr>
        <w:t>S</w:t>
      </w:r>
      <w:r w:rsidRPr="00F04CBE">
        <w:rPr>
          <w:sz w:val="22"/>
          <w:szCs w:val="22"/>
        </w:rPr>
        <w:t>tudy, and can be used as a resource by others researching this area. Some of the main themes, with examples of references in the database that relate to each topic, are briefly identified and discussed.</w:t>
      </w:r>
    </w:p>
    <w:p w14:paraId="00000090" w14:textId="77777777" w:rsidR="00F8269C" w:rsidRDefault="00450D2D">
      <w:r>
        <w:rPr>
          <w:noProof/>
        </w:rPr>
        <mc:AlternateContent>
          <mc:Choice Requires="wpg">
            <w:drawing>
              <wp:inline distT="0" distB="0" distL="0" distR="0" wp14:anchorId="4F453B19" wp14:editId="2C561030">
                <wp:extent cx="6467475" cy="2012950"/>
                <wp:effectExtent l="0" t="0" r="9525" b="0"/>
                <wp:docPr id="324" name="Group 324"/>
                <wp:cNvGraphicFramePr/>
                <a:graphic xmlns:a="http://schemas.openxmlformats.org/drawingml/2006/main">
                  <a:graphicData uri="http://schemas.microsoft.com/office/word/2010/wordprocessingGroup">
                    <wpg:wgp>
                      <wpg:cNvGrpSpPr/>
                      <wpg:grpSpPr>
                        <a:xfrm>
                          <a:off x="0" y="0"/>
                          <a:ext cx="6467475" cy="2012950"/>
                          <a:chOff x="0" y="0"/>
                          <a:chExt cx="5486400" cy="1040500"/>
                        </a:xfrm>
                      </wpg:grpSpPr>
                      <wpg:grpSp>
                        <wpg:cNvPr id="1" name="Group 1"/>
                        <wpg:cNvGrpSpPr/>
                        <wpg:grpSpPr>
                          <a:xfrm>
                            <a:off x="0" y="0"/>
                            <a:ext cx="5486400" cy="1040500"/>
                            <a:chOff x="0" y="0"/>
                            <a:chExt cx="5486400" cy="1040500"/>
                          </a:xfrm>
                        </wpg:grpSpPr>
                        <wps:wsp>
                          <wps:cNvPr id="2" name="Rectangle 2"/>
                          <wps:cNvSpPr/>
                          <wps:spPr>
                            <a:xfrm>
                              <a:off x="0" y="0"/>
                              <a:ext cx="5486400" cy="1040500"/>
                            </a:xfrm>
                            <a:prstGeom prst="rect">
                              <a:avLst/>
                            </a:prstGeom>
                            <a:noFill/>
                            <a:ln>
                              <a:noFill/>
                            </a:ln>
                          </wps:spPr>
                          <wps:txbx>
                            <w:txbxContent>
                              <w:p w14:paraId="3E12E532" w14:textId="77777777" w:rsidR="00513E3A" w:rsidRDefault="00513E3A">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2357" y="86057"/>
                              <a:ext cx="699194" cy="182159"/>
                            </a:xfrm>
                            <a:prstGeom prst="rect">
                              <a:avLst/>
                            </a:prstGeom>
                            <a:solidFill>
                              <a:schemeClr val="accent2"/>
                            </a:solidFill>
                            <a:ln w="12700" cap="flat" cmpd="sng">
                              <a:solidFill>
                                <a:schemeClr val="accent2"/>
                              </a:solidFill>
                              <a:prstDash val="solid"/>
                              <a:miter lim="800000"/>
                              <a:headEnd type="none" w="sm" len="sm"/>
                              <a:tailEnd type="none" w="sm" len="sm"/>
                            </a:ln>
                          </wps:spPr>
                          <wps:txbx>
                            <w:txbxContent>
                              <w:p w14:paraId="71B4EE60" w14:textId="77777777" w:rsidR="00513E3A" w:rsidRDefault="00513E3A">
                                <w:pPr>
                                  <w:spacing w:after="0" w:line="240" w:lineRule="auto"/>
                                  <w:textDirection w:val="btLr"/>
                                </w:pPr>
                              </w:p>
                            </w:txbxContent>
                          </wps:txbx>
                          <wps:bodyPr spcFirstLastPara="1" wrap="square" lIns="91425" tIns="91425" rIns="91425" bIns="91425" anchor="ctr" anchorCtr="0">
                            <a:noAutofit/>
                          </wps:bodyPr>
                        </wps:wsp>
                        <wps:wsp>
                          <wps:cNvPr id="4" name="Text Box 4"/>
                          <wps:cNvSpPr txBox="1"/>
                          <wps:spPr>
                            <a:xfrm>
                              <a:off x="2357" y="86057"/>
                              <a:ext cx="699194" cy="182159"/>
                            </a:xfrm>
                            <a:prstGeom prst="rect">
                              <a:avLst/>
                            </a:prstGeom>
                            <a:noFill/>
                            <a:ln>
                              <a:noFill/>
                            </a:ln>
                          </wps:spPr>
                          <wps:txbx>
                            <w:txbxContent>
                              <w:p w14:paraId="495220BD" w14:textId="77777777" w:rsidR="00513E3A" w:rsidRPr="006D63D0" w:rsidRDefault="00513E3A">
                                <w:pPr>
                                  <w:spacing w:after="0" w:line="215" w:lineRule="auto"/>
                                  <w:jc w:val="center"/>
                                  <w:textDirection w:val="btLr"/>
                                  <w:rPr>
                                    <w:sz w:val="16"/>
                                    <w:szCs w:val="16"/>
                                  </w:rPr>
                                </w:pPr>
                                <w:r w:rsidRPr="006D63D0">
                                  <w:rPr>
                                    <w:rFonts w:ascii="Calibri" w:eastAsia="Calibri" w:hAnsi="Calibri" w:cs="Calibri"/>
                                    <w:color w:val="000000"/>
                                    <w:sz w:val="16"/>
                                    <w:szCs w:val="16"/>
                                  </w:rPr>
                                  <w:t>Economic Impact: Countries &amp; Industries</w:t>
                                </w:r>
                              </w:p>
                            </w:txbxContent>
                          </wps:txbx>
                          <wps:bodyPr spcFirstLastPara="1" wrap="square" lIns="35550" tIns="20300" rIns="35550" bIns="20300" anchor="ctr" anchorCtr="0">
                            <a:noAutofit/>
                          </wps:bodyPr>
                        </wps:wsp>
                        <wps:wsp>
                          <wps:cNvPr id="5" name="Rectangle 5"/>
                          <wps:cNvSpPr/>
                          <wps:spPr>
                            <a:xfrm>
                              <a:off x="2357" y="268216"/>
                              <a:ext cx="699194" cy="686250"/>
                            </a:xfrm>
                            <a:prstGeom prst="rect">
                              <a:avLst/>
                            </a:prstGeom>
                            <a:solidFill>
                              <a:srgbClr val="F7D5CB">
                                <a:alpha val="89803"/>
                              </a:srgbClr>
                            </a:solidFill>
                            <a:ln w="12700" cap="flat" cmpd="sng">
                              <a:solidFill>
                                <a:srgbClr val="F7D5CB">
                                  <a:alpha val="89803"/>
                                </a:srgbClr>
                              </a:solidFill>
                              <a:prstDash val="solid"/>
                              <a:miter lim="800000"/>
                              <a:headEnd type="none" w="sm" len="sm"/>
                              <a:tailEnd type="none" w="sm" len="sm"/>
                            </a:ln>
                          </wps:spPr>
                          <wps:txbx>
                            <w:txbxContent>
                              <w:p w14:paraId="7CB9B967" w14:textId="77777777" w:rsidR="00513E3A" w:rsidRDefault="00513E3A">
                                <w:pPr>
                                  <w:spacing w:after="0" w:line="240" w:lineRule="auto"/>
                                  <w:textDirection w:val="btLr"/>
                                </w:pPr>
                              </w:p>
                            </w:txbxContent>
                          </wps:txbx>
                          <wps:bodyPr spcFirstLastPara="1" wrap="square" lIns="91425" tIns="91425" rIns="91425" bIns="91425" anchor="ctr" anchorCtr="0">
                            <a:noAutofit/>
                          </wps:bodyPr>
                        </wps:wsp>
                        <wps:wsp>
                          <wps:cNvPr id="6" name="Text Box 6"/>
                          <wps:cNvSpPr txBox="1"/>
                          <wps:spPr>
                            <a:xfrm>
                              <a:off x="2357" y="268216"/>
                              <a:ext cx="699194" cy="686250"/>
                            </a:xfrm>
                            <a:prstGeom prst="rect">
                              <a:avLst/>
                            </a:prstGeom>
                            <a:noFill/>
                            <a:ln>
                              <a:noFill/>
                            </a:ln>
                          </wps:spPr>
                          <wps:txbx>
                            <w:txbxContent>
                              <w:p w14:paraId="114BBE84" w14:textId="77777777" w:rsidR="00513E3A" w:rsidRPr="006D63D0" w:rsidRDefault="00513E3A">
                                <w:pPr>
                                  <w:spacing w:after="0" w:line="215" w:lineRule="auto"/>
                                  <w:ind w:left="90" w:firstLine="50"/>
                                  <w:textDirection w:val="btLr"/>
                                  <w:rPr>
                                    <w:sz w:val="16"/>
                                    <w:szCs w:val="16"/>
                                  </w:rPr>
                                </w:pPr>
                                <w:r w:rsidRPr="006D63D0">
                                  <w:rPr>
                                    <w:rFonts w:ascii="Calibri" w:eastAsia="Calibri" w:hAnsi="Calibri" w:cs="Calibri"/>
                                    <w:color w:val="000000"/>
                                    <w:sz w:val="16"/>
                                    <w:szCs w:val="16"/>
                                  </w:rPr>
                                  <w:t>Contribution to GDP &amp; employment</w:t>
                                </w:r>
                              </w:p>
                              <w:p w14:paraId="21D87F8F"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Multiplier impacts</w:t>
                                </w:r>
                              </w:p>
                              <w:p w14:paraId="09A24DDF"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Revenue &amp; Subsidy</w:t>
                                </w:r>
                              </w:p>
                              <w:p w14:paraId="32920AFA"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Business Closures</w:t>
                                </w:r>
                              </w:p>
                              <w:p w14:paraId="27BBDDAE"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Changing business models</w:t>
                                </w:r>
                              </w:p>
                              <w:p w14:paraId="6D343346" w14:textId="77777777" w:rsidR="00513E3A" w:rsidRPr="006D63D0" w:rsidRDefault="00513E3A">
                                <w:pPr>
                                  <w:spacing w:before="15" w:after="0" w:line="215" w:lineRule="auto"/>
                                  <w:ind w:left="90" w:firstLine="50"/>
                                  <w:textDirection w:val="btLr"/>
                                  <w:rPr>
                                    <w:sz w:val="16"/>
                                    <w:szCs w:val="16"/>
                                  </w:rPr>
                                </w:pPr>
                              </w:p>
                            </w:txbxContent>
                          </wps:txbx>
                          <wps:bodyPr spcFirstLastPara="1" wrap="square" lIns="26650" tIns="26650" rIns="35550" bIns="40000" anchor="t" anchorCtr="0">
                            <a:noAutofit/>
                          </wps:bodyPr>
                        </wps:wsp>
                        <wps:wsp>
                          <wps:cNvPr id="7" name="Rectangle 7"/>
                          <wps:cNvSpPr/>
                          <wps:spPr>
                            <a:xfrm>
                              <a:off x="799439" y="86057"/>
                              <a:ext cx="699194" cy="182159"/>
                            </a:xfrm>
                            <a:prstGeom prst="rect">
                              <a:avLst/>
                            </a:prstGeom>
                            <a:solidFill>
                              <a:srgbClr val="DE7946"/>
                            </a:solidFill>
                            <a:ln w="12700" cap="flat" cmpd="sng">
                              <a:solidFill>
                                <a:srgbClr val="DE7946"/>
                              </a:solidFill>
                              <a:prstDash val="solid"/>
                              <a:miter lim="800000"/>
                              <a:headEnd type="none" w="sm" len="sm"/>
                              <a:tailEnd type="none" w="sm" len="sm"/>
                            </a:ln>
                          </wps:spPr>
                          <wps:txbx>
                            <w:txbxContent>
                              <w:p w14:paraId="711EBA38" w14:textId="77777777" w:rsidR="00513E3A" w:rsidRDefault="00513E3A">
                                <w:pPr>
                                  <w:spacing w:after="0" w:line="240" w:lineRule="auto"/>
                                  <w:textDirection w:val="btLr"/>
                                </w:pPr>
                              </w:p>
                            </w:txbxContent>
                          </wps:txbx>
                          <wps:bodyPr spcFirstLastPara="1" wrap="square" lIns="91425" tIns="91425" rIns="91425" bIns="91425" anchor="ctr" anchorCtr="0">
                            <a:noAutofit/>
                          </wps:bodyPr>
                        </wps:wsp>
                        <wps:wsp>
                          <wps:cNvPr id="8" name="Text Box 8"/>
                          <wps:cNvSpPr txBox="1"/>
                          <wps:spPr>
                            <a:xfrm>
                              <a:off x="799439" y="86057"/>
                              <a:ext cx="699194" cy="182159"/>
                            </a:xfrm>
                            <a:prstGeom prst="rect">
                              <a:avLst/>
                            </a:prstGeom>
                            <a:noFill/>
                            <a:ln>
                              <a:noFill/>
                            </a:ln>
                          </wps:spPr>
                          <wps:txbx>
                            <w:txbxContent>
                              <w:p w14:paraId="6F3BD10A" w14:textId="77777777" w:rsidR="00513E3A" w:rsidRPr="006D63D0" w:rsidRDefault="00513E3A">
                                <w:pPr>
                                  <w:spacing w:after="0" w:line="215" w:lineRule="auto"/>
                                  <w:jc w:val="center"/>
                                  <w:textDirection w:val="btLr"/>
                                  <w:rPr>
                                    <w:sz w:val="16"/>
                                    <w:szCs w:val="16"/>
                                  </w:rPr>
                                </w:pPr>
                                <w:r w:rsidRPr="006D63D0">
                                  <w:rPr>
                                    <w:rFonts w:ascii="Calibri" w:eastAsia="Calibri" w:hAnsi="Calibri" w:cs="Calibri"/>
                                    <w:color w:val="000000"/>
                                    <w:sz w:val="16"/>
                                    <w:szCs w:val="16"/>
                                  </w:rPr>
                                  <w:t>Innovation &amp; Digitisation</w:t>
                                </w:r>
                              </w:p>
                            </w:txbxContent>
                          </wps:txbx>
                          <wps:bodyPr spcFirstLastPara="1" wrap="square" lIns="35550" tIns="20300" rIns="35550" bIns="20300" anchor="ctr" anchorCtr="0">
                            <a:noAutofit/>
                          </wps:bodyPr>
                        </wps:wsp>
                        <wps:wsp>
                          <wps:cNvPr id="9" name="Rectangle 9"/>
                          <wps:cNvSpPr/>
                          <wps:spPr>
                            <a:xfrm>
                              <a:off x="799439" y="268216"/>
                              <a:ext cx="699194" cy="686250"/>
                            </a:xfrm>
                            <a:prstGeom prst="rect">
                              <a:avLst/>
                            </a:prstGeom>
                            <a:solidFill>
                              <a:srgbClr val="F3D5CD">
                                <a:alpha val="89803"/>
                              </a:srgbClr>
                            </a:solidFill>
                            <a:ln w="12700" cap="flat" cmpd="sng">
                              <a:solidFill>
                                <a:srgbClr val="F3D5CD">
                                  <a:alpha val="89803"/>
                                </a:srgbClr>
                              </a:solidFill>
                              <a:prstDash val="solid"/>
                              <a:miter lim="800000"/>
                              <a:headEnd type="none" w="sm" len="sm"/>
                              <a:tailEnd type="none" w="sm" len="sm"/>
                            </a:ln>
                          </wps:spPr>
                          <wps:txbx>
                            <w:txbxContent>
                              <w:p w14:paraId="64F24798" w14:textId="77777777" w:rsidR="00513E3A" w:rsidRDefault="00513E3A">
                                <w:pPr>
                                  <w:spacing w:after="0" w:line="240" w:lineRule="auto"/>
                                  <w:textDirection w:val="btLr"/>
                                </w:pPr>
                              </w:p>
                            </w:txbxContent>
                          </wps:txbx>
                          <wps:bodyPr spcFirstLastPara="1" wrap="square" lIns="91425" tIns="91425" rIns="91425" bIns="91425" anchor="ctr" anchorCtr="0">
                            <a:noAutofit/>
                          </wps:bodyPr>
                        </wps:wsp>
                        <wps:wsp>
                          <wps:cNvPr id="10" name="Text Box 10"/>
                          <wps:cNvSpPr txBox="1"/>
                          <wps:spPr>
                            <a:xfrm>
                              <a:off x="799439" y="268216"/>
                              <a:ext cx="699194" cy="686250"/>
                            </a:xfrm>
                            <a:prstGeom prst="rect">
                              <a:avLst/>
                            </a:prstGeom>
                            <a:noFill/>
                            <a:ln>
                              <a:noFill/>
                            </a:ln>
                          </wps:spPr>
                          <wps:txbx>
                            <w:txbxContent>
                              <w:p w14:paraId="679E8ED9" w14:textId="77777777" w:rsidR="00513E3A" w:rsidRPr="006D63D0" w:rsidRDefault="00513E3A">
                                <w:pPr>
                                  <w:spacing w:after="0" w:line="215" w:lineRule="auto"/>
                                  <w:ind w:left="90" w:firstLine="50"/>
                                  <w:textDirection w:val="btLr"/>
                                  <w:rPr>
                                    <w:sz w:val="16"/>
                                    <w:szCs w:val="16"/>
                                  </w:rPr>
                                </w:pPr>
                                <w:r w:rsidRPr="006D63D0">
                                  <w:rPr>
                                    <w:rFonts w:ascii="Calibri" w:eastAsia="Calibri" w:hAnsi="Calibri" w:cs="Calibri"/>
                                    <w:color w:val="000000"/>
                                    <w:sz w:val="16"/>
                                    <w:szCs w:val="16"/>
                                  </w:rPr>
                                  <w:t>Live streaming</w:t>
                                </w:r>
                              </w:p>
                              <w:p w14:paraId="48DB0CB9"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Online auctions</w:t>
                                </w:r>
                              </w:p>
                              <w:p w14:paraId="1683F2A5"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Rights (IP) online</w:t>
                                </w:r>
                              </w:p>
                              <w:p w14:paraId="5F006AD2"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Platforms (FAANGs)</w:t>
                                </w:r>
                              </w:p>
                              <w:p w14:paraId="2E0EF40D"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 xml:space="preserve">OTT viewership </w:t>
                                </w:r>
                              </w:p>
                            </w:txbxContent>
                          </wps:txbx>
                          <wps:bodyPr spcFirstLastPara="1" wrap="square" lIns="26650" tIns="26650" rIns="35550" bIns="40000" anchor="t" anchorCtr="0">
                            <a:noAutofit/>
                          </wps:bodyPr>
                        </wps:wsp>
                        <wps:wsp>
                          <wps:cNvPr id="11" name="Rectangle 11"/>
                          <wps:cNvSpPr/>
                          <wps:spPr>
                            <a:xfrm>
                              <a:off x="1603701" y="79129"/>
                              <a:ext cx="699194" cy="182159"/>
                            </a:xfrm>
                            <a:prstGeom prst="rect">
                              <a:avLst/>
                            </a:prstGeom>
                            <a:solidFill>
                              <a:srgbClr val="D07A5B"/>
                            </a:solidFill>
                            <a:ln w="12700" cap="flat" cmpd="sng">
                              <a:solidFill>
                                <a:srgbClr val="D07A5B"/>
                              </a:solidFill>
                              <a:prstDash val="solid"/>
                              <a:miter lim="800000"/>
                              <a:headEnd type="none" w="sm" len="sm"/>
                              <a:tailEnd type="none" w="sm" len="sm"/>
                            </a:ln>
                          </wps:spPr>
                          <wps:txbx>
                            <w:txbxContent>
                              <w:p w14:paraId="32619EA0" w14:textId="77777777" w:rsidR="00513E3A" w:rsidRDefault="00513E3A">
                                <w:pPr>
                                  <w:spacing w:after="0" w:line="240" w:lineRule="auto"/>
                                  <w:textDirection w:val="btLr"/>
                                </w:pPr>
                              </w:p>
                            </w:txbxContent>
                          </wps:txbx>
                          <wps:bodyPr spcFirstLastPara="1" wrap="square" lIns="91425" tIns="91425" rIns="91425" bIns="91425" anchor="ctr" anchorCtr="0">
                            <a:noAutofit/>
                          </wps:bodyPr>
                        </wps:wsp>
                        <wps:wsp>
                          <wps:cNvPr id="12" name="Text Box 12"/>
                          <wps:cNvSpPr txBox="1"/>
                          <wps:spPr>
                            <a:xfrm>
                              <a:off x="1603701" y="79129"/>
                              <a:ext cx="699194" cy="182159"/>
                            </a:xfrm>
                            <a:prstGeom prst="rect">
                              <a:avLst/>
                            </a:prstGeom>
                            <a:noFill/>
                            <a:ln>
                              <a:noFill/>
                            </a:ln>
                          </wps:spPr>
                          <wps:txbx>
                            <w:txbxContent>
                              <w:p w14:paraId="094D5145" w14:textId="77777777" w:rsidR="00513E3A" w:rsidRPr="006D63D0" w:rsidRDefault="00513E3A">
                                <w:pPr>
                                  <w:spacing w:after="0" w:line="215" w:lineRule="auto"/>
                                  <w:jc w:val="center"/>
                                  <w:textDirection w:val="btLr"/>
                                  <w:rPr>
                                    <w:sz w:val="16"/>
                                    <w:szCs w:val="16"/>
                                  </w:rPr>
                                </w:pPr>
                                <w:r w:rsidRPr="006D63D0">
                                  <w:rPr>
                                    <w:rFonts w:ascii="Calibri" w:eastAsia="Calibri" w:hAnsi="Calibri" w:cs="Calibri"/>
                                    <w:color w:val="000000"/>
                                    <w:sz w:val="16"/>
                                    <w:szCs w:val="16"/>
                                  </w:rPr>
                                  <w:t>Audiences and online access</w:t>
                                </w:r>
                              </w:p>
                            </w:txbxContent>
                          </wps:txbx>
                          <wps:bodyPr spcFirstLastPara="1" wrap="square" lIns="35550" tIns="20300" rIns="35550" bIns="20300" anchor="ctr" anchorCtr="0">
                            <a:noAutofit/>
                          </wps:bodyPr>
                        </wps:wsp>
                        <wps:wsp>
                          <wps:cNvPr id="13" name="Rectangle 13"/>
                          <wps:cNvSpPr/>
                          <wps:spPr>
                            <a:xfrm>
                              <a:off x="1596520" y="268216"/>
                              <a:ext cx="699194" cy="686250"/>
                            </a:xfrm>
                            <a:prstGeom prst="rect">
                              <a:avLst/>
                            </a:prstGeom>
                            <a:solidFill>
                              <a:srgbClr val="EFD6D1">
                                <a:alpha val="89803"/>
                              </a:srgbClr>
                            </a:solidFill>
                            <a:ln w="12700" cap="flat" cmpd="sng">
                              <a:solidFill>
                                <a:srgbClr val="EFD6D1">
                                  <a:alpha val="89803"/>
                                </a:srgbClr>
                              </a:solidFill>
                              <a:prstDash val="solid"/>
                              <a:miter lim="800000"/>
                              <a:headEnd type="none" w="sm" len="sm"/>
                              <a:tailEnd type="none" w="sm" len="sm"/>
                            </a:ln>
                          </wps:spPr>
                          <wps:txbx>
                            <w:txbxContent>
                              <w:p w14:paraId="22832D5B" w14:textId="77777777" w:rsidR="00513E3A" w:rsidRDefault="00513E3A">
                                <w:pPr>
                                  <w:spacing w:after="0" w:line="240" w:lineRule="auto"/>
                                  <w:textDirection w:val="btLr"/>
                                </w:pPr>
                              </w:p>
                            </w:txbxContent>
                          </wps:txbx>
                          <wps:bodyPr spcFirstLastPara="1" wrap="square" lIns="91425" tIns="91425" rIns="91425" bIns="91425" anchor="ctr" anchorCtr="0">
                            <a:noAutofit/>
                          </wps:bodyPr>
                        </wps:wsp>
                        <wps:wsp>
                          <wps:cNvPr id="14" name="Text Box 14"/>
                          <wps:cNvSpPr txBox="1"/>
                          <wps:spPr>
                            <a:xfrm>
                              <a:off x="1596520" y="268216"/>
                              <a:ext cx="699194" cy="686250"/>
                            </a:xfrm>
                            <a:prstGeom prst="rect">
                              <a:avLst/>
                            </a:prstGeom>
                            <a:noFill/>
                            <a:ln>
                              <a:noFill/>
                            </a:ln>
                          </wps:spPr>
                          <wps:txbx>
                            <w:txbxContent>
                              <w:p w14:paraId="4D934900" w14:textId="77777777" w:rsidR="00513E3A" w:rsidRPr="006D63D0" w:rsidRDefault="00513E3A">
                                <w:pPr>
                                  <w:spacing w:after="0" w:line="215" w:lineRule="auto"/>
                                  <w:ind w:left="90" w:firstLine="50"/>
                                  <w:textDirection w:val="btLr"/>
                                  <w:rPr>
                                    <w:sz w:val="16"/>
                                    <w:szCs w:val="16"/>
                                  </w:rPr>
                                </w:pPr>
                                <w:r w:rsidRPr="006D63D0">
                                  <w:rPr>
                                    <w:rFonts w:ascii="Calibri" w:eastAsia="Calibri" w:hAnsi="Calibri" w:cs="Calibri"/>
                                    <w:color w:val="000000"/>
                                    <w:sz w:val="16"/>
                                    <w:szCs w:val="16"/>
                                  </w:rPr>
                                  <w:t>Growing audience reach</w:t>
                                </w:r>
                              </w:p>
                              <w:p w14:paraId="26646E20"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Potential for exclusion (digital divide)</w:t>
                                </w:r>
                              </w:p>
                              <w:p w14:paraId="75E19564"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Online fatigue</w:t>
                                </w:r>
                              </w:p>
                            </w:txbxContent>
                          </wps:txbx>
                          <wps:bodyPr spcFirstLastPara="1" wrap="square" lIns="26650" tIns="26650" rIns="35550" bIns="40000" anchor="t" anchorCtr="0">
                            <a:noAutofit/>
                          </wps:bodyPr>
                        </wps:wsp>
                        <wps:wsp>
                          <wps:cNvPr id="15" name="Rectangle 15"/>
                          <wps:cNvSpPr/>
                          <wps:spPr>
                            <a:xfrm>
                              <a:off x="2393602" y="86057"/>
                              <a:ext cx="699194" cy="182159"/>
                            </a:xfrm>
                            <a:prstGeom prst="rect">
                              <a:avLst/>
                            </a:prstGeom>
                            <a:solidFill>
                              <a:srgbClr val="C47F6E"/>
                            </a:solidFill>
                            <a:ln w="12700" cap="flat" cmpd="sng">
                              <a:solidFill>
                                <a:srgbClr val="C47F6E"/>
                              </a:solidFill>
                              <a:prstDash val="solid"/>
                              <a:miter lim="800000"/>
                              <a:headEnd type="none" w="sm" len="sm"/>
                              <a:tailEnd type="none" w="sm" len="sm"/>
                            </a:ln>
                          </wps:spPr>
                          <wps:txbx>
                            <w:txbxContent>
                              <w:p w14:paraId="10FCBC60" w14:textId="77777777" w:rsidR="00513E3A" w:rsidRDefault="00513E3A">
                                <w:pPr>
                                  <w:spacing w:after="0" w:line="240" w:lineRule="auto"/>
                                  <w:textDirection w:val="btLr"/>
                                </w:pPr>
                              </w:p>
                            </w:txbxContent>
                          </wps:txbx>
                          <wps:bodyPr spcFirstLastPara="1" wrap="square" lIns="91425" tIns="91425" rIns="91425" bIns="91425" anchor="ctr" anchorCtr="0">
                            <a:noAutofit/>
                          </wps:bodyPr>
                        </wps:wsp>
                        <wps:wsp>
                          <wps:cNvPr id="16" name="Text Box 16"/>
                          <wps:cNvSpPr txBox="1"/>
                          <wps:spPr>
                            <a:xfrm>
                              <a:off x="2393602" y="86057"/>
                              <a:ext cx="699194" cy="182159"/>
                            </a:xfrm>
                            <a:prstGeom prst="rect">
                              <a:avLst/>
                            </a:prstGeom>
                            <a:noFill/>
                            <a:ln>
                              <a:noFill/>
                            </a:ln>
                          </wps:spPr>
                          <wps:txbx>
                            <w:txbxContent>
                              <w:p w14:paraId="2B0EF1BA" w14:textId="77777777" w:rsidR="00513E3A" w:rsidRPr="006D63D0" w:rsidRDefault="00513E3A">
                                <w:pPr>
                                  <w:spacing w:after="0" w:line="215" w:lineRule="auto"/>
                                  <w:jc w:val="center"/>
                                  <w:textDirection w:val="btLr"/>
                                  <w:rPr>
                                    <w:sz w:val="16"/>
                                    <w:szCs w:val="16"/>
                                  </w:rPr>
                                </w:pPr>
                                <w:r w:rsidRPr="006D63D0">
                                  <w:rPr>
                                    <w:rFonts w:ascii="Calibri" w:eastAsia="Calibri" w:hAnsi="Calibri" w:cs="Calibri"/>
                                    <w:color w:val="000000"/>
                                    <w:sz w:val="16"/>
                                    <w:szCs w:val="16"/>
                                  </w:rPr>
                                  <w:t>Communities &amp; Cultural Diversity</w:t>
                                </w:r>
                              </w:p>
                            </w:txbxContent>
                          </wps:txbx>
                          <wps:bodyPr spcFirstLastPara="1" wrap="square" lIns="35550" tIns="20300" rIns="35550" bIns="20300" anchor="ctr" anchorCtr="0">
                            <a:noAutofit/>
                          </wps:bodyPr>
                        </wps:wsp>
                        <wps:wsp>
                          <wps:cNvPr id="17" name="Rectangle 17"/>
                          <wps:cNvSpPr/>
                          <wps:spPr>
                            <a:xfrm>
                              <a:off x="2393602" y="268216"/>
                              <a:ext cx="699194" cy="686250"/>
                            </a:xfrm>
                            <a:prstGeom prst="rect">
                              <a:avLst/>
                            </a:prstGeom>
                            <a:solidFill>
                              <a:srgbClr val="EBD6D4">
                                <a:alpha val="89803"/>
                              </a:srgbClr>
                            </a:solidFill>
                            <a:ln w="12700" cap="flat" cmpd="sng">
                              <a:solidFill>
                                <a:srgbClr val="EBD6D4">
                                  <a:alpha val="89803"/>
                                </a:srgbClr>
                              </a:solidFill>
                              <a:prstDash val="solid"/>
                              <a:miter lim="800000"/>
                              <a:headEnd type="none" w="sm" len="sm"/>
                              <a:tailEnd type="none" w="sm" len="sm"/>
                            </a:ln>
                          </wps:spPr>
                          <wps:txbx>
                            <w:txbxContent>
                              <w:p w14:paraId="6A76E045" w14:textId="77777777" w:rsidR="00513E3A" w:rsidRDefault="00513E3A">
                                <w:pPr>
                                  <w:spacing w:after="0" w:line="240" w:lineRule="auto"/>
                                  <w:textDirection w:val="btLr"/>
                                </w:pPr>
                              </w:p>
                            </w:txbxContent>
                          </wps:txbx>
                          <wps:bodyPr spcFirstLastPara="1" wrap="square" lIns="91425" tIns="91425" rIns="91425" bIns="91425" anchor="ctr" anchorCtr="0">
                            <a:noAutofit/>
                          </wps:bodyPr>
                        </wps:wsp>
                        <wps:wsp>
                          <wps:cNvPr id="18" name="Text Box 18"/>
                          <wps:cNvSpPr txBox="1"/>
                          <wps:spPr>
                            <a:xfrm>
                              <a:off x="2393602" y="268216"/>
                              <a:ext cx="699194" cy="686250"/>
                            </a:xfrm>
                            <a:prstGeom prst="rect">
                              <a:avLst/>
                            </a:prstGeom>
                            <a:noFill/>
                            <a:ln>
                              <a:noFill/>
                            </a:ln>
                          </wps:spPr>
                          <wps:txbx>
                            <w:txbxContent>
                              <w:p w14:paraId="0B4BEB5A" w14:textId="77777777" w:rsidR="00513E3A" w:rsidRPr="006D63D0" w:rsidRDefault="00513E3A">
                                <w:pPr>
                                  <w:spacing w:after="0" w:line="215" w:lineRule="auto"/>
                                  <w:ind w:left="90" w:firstLine="50"/>
                                  <w:textDirection w:val="btLr"/>
                                  <w:rPr>
                                    <w:sz w:val="16"/>
                                    <w:szCs w:val="16"/>
                                  </w:rPr>
                                </w:pPr>
                                <w:r w:rsidRPr="006D63D0">
                                  <w:rPr>
                                    <w:rFonts w:ascii="Calibri" w:eastAsia="Calibri" w:hAnsi="Calibri" w:cs="Calibri"/>
                                    <w:color w:val="000000"/>
                                    <w:sz w:val="16"/>
                                    <w:szCs w:val="16"/>
                                  </w:rPr>
                                  <w:t>Creatives supporting communities</w:t>
                                </w:r>
                              </w:p>
                              <w:p w14:paraId="7A908859"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 xml:space="preserve">Information access </w:t>
                                </w:r>
                              </w:p>
                              <w:p w14:paraId="15CBC86E" w14:textId="448359D6"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Libraries &amp; Heritage</w:t>
                                </w:r>
                              </w:p>
                              <w:p w14:paraId="45D4CE72"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Workforce diversity</w:t>
                                </w:r>
                              </w:p>
                            </w:txbxContent>
                          </wps:txbx>
                          <wps:bodyPr spcFirstLastPara="1" wrap="square" lIns="26650" tIns="26650" rIns="35550" bIns="40000" anchor="t" anchorCtr="0">
                            <a:noAutofit/>
                          </wps:bodyPr>
                        </wps:wsp>
                        <wps:wsp>
                          <wps:cNvPr id="19" name="Rectangle 19"/>
                          <wps:cNvSpPr/>
                          <wps:spPr>
                            <a:xfrm>
                              <a:off x="3190684" y="86057"/>
                              <a:ext cx="699194" cy="182159"/>
                            </a:xfrm>
                            <a:prstGeom prst="rect">
                              <a:avLst/>
                            </a:prstGeom>
                            <a:solidFill>
                              <a:srgbClr val="B88881"/>
                            </a:solidFill>
                            <a:ln w="12700" cap="flat" cmpd="sng">
                              <a:solidFill>
                                <a:srgbClr val="B88881"/>
                              </a:solidFill>
                              <a:prstDash val="solid"/>
                              <a:miter lim="800000"/>
                              <a:headEnd type="none" w="sm" len="sm"/>
                              <a:tailEnd type="none" w="sm" len="sm"/>
                            </a:ln>
                          </wps:spPr>
                          <wps:txbx>
                            <w:txbxContent>
                              <w:p w14:paraId="412F5875" w14:textId="77777777" w:rsidR="00513E3A" w:rsidRDefault="00513E3A">
                                <w:pPr>
                                  <w:spacing w:after="0" w:line="240" w:lineRule="auto"/>
                                  <w:textDirection w:val="btLr"/>
                                </w:pPr>
                              </w:p>
                            </w:txbxContent>
                          </wps:txbx>
                          <wps:bodyPr spcFirstLastPara="1" wrap="square" lIns="91425" tIns="91425" rIns="91425" bIns="91425" anchor="ctr" anchorCtr="0">
                            <a:noAutofit/>
                          </wps:bodyPr>
                        </wps:wsp>
                        <wps:wsp>
                          <wps:cNvPr id="20" name="Text Box 20"/>
                          <wps:cNvSpPr txBox="1"/>
                          <wps:spPr>
                            <a:xfrm>
                              <a:off x="3190684" y="86057"/>
                              <a:ext cx="699194" cy="182159"/>
                            </a:xfrm>
                            <a:prstGeom prst="rect">
                              <a:avLst/>
                            </a:prstGeom>
                            <a:noFill/>
                            <a:ln>
                              <a:noFill/>
                            </a:ln>
                          </wps:spPr>
                          <wps:txbx>
                            <w:txbxContent>
                              <w:p w14:paraId="681CFFA5" w14:textId="77777777" w:rsidR="00513E3A" w:rsidRPr="006D63D0" w:rsidRDefault="00513E3A">
                                <w:pPr>
                                  <w:spacing w:after="0" w:line="215" w:lineRule="auto"/>
                                  <w:jc w:val="center"/>
                                  <w:textDirection w:val="btLr"/>
                                  <w:rPr>
                                    <w:sz w:val="16"/>
                                    <w:szCs w:val="16"/>
                                  </w:rPr>
                                </w:pPr>
                                <w:r w:rsidRPr="006D63D0">
                                  <w:rPr>
                                    <w:rFonts w:ascii="Calibri" w:eastAsia="Calibri" w:hAnsi="Calibri" w:cs="Calibri"/>
                                    <w:color w:val="000000"/>
                                    <w:sz w:val="16"/>
                                    <w:szCs w:val="16"/>
                                  </w:rPr>
                                  <w:t>Impact on Creatives</w:t>
                                </w:r>
                              </w:p>
                            </w:txbxContent>
                          </wps:txbx>
                          <wps:bodyPr spcFirstLastPara="1" wrap="square" lIns="35550" tIns="20300" rIns="35550" bIns="20300" anchor="ctr" anchorCtr="0">
                            <a:noAutofit/>
                          </wps:bodyPr>
                        </wps:wsp>
                        <wps:wsp>
                          <wps:cNvPr id="21" name="Rectangle 21"/>
                          <wps:cNvSpPr/>
                          <wps:spPr>
                            <a:xfrm>
                              <a:off x="3190684" y="268216"/>
                              <a:ext cx="699194" cy="686250"/>
                            </a:xfrm>
                            <a:prstGeom prst="rect">
                              <a:avLst/>
                            </a:prstGeom>
                            <a:solidFill>
                              <a:srgbClr val="E8D9D7">
                                <a:alpha val="89803"/>
                              </a:srgbClr>
                            </a:solidFill>
                            <a:ln w="12700" cap="flat" cmpd="sng">
                              <a:solidFill>
                                <a:srgbClr val="E8D9D7">
                                  <a:alpha val="89803"/>
                                </a:srgbClr>
                              </a:solidFill>
                              <a:prstDash val="solid"/>
                              <a:miter lim="800000"/>
                              <a:headEnd type="none" w="sm" len="sm"/>
                              <a:tailEnd type="none" w="sm" len="sm"/>
                            </a:ln>
                          </wps:spPr>
                          <wps:txbx>
                            <w:txbxContent>
                              <w:p w14:paraId="1DBE2D51" w14:textId="77777777" w:rsidR="00513E3A" w:rsidRDefault="00513E3A">
                                <w:pPr>
                                  <w:spacing w:after="0" w:line="240" w:lineRule="auto"/>
                                  <w:textDirection w:val="btLr"/>
                                </w:pPr>
                              </w:p>
                            </w:txbxContent>
                          </wps:txbx>
                          <wps:bodyPr spcFirstLastPara="1" wrap="square" lIns="91425" tIns="91425" rIns="91425" bIns="91425" anchor="ctr" anchorCtr="0">
                            <a:noAutofit/>
                          </wps:bodyPr>
                        </wps:wsp>
                        <wps:wsp>
                          <wps:cNvPr id="22" name="Text Box 22"/>
                          <wps:cNvSpPr txBox="1"/>
                          <wps:spPr>
                            <a:xfrm>
                              <a:off x="3190684" y="268216"/>
                              <a:ext cx="699194" cy="686250"/>
                            </a:xfrm>
                            <a:prstGeom prst="rect">
                              <a:avLst/>
                            </a:prstGeom>
                            <a:noFill/>
                            <a:ln>
                              <a:noFill/>
                            </a:ln>
                          </wps:spPr>
                          <wps:txbx>
                            <w:txbxContent>
                              <w:p w14:paraId="6B5215F0" w14:textId="77777777" w:rsidR="00513E3A" w:rsidRPr="006D63D0" w:rsidRDefault="00513E3A">
                                <w:pPr>
                                  <w:spacing w:after="0" w:line="215" w:lineRule="auto"/>
                                  <w:ind w:left="90" w:firstLine="50"/>
                                  <w:textDirection w:val="btLr"/>
                                  <w:rPr>
                                    <w:sz w:val="16"/>
                                    <w:szCs w:val="16"/>
                                  </w:rPr>
                                </w:pPr>
                                <w:r w:rsidRPr="006D63D0">
                                  <w:rPr>
                                    <w:rFonts w:ascii="Calibri" w:eastAsia="Calibri" w:hAnsi="Calibri" w:cs="Calibri"/>
                                    <w:color w:val="000000"/>
                                    <w:sz w:val="16"/>
                                    <w:szCs w:val="16"/>
                                  </w:rPr>
                                  <w:t>Business &amp; Income sources</w:t>
                                </w:r>
                              </w:p>
                              <w:p w14:paraId="47208C8D"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Wellbeing &amp; mental health</w:t>
                                </w:r>
                              </w:p>
                              <w:p w14:paraId="46BCDA82"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Creative labour markets</w:t>
                                </w:r>
                              </w:p>
                              <w:p w14:paraId="56178C89"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Remote work</w:t>
                                </w:r>
                              </w:p>
                              <w:p w14:paraId="60773F68"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Networks</w:t>
                                </w:r>
                              </w:p>
                            </w:txbxContent>
                          </wps:txbx>
                          <wps:bodyPr spcFirstLastPara="1" wrap="square" lIns="26650" tIns="26650" rIns="35550" bIns="40000" anchor="t" anchorCtr="0">
                            <a:noAutofit/>
                          </wps:bodyPr>
                        </wps:wsp>
                        <wps:wsp>
                          <wps:cNvPr id="23" name="Rectangle 23"/>
                          <wps:cNvSpPr/>
                          <wps:spPr>
                            <a:xfrm>
                              <a:off x="3987766" y="86057"/>
                              <a:ext cx="699194" cy="182159"/>
                            </a:xfrm>
                            <a:prstGeom prst="rect">
                              <a:avLst/>
                            </a:prstGeom>
                            <a:solidFill>
                              <a:srgbClr val="AD9593"/>
                            </a:solidFill>
                            <a:ln w="12700" cap="flat" cmpd="sng">
                              <a:solidFill>
                                <a:srgbClr val="AD9593"/>
                              </a:solidFill>
                              <a:prstDash val="solid"/>
                              <a:miter lim="800000"/>
                              <a:headEnd type="none" w="sm" len="sm"/>
                              <a:tailEnd type="none" w="sm" len="sm"/>
                            </a:ln>
                          </wps:spPr>
                          <wps:txbx>
                            <w:txbxContent>
                              <w:p w14:paraId="475ED483" w14:textId="77777777" w:rsidR="00513E3A" w:rsidRDefault="00513E3A">
                                <w:pPr>
                                  <w:spacing w:after="0" w:line="240" w:lineRule="auto"/>
                                  <w:textDirection w:val="btLr"/>
                                </w:pPr>
                              </w:p>
                            </w:txbxContent>
                          </wps:txbx>
                          <wps:bodyPr spcFirstLastPara="1" wrap="square" lIns="91425" tIns="91425" rIns="91425" bIns="91425" anchor="ctr" anchorCtr="0">
                            <a:noAutofit/>
                          </wps:bodyPr>
                        </wps:wsp>
                        <wps:wsp>
                          <wps:cNvPr id="24" name="Text Box 24"/>
                          <wps:cNvSpPr txBox="1"/>
                          <wps:spPr>
                            <a:xfrm>
                              <a:off x="3987766" y="86057"/>
                              <a:ext cx="699194" cy="182159"/>
                            </a:xfrm>
                            <a:prstGeom prst="rect">
                              <a:avLst/>
                            </a:prstGeom>
                            <a:noFill/>
                            <a:ln>
                              <a:noFill/>
                            </a:ln>
                          </wps:spPr>
                          <wps:txbx>
                            <w:txbxContent>
                              <w:p w14:paraId="5584D030" w14:textId="77777777" w:rsidR="00513E3A" w:rsidRPr="006D63D0" w:rsidRDefault="00513E3A">
                                <w:pPr>
                                  <w:spacing w:after="0" w:line="215" w:lineRule="auto"/>
                                  <w:jc w:val="center"/>
                                  <w:textDirection w:val="btLr"/>
                                  <w:rPr>
                                    <w:sz w:val="16"/>
                                    <w:szCs w:val="16"/>
                                  </w:rPr>
                                </w:pPr>
                                <w:r w:rsidRPr="006D63D0">
                                  <w:rPr>
                                    <w:rFonts w:ascii="Calibri" w:eastAsia="Calibri" w:hAnsi="Calibri" w:cs="Calibri"/>
                                    <w:color w:val="000000"/>
                                    <w:sz w:val="16"/>
                                    <w:szCs w:val="16"/>
                                  </w:rPr>
                                  <w:t>Cultural Tourism &amp; Travel</w:t>
                                </w:r>
                              </w:p>
                            </w:txbxContent>
                          </wps:txbx>
                          <wps:bodyPr spcFirstLastPara="1" wrap="square" lIns="35550" tIns="20300" rIns="35550" bIns="20300" anchor="ctr" anchorCtr="0">
                            <a:noAutofit/>
                          </wps:bodyPr>
                        </wps:wsp>
                        <wps:wsp>
                          <wps:cNvPr id="25" name="Rectangle 25"/>
                          <wps:cNvSpPr/>
                          <wps:spPr>
                            <a:xfrm>
                              <a:off x="3987766" y="268216"/>
                              <a:ext cx="699194" cy="686250"/>
                            </a:xfrm>
                            <a:prstGeom prst="rect">
                              <a:avLst/>
                            </a:prstGeom>
                            <a:solidFill>
                              <a:srgbClr val="E3DBDB">
                                <a:alpha val="89803"/>
                              </a:srgbClr>
                            </a:solidFill>
                            <a:ln w="12700" cap="flat" cmpd="sng">
                              <a:solidFill>
                                <a:srgbClr val="E3DBDB">
                                  <a:alpha val="89803"/>
                                </a:srgbClr>
                              </a:solidFill>
                              <a:prstDash val="solid"/>
                              <a:miter lim="800000"/>
                              <a:headEnd type="none" w="sm" len="sm"/>
                              <a:tailEnd type="none" w="sm" len="sm"/>
                            </a:ln>
                          </wps:spPr>
                          <wps:txbx>
                            <w:txbxContent>
                              <w:p w14:paraId="0BADAD8F" w14:textId="77777777" w:rsidR="00513E3A" w:rsidRDefault="00513E3A">
                                <w:pPr>
                                  <w:spacing w:after="0" w:line="240" w:lineRule="auto"/>
                                  <w:textDirection w:val="btLr"/>
                                </w:pPr>
                              </w:p>
                            </w:txbxContent>
                          </wps:txbx>
                          <wps:bodyPr spcFirstLastPara="1" wrap="square" lIns="91425" tIns="91425" rIns="91425" bIns="91425" anchor="ctr" anchorCtr="0">
                            <a:noAutofit/>
                          </wps:bodyPr>
                        </wps:wsp>
                        <wps:wsp>
                          <wps:cNvPr id="26" name="Text Box 26"/>
                          <wps:cNvSpPr txBox="1"/>
                          <wps:spPr>
                            <a:xfrm>
                              <a:off x="3987766" y="268216"/>
                              <a:ext cx="699194" cy="686250"/>
                            </a:xfrm>
                            <a:prstGeom prst="rect">
                              <a:avLst/>
                            </a:prstGeom>
                            <a:noFill/>
                            <a:ln>
                              <a:noFill/>
                            </a:ln>
                          </wps:spPr>
                          <wps:txbx>
                            <w:txbxContent>
                              <w:p w14:paraId="46C07A68" w14:textId="77777777" w:rsidR="00513E3A" w:rsidRPr="006D63D0" w:rsidRDefault="00513E3A">
                                <w:pPr>
                                  <w:spacing w:after="0" w:line="215" w:lineRule="auto"/>
                                  <w:ind w:left="90" w:firstLine="50"/>
                                  <w:textDirection w:val="btLr"/>
                                  <w:rPr>
                                    <w:sz w:val="16"/>
                                    <w:szCs w:val="16"/>
                                  </w:rPr>
                                </w:pPr>
                                <w:r w:rsidRPr="006D63D0">
                                  <w:rPr>
                                    <w:rFonts w:ascii="Calibri" w:eastAsia="Calibri" w:hAnsi="Calibri" w:cs="Calibri"/>
                                    <w:color w:val="000000"/>
                                    <w:sz w:val="16"/>
                                    <w:szCs w:val="16"/>
                                  </w:rPr>
                                  <w:t>Regional economic</w:t>
                                </w:r>
                                <w:r>
                                  <w:rPr>
                                    <w:rFonts w:ascii="Calibri" w:eastAsia="Calibri" w:hAnsi="Calibri" w:cs="Calibri"/>
                                    <w:color w:val="000000"/>
                                    <w:sz w:val="10"/>
                                  </w:rPr>
                                  <w:t xml:space="preserve"> </w:t>
                                </w:r>
                                <w:r w:rsidRPr="006D63D0">
                                  <w:rPr>
                                    <w:rFonts w:ascii="Calibri" w:eastAsia="Calibri" w:hAnsi="Calibri" w:cs="Calibri"/>
                                    <w:color w:val="000000"/>
                                    <w:sz w:val="16"/>
                                    <w:szCs w:val="16"/>
                                  </w:rPr>
                                  <w:t>impact</w:t>
                                </w:r>
                              </w:p>
                              <w:p w14:paraId="6124D267"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Event organisers</w:t>
                                </w:r>
                              </w:p>
                              <w:p w14:paraId="5CA8A577" w14:textId="7E1A44A0"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Sector impact (museums; music; heritage sites; festivals)</w:t>
                                </w:r>
                              </w:p>
                            </w:txbxContent>
                          </wps:txbx>
                          <wps:bodyPr spcFirstLastPara="1" wrap="square" lIns="26650" tIns="26650" rIns="35550" bIns="40000" anchor="t" anchorCtr="0">
                            <a:noAutofit/>
                          </wps:bodyPr>
                        </wps:wsp>
                        <wps:wsp>
                          <wps:cNvPr id="27" name="Rectangle 27"/>
                          <wps:cNvSpPr/>
                          <wps:spPr>
                            <a:xfrm>
                              <a:off x="4784848" y="86057"/>
                              <a:ext cx="699194" cy="182159"/>
                            </a:xfrm>
                            <a:prstGeom prst="rect">
                              <a:avLst/>
                            </a:prstGeom>
                            <a:solidFill>
                              <a:srgbClr val="A4A4A4"/>
                            </a:solidFill>
                            <a:ln w="12700" cap="flat" cmpd="sng">
                              <a:solidFill>
                                <a:srgbClr val="A4A4A4"/>
                              </a:solidFill>
                              <a:prstDash val="solid"/>
                              <a:miter lim="800000"/>
                              <a:headEnd type="none" w="sm" len="sm"/>
                              <a:tailEnd type="none" w="sm" len="sm"/>
                            </a:ln>
                          </wps:spPr>
                          <wps:txbx>
                            <w:txbxContent>
                              <w:p w14:paraId="7159CD29" w14:textId="77777777" w:rsidR="00513E3A" w:rsidRDefault="00513E3A">
                                <w:pPr>
                                  <w:spacing w:after="0" w:line="240" w:lineRule="auto"/>
                                  <w:textDirection w:val="btLr"/>
                                </w:pPr>
                              </w:p>
                            </w:txbxContent>
                          </wps:txbx>
                          <wps:bodyPr spcFirstLastPara="1" wrap="square" lIns="91425" tIns="91425" rIns="91425" bIns="91425" anchor="ctr" anchorCtr="0">
                            <a:noAutofit/>
                          </wps:bodyPr>
                        </wps:wsp>
                        <wps:wsp>
                          <wps:cNvPr id="28" name="Text Box 28"/>
                          <wps:cNvSpPr txBox="1"/>
                          <wps:spPr>
                            <a:xfrm>
                              <a:off x="4784848" y="86057"/>
                              <a:ext cx="699194" cy="182159"/>
                            </a:xfrm>
                            <a:prstGeom prst="rect">
                              <a:avLst/>
                            </a:prstGeom>
                            <a:noFill/>
                            <a:ln>
                              <a:noFill/>
                            </a:ln>
                          </wps:spPr>
                          <wps:txbx>
                            <w:txbxContent>
                              <w:p w14:paraId="1DF12EF8" w14:textId="77777777" w:rsidR="00513E3A" w:rsidRPr="006D63D0" w:rsidRDefault="00513E3A">
                                <w:pPr>
                                  <w:spacing w:after="0" w:line="215" w:lineRule="auto"/>
                                  <w:jc w:val="center"/>
                                  <w:textDirection w:val="btLr"/>
                                  <w:rPr>
                                    <w:sz w:val="16"/>
                                    <w:szCs w:val="16"/>
                                  </w:rPr>
                                </w:pPr>
                                <w:r w:rsidRPr="006D63D0">
                                  <w:rPr>
                                    <w:rFonts w:ascii="Calibri" w:eastAsia="Calibri" w:hAnsi="Calibri" w:cs="Calibri"/>
                                    <w:color w:val="000000"/>
                                    <w:sz w:val="16"/>
                                    <w:szCs w:val="16"/>
                                  </w:rPr>
                                  <w:t>Governance &amp; Policy</w:t>
                                </w:r>
                              </w:p>
                            </w:txbxContent>
                          </wps:txbx>
                          <wps:bodyPr spcFirstLastPara="1" wrap="square" lIns="35550" tIns="20300" rIns="35550" bIns="20300" anchor="ctr" anchorCtr="0">
                            <a:noAutofit/>
                          </wps:bodyPr>
                        </wps:wsp>
                        <wps:wsp>
                          <wps:cNvPr id="29" name="Rectangle 29"/>
                          <wps:cNvSpPr/>
                          <wps:spPr>
                            <a:xfrm>
                              <a:off x="4784848" y="268216"/>
                              <a:ext cx="699194" cy="686250"/>
                            </a:xfrm>
                            <a:prstGeom prst="rect">
                              <a:avLst/>
                            </a:prstGeom>
                            <a:solidFill>
                              <a:srgbClr val="DFDFDF">
                                <a:alpha val="89803"/>
                              </a:srgbClr>
                            </a:solidFill>
                            <a:ln w="12700" cap="flat" cmpd="sng">
                              <a:solidFill>
                                <a:srgbClr val="DFDFDF">
                                  <a:alpha val="89803"/>
                                </a:srgbClr>
                              </a:solidFill>
                              <a:prstDash val="solid"/>
                              <a:miter lim="800000"/>
                              <a:headEnd type="none" w="sm" len="sm"/>
                              <a:tailEnd type="none" w="sm" len="sm"/>
                            </a:ln>
                          </wps:spPr>
                          <wps:txbx>
                            <w:txbxContent>
                              <w:p w14:paraId="1218322B" w14:textId="77777777" w:rsidR="00513E3A" w:rsidRDefault="00513E3A">
                                <w:pPr>
                                  <w:spacing w:after="0" w:line="240" w:lineRule="auto"/>
                                  <w:textDirection w:val="btLr"/>
                                </w:pPr>
                              </w:p>
                            </w:txbxContent>
                          </wps:txbx>
                          <wps:bodyPr spcFirstLastPara="1" wrap="square" lIns="91425" tIns="91425" rIns="91425" bIns="91425" anchor="ctr" anchorCtr="0">
                            <a:noAutofit/>
                          </wps:bodyPr>
                        </wps:wsp>
                        <wps:wsp>
                          <wps:cNvPr id="30" name="Text Box 30"/>
                          <wps:cNvSpPr txBox="1"/>
                          <wps:spPr>
                            <a:xfrm>
                              <a:off x="4784848" y="268216"/>
                              <a:ext cx="699194" cy="686250"/>
                            </a:xfrm>
                            <a:prstGeom prst="rect">
                              <a:avLst/>
                            </a:prstGeom>
                            <a:noFill/>
                            <a:ln>
                              <a:noFill/>
                            </a:ln>
                          </wps:spPr>
                          <wps:txbx>
                            <w:txbxContent>
                              <w:p w14:paraId="0391F3BF" w14:textId="77777777" w:rsidR="00513E3A" w:rsidRPr="006D63D0" w:rsidRDefault="00513E3A">
                                <w:pPr>
                                  <w:spacing w:after="0" w:line="215" w:lineRule="auto"/>
                                  <w:ind w:left="90" w:firstLine="50"/>
                                  <w:textDirection w:val="btLr"/>
                                  <w:rPr>
                                    <w:sz w:val="16"/>
                                    <w:szCs w:val="16"/>
                                  </w:rPr>
                                </w:pPr>
                                <w:r w:rsidRPr="006D63D0">
                                  <w:rPr>
                                    <w:rFonts w:ascii="Calibri" w:eastAsia="Calibri" w:hAnsi="Calibri" w:cs="Calibri"/>
                                    <w:color w:val="000000"/>
                                    <w:sz w:val="16"/>
                                    <w:szCs w:val="16"/>
                                  </w:rPr>
                                  <w:t>Cities, Regions &amp; Countries</w:t>
                                </w:r>
                              </w:p>
                              <w:p w14:paraId="11409A77"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Domain-specific support</w:t>
                                </w:r>
                              </w:p>
                              <w:p w14:paraId="767283EB"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Workforce vulnerability and support.</w:t>
                                </w:r>
                              </w:p>
                            </w:txbxContent>
                          </wps:txbx>
                          <wps:bodyPr spcFirstLastPara="1" wrap="square" lIns="26650" tIns="26650" rIns="35550" bIns="40000" anchor="t" anchorCtr="0">
                            <a:noAutofit/>
                          </wps:bodyPr>
                        </wps:wsp>
                      </wpg:grp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F453B19" id="Group 324" o:spid="_x0000_s1028" style="width:509.25pt;height:158.5pt;mso-position-horizontal-relative:char;mso-position-vertical-relative:line" coordsize="54864,10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">
                <v:group id="Group 1" o:spid="_x0000_s1029" style="position:absolute;width:54864;height:10405" coordsize="54864,10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30" style="position:absolute;width:54864;height:104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E12E532" w14:textId="77777777" w:rsidR="00513E3A" w:rsidRDefault="00513E3A">
                          <w:pPr>
                            <w:spacing w:after="0" w:line="240" w:lineRule="auto"/>
                            <w:textDirection w:val="btLr"/>
                          </w:pPr>
                        </w:p>
                      </w:txbxContent>
                    </v:textbox>
                  </v:rect>
                  <v:rect id="Rectangle 3" o:spid="_x0000_s1031" style="position:absolute;left:23;top:860;width:6992;height:1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" fillcolor="#ed7d31 [3205]" strokecolor="#ed7d31 [3205]" strokeweight="1pt">
                    <v:stroke startarrowwidth="narrow" startarrowlength="short" endarrowwidth="narrow" endarrowlength="short"/>
                    <v:textbox inset="2.53958mm,2.53958mm,2.53958mm,2.53958mm">
                      <w:txbxContent>
                        <w:p w14:paraId="71B4EE60" w14:textId="77777777" w:rsidR="00513E3A" w:rsidRDefault="00513E3A">
                          <w:pPr>
                            <w:spacing w:after="0" w:line="240" w:lineRule="auto"/>
                            <w:textDirection w:val="btLr"/>
                          </w:pPr>
                        </w:p>
                      </w:txbxContent>
                    </v:textbox>
                  </v:rect>
                  <v:shapetype id="_x0000_t202" coordsize="21600,21600" o:spt="202" path="m,l,21600r21600,l21600,xe">
                    <v:stroke joinstyle="miter"/>
                    <v:path gradientshapeok="t" o:connecttype="rect"/>
                  </v:shapetype>
                  <v:shape id="Text Box 4" o:spid="_x0000_s1032" type="#_x0000_t202" style="position:absolute;left:23;top:860;width:6992;height:1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" filled="f" stroked="f">
                    <v:textbox inset=".9875mm,.56389mm,.9875mm,.56389mm">
                      <w:txbxContent>
                        <w:p w14:paraId="495220BD" w14:textId="77777777" w:rsidR="00513E3A" w:rsidRPr="006D63D0" w:rsidRDefault="00513E3A">
                          <w:pPr>
                            <w:spacing w:after="0" w:line="215" w:lineRule="auto"/>
                            <w:jc w:val="center"/>
                            <w:textDirection w:val="btLr"/>
                            <w:rPr>
                              <w:sz w:val="16"/>
                              <w:szCs w:val="16"/>
                            </w:rPr>
                          </w:pPr>
                          <w:r w:rsidRPr="006D63D0">
                            <w:rPr>
                              <w:rFonts w:ascii="Calibri" w:eastAsia="Calibri" w:hAnsi="Calibri" w:cs="Calibri"/>
                              <w:color w:val="000000"/>
                              <w:sz w:val="16"/>
                              <w:szCs w:val="16"/>
                            </w:rPr>
                            <w:t>Economic Impact: Countries &amp; Industries</w:t>
                          </w:r>
                        </w:p>
                      </w:txbxContent>
                    </v:textbox>
                  </v:shape>
                  <v:rect id="Rectangle 5" o:spid="_x0000_s1033" style="position:absolute;left:23;top:2682;width:6992;height:68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" fillcolor="#f7d5cb" strokecolor="#f7d5cb" strokeweight="1pt">
                    <v:fill opacity="58853f"/>
                    <v:stroke startarrowwidth="narrow" startarrowlength="short" endarrowwidth="narrow" endarrowlength="short" opacity="58853f"/>
                    <v:textbox inset="2.53958mm,2.53958mm,2.53958mm,2.53958mm">
                      <w:txbxContent>
                        <w:p w14:paraId="7CB9B967" w14:textId="77777777" w:rsidR="00513E3A" w:rsidRDefault="00513E3A">
                          <w:pPr>
                            <w:spacing w:after="0" w:line="240" w:lineRule="auto"/>
                            <w:textDirection w:val="btLr"/>
                          </w:pPr>
                        </w:p>
                      </w:txbxContent>
                    </v:textbox>
                  </v:rect>
                  <v:shape id="Text Box 6" o:spid="_x0000_s1034" type="#_x0000_t202" style="position:absolute;left:23;top:2682;width:6992;height:6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" filled="f" stroked="f">
                    <v:textbox inset=".74028mm,.74028mm,.9875mm,1.1111mm">
                      <w:txbxContent>
                        <w:p w14:paraId="114BBE84" w14:textId="77777777" w:rsidR="00513E3A" w:rsidRPr="006D63D0" w:rsidRDefault="00513E3A">
                          <w:pPr>
                            <w:spacing w:after="0" w:line="215" w:lineRule="auto"/>
                            <w:ind w:left="90" w:firstLine="50"/>
                            <w:textDirection w:val="btLr"/>
                            <w:rPr>
                              <w:sz w:val="16"/>
                              <w:szCs w:val="16"/>
                            </w:rPr>
                          </w:pPr>
                          <w:r w:rsidRPr="006D63D0">
                            <w:rPr>
                              <w:rFonts w:ascii="Calibri" w:eastAsia="Calibri" w:hAnsi="Calibri" w:cs="Calibri"/>
                              <w:color w:val="000000"/>
                              <w:sz w:val="16"/>
                              <w:szCs w:val="16"/>
                            </w:rPr>
                            <w:t>Contribution to GDP &amp; employment</w:t>
                          </w:r>
                        </w:p>
                        <w:p w14:paraId="21D87F8F"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Multiplier impacts</w:t>
                          </w:r>
                        </w:p>
                        <w:p w14:paraId="09A24DDF"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Revenue &amp; Subsidy</w:t>
                          </w:r>
                        </w:p>
                        <w:p w14:paraId="32920AFA"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Business Closures</w:t>
                          </w:r>
                        </w:p>
                        <w:p w14:paraId="27BBDDAE"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Changing business models</w:t>
                          </w:r>
                        </w:p>
                        <w:p w14:paraId="6D343346" w14:textId="77777777" w:rsidR="00513E3A" w:rsidRPr="006D63D0" w:rsidRDefault="00513E3A">
                          <w:pPr>
                            <w:spacing w:before="15" w:after="0" w:line="215" w:lineRule="auto"/>
                            <w:ind w:left="90" w:firstLine="50"/>
                            <w:textDirection w:val="btLr"/>
                            <w:rPr>
                              <w:sz w:val="16"/>
                              <w:szCs w:val="16"/>
                            </w:rPr>
                          </w:pPr>
                        </w:p>
                      </w:txbxContent>
                    </v:textbox>
                  </v:shape>
                  <v:rect id="Rectangle 7" o:spid="_x0000_s1035" style="position:absolute;left:7994;top:860;width:6992;height:1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" fillcolor="#de7946" strokecolor="#de7946" strokeweight="1pt">
                    <v:stroke startarrowwidth="narrow" startarrowlength="short" endarrowwidth="narrow" endarrowlength="short"/>
                    <v:textbox inset="2.53958mm,2.53958mm,2.53958mm,2.53958mm">
                      <w:txbxContent>
                        <w:p w14:paraId="711EBA38" w14:textId="77777777" w:rsidR="00513E3A" w:rsidRDefault="00513E3A">
                          <w:pPr>
                            <w:spacing w:after="0" w:line="240" w:lineRule="auto"/>
                            <w:textDirection w:val="btLr"/>
                          </w:pPr>
                        </w:p>
                      </w:txbxContent>
                    </v:textbox>
                  </v:rect>
                  <v:shape id="Text Box 8" o:spid="_x0000_s1036" type="#_x0000_t202" style="position:absolute;left:7994;top:860;width:6992;height:1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" filled="f" stroked="f">
                    <v:textbox inset=".9875mm,.56389mm,.9875mm,.56389mm">
                      <w:txbxContent>
                        <w:p w14:paraId="6F3BD10A" w14:textId="77777777" w:rsidR="00513E3A" w:rsidRPr="006D63D0" w:rsidRDefault="00513E3A">
                          <w:pPr>
                            <w:spacing w:after="0" w:line="215" w:lineRule="auto"/>
                            <w:jc w:val="center"/>
                            <w:textDirection w:val="btLr"/>
                            <w:rPr>
                              <w:sz w:val="16"/>
                              <w:szCs w:val="16"/>
                            </w:rPr>
                          </w:pPr>
                          <w:r w:rsidRPr="006D63D0">
                            <w:rPr>
                              <w:rFonts w:ascii="Calibri" w:eastAsia="Calibri" w:hAnsi="Calibri" w:cs="Calibri"/>
                              <w:color w:val="000000"/>
                              <w:sz w:val="16"/>
                              <w:szCs w:val="16"/>
                            </w:rPr>
                            <w:t>Innovation &amp; Digitisation</w:t>
                          </w:r>
                        </w:p>
                      </w:txbxContent>
                    </v:textbox>
                  </v:shape>
                  <v:rect id="Rectangle 9" o:spid="_x0000_s1037" style="position:absolute;left:7994;top:2682;width:6992;height:68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" fillcolor="#f3d5cd" strokecolor="#f3d5cd" strokeweight="1pt">
                    <v:fill opacity="58853f"/>
                    <v:stroke startarrowwidth="narrow" startarrowlength="short" endarrowwidth="narrow" endarrowlength="short" opacity="58853f"/>
                    <v:textbox inset="2.53958mm,2.53958mm,2.53958mm,2.53958mm">
                      <w:txbxContent>
                        <w:p w14:paraId="64F24798" w14:textId="77777777" w:rsidR="00513E3A" w:rsidRDefault="00513E3A">
                          <w:pPr>
                            <w:spacing w:after="0" w:line="240" w:lineRule="auto"/>
                            <w:textDirection w:val="btLr"/>
                          </w:pPr>
                        </w:p>
                      </w:txbxContent>
                    </v:textbox>
                  </v:rect>
                  <v:shape id="Text Box 10" o:spid="_x0000_s1038" type="#_x0000_t202" style="position:absolute;left:7994;top:2682;width:6992;height:6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" filled="f" stroked="f">
                    <v:textbox inset=".74028mm,.74028mm,.9875mm,1.1111mm">
                      <w:txbxContent>
                        <w:p w14:paraId="679E8ED9" w14:textId="77777777" w:rsidR="00513E3A" w:rsidRPr="006D63D0" w:rsidRDefault="00513E3A">
                          <w:pPr>
                            <w:spacing w:after="0" w:line="215" w:lineRule="auto"/>
                            <w:ind w:left="90" w:firstLine="50"/>
                            <w:textDirection w:val="btLr"/>
                            <w:rPr>
                              <w:sz w:val="16"/>
                              <w:szCs w:val="16"/>
                            </w:rPr>
                          </w:pPr>
                          <w:r w:rsidRPr="006D63D0">
                            <w:rPr>
                              <w:rFonts w:ascii="Calibri" w:eastAsia="Calibri" w:hAnsi="Calibri" w:cs="Calibri"/>
                              <w:color w:val="000000"/>
                              <w:sz w:val="16"/>
                              <w:szCs w:val="16"/>
                            </w:rPr>
                            <w:t>Live streaming</w:t>
                          </w:r>
                        </w:p>
                        <w:p w14:paraId="48DB0CB9"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Online auctions</w:t>
                          </w:r>
                        </w:p>
                        <w:p w14:paraId="1683F2A5"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Rights (IP) online</w:t>
                          </w:r>
                        </w:p>
                        <w:p w14:paraId="5F006AD2"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Platforms (FAANGs)</w:t>
                          </w:r>
                        </w:p>
                        <w:p w14:paraId="2E0EF40D"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 xml:space="preserve">OTT viewership </w:t>
                          </w:r>
                        </w:p>
                      </w:txbxContent>
                    </v:textbox>
                  </v:shape>
                  <v:rect id="Rectangle 11" o:spid="_x0000_s1039" style="position:absolute;left:16037;top:791;width:6991;height:18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" fillcolor="#d07a5b" strokecolor="#d07a5b" strokeweight="1pt">
                    <v:stroke startarrowwidth="narrow" startarrowlength="short" endarrowwidth="narrow" endarrowlength="short"/>
                    <v:textbox inset="2.53958mm,2.53958mm,2.53958mm,2.53958mm">
                      <w:txbxContent>
                        <w:p w14:paraId="32619EA0" w14:textId="77777777" w:rsidR="00513E3A" w:rsidRDefault="00513E3A">
                          <w:pPr>
                            <w:spacing w:after="0" w:line="240" w:lineRule="auto"/>
                            <w:textDirection w:val="btLr"/>
                          </w:pPr>
                        </w:p>
                      </w:txbxContent>
                    </v:textbox>
                  </v:rect>
                  <v:shape id="Text Box 12" o:spid="_x0000_s1040" type="#_x0000_t202" style="position:absolute;left:16037;top:791;width:6991;height:18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" filled="f" stroked="f">
                    <v:textbox inset=".9875mm,.56389mm,.9875mm,.56389mm">
                      <w:txbxContent>
                        <w:p w14:paraId="094D5145" w14:textId="77777777" w:rsidR="00513E3A" w:rsidRPr="006D63D0" w:rsidRDefault="00513E3A">
                          <w:pPr>
                            <w:spacing w:after="0" w:line="215" w:lineRule="auto"/>
                            <w:jc w:val="center"/>
                            <w:textDirection w:val="btLr"/>
                            <w:rPr>
                              <w:sz w:val="16"/>
                              <w:szCs w:val="16"/>
                            </w:rPr>
                          </w:pPr>
                          <w:r w:rsidRPr="006D63D0">
                            <w:rPr>
                              <w:rFonts w:ascii="Calibri" w:eastAsia="Calibri" w:hAnsi="Calibri" w:cs="Calibri"/>
                              <w:color w:val="000000"/>
                              <w:sz w:val="16"/>
                              <w:szCs w:val="16"/>
                            </w:rPr>
                            <w:t>Audiences and online access</w:t>
                          </w:r>
                        </w:p>
                      </w:txbxContent>
                    </v:textbox>
                  </v:shape>
                  <v:rect id="Rectangle 13" o:spid="_x0000_s1041" style="position:absolute;left:15965;top:2682;width:6992;height:68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" fillcolor="#efd6d1" strokecolor="#efd6d1" strokeweight="1pt">
                    <v:fill opacity="58853f"/>
                    <v:stroke startarrowwidth="narrow" startarrowlength="short" endarrowwidth="narrow" endarrowlength="short" opacity="58853f"/>
                    <v:textbox inset="2.53958mm,2.53958mm,2.53958mm,2.53958mm">
                      <w:txbxContent>
                        <w:p w14:paraId="22832D5B" w14:textId="77777777" w:rsidR="00513E3A" w:rsidRDefault="00513E3A">
                          <w:pPr>
                            <w:spacing w:after="0" w:line="240" w:lineRule="auto"/>
                            <w:textDirection w:val="btLr"/>
                          </w:pPr>
                        </w:p>
                      </w:txbxContent>
                    </v:textbox>
                  </v:rect>
                  <v:shape id="Text Box 14" o:spid="_x0000_s1042" type="#_x0000_t202" style="position:absolute;left:15965;top:2682;width:6992;height:6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" filled="f" stroked="f">
                    <v:textbox inset=".74028mm,.74028mm,.9875mm,1.1111mm">
                      <w:txbxContent>
                        <w:p w14:paraId="4D934900" w14:textId="77777777" w:rsidR="00513E3A" w:rsidRPr="006D63D0" w:rsidRDefault="00513E3A">
                          <w:pPr>
                            <w:spacing w:after="0" w:line="215" w:lineRule="auto"/>
                            <w:ind w:left="90" w:firstLine="50"/>
                            <w:textDirection w:val="btLr"/>
                            <w:rPr>
                              <w:sz w:val="16"/>
                              <w:szCs w:val="16"/>
                            </w:rPr>
                          </w:pPr>
                          <w:r w:rsidRPr="006D63D0">
                            <w:rPr>
                              <w:rFonts w:ascii="Calibri" w:eastAsia="Calibri" w:hAnsi="Calibri" w:cs="Calibri"/>
                              <w:color w:val="000000"/>
                              <w:sz w:val="16"/>
                              <w:szCs w:val="16"/>
                            </w:rPr>
                            <w:t>Growing audience reach</w:t>
                          </w:r>
                        </w:p>
                        <w:p w14:paraId="26646E20"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Potential for exclusion (digital divide)</w:t>
                          </w:r>
                        </w:p>
                        <w:p w14:paraId="75E19564"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Online fatigue</w:t>
                          </w:r>
                        </w:p>
                      </w:txbxContent>
                    </v:textbox>
                  </v:shape>
                  <v:rect id="Rectangle 15" o:spid="_x0000_s1043" style="position:absolute;left:23936;top:860;width:6991;height:1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" fillcolor="#c47f6e" strokecolor="#c47f6e" strokeweight="1pt">
                    <v:stroke startarrowwidth="narrow" startarrowlength="short" endarrowwidth="narrow" endarrowlength="short"/>
                    <v:textbox inset="2.53958mm,2.53958mm,2.53958mm,2.53958mm">
                      <w:txbxContent>
                        <w:p w14:paraId="10FCBC60" w14:textId="77777777" w:rsidR="00513E3A" w:rsidRDefault="00513E3A">
                          <w:pPr>
                            <w:spacing w:after="0" w:line="240" w:lineRule="auto"/>
                            <w:textDirection w:val="btLr"/>
                          </w:pPr>
                        </w:p>
                      </w:txbxContent>
                    </v:textbox>
                  </v:rect>
                  <v:shape id="Text Box 16" o:spid="_x0000_s1044" type="#_x0000_t202" style="position:absolute;left:23936;top:860;width:6991;height:1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" filled="f" stroked="f">
                    <v:textbox inset=".9875mm,.56389mm,.9875mm,.56389mm">
                      <w:txbxContent>
                        <w:p w14:paraId="2B0EF1BA" w14:textId="77777777" w:rsidR="00513E3A" w:rsidRPr="006D63D0" w:rsidRDefault="00513E3A">
                          <w:pPr>
                            <w:spacing w:after="0" w:line="215" w:lineRule="auto"/>
                            <w:jc w:val="center"/>
                            <w:textDirection w:val="btLr"/>
                            <w:rPr>
                              <w:sz w:val="16"/>
                              <w:szCs w:val="16"/>
                            </w:rPr>
                          </w:pPr>
                          <w:r w:rsidRPr="006D63D0">
                            <w:rPr>
                              <w:rFonts w:ascii="Calibri" w:eastAsia="Calibri" w:hAnsi="Calibri" w:cs="Calibri"/>
                              <w:color w:val="000000"/>
                              <w:sz w:val="16"/>
                              <w:szCs w:val="16"/>
                            </w:rPr>
                            <w:t>Communities &amp; Cultural Diversity</w:t>
                          </w:r>
                        </w:p>
                      </w:txbxContent>
                    </v:textbox>
                  </v:shape>
                  <v:rect id="Rectangle 17" o:spid="_x0000_s1045" style="position:absolute;left:23936;top:2682;width:6991;height:68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" fillcolor="#ebd6d4" strokecolor="#ebd6d4" strokeweight="1pt">
                    <v:fill opacity="58853f"/>
                    <v:stroke startarrowwidth="narrow" startarrowlength="short" endarrowwidth="narrow" endarrowlength="short" opacity="58853f"/>
                    <v:textbox inset="2.53958mm,2.53958mm,2.53958mm,2.53958mm">
                      <w:txbxContent>
                        <w:p w14:paraId="6A76E045" w14:textId="77777777" w:rsidR="00513E3A" w:rsidRDefault="00513E3A">
                          <w:pPr>
                            <w:spacing w:after="0" w:line="240" w:lineRule="auto"/>
                            <w:textDirection w:val="btLr"/>
                          </w:pPr>
                        </w:p>
                      </w:txbxContent>
                    </v:textbox>
                  </v:rect>
                  <v:shape id="Text Box 18" o:spid="_x0000_s1046" type="#_x0000_t202" style="position:absolute;left:23936;top:2682;width:6991;height:6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" filled="f" stroked="f">
                    <v:textbox inset=".74028mm,.74028mm,.9875mm,1.1111mm">
                      <w:txbxContent>
                        <w:p w14:paraId="0B4BEB5A" w14:textId="77777777" w:rsidR="00513E3A" w:rsidRPr="006D63D0" w:rsidRDefault="00513E3A">
                          <w:pPr>
                            <w:spacing w:after="0" w:line="215" w:lineRule="auto"/>
                            <w:ind w:left="90" w:firstLine="50"/>
                            <w:textDirection w:val="btLr"/>
                            <w:rPr>
                              <w:sz w:val="16"/>
                              <w:szCs w:val="16"/>
                            </w:rPr>
                          </w:pPr>
                          <w:r w:rsidRPr="006D63D0">
                            <w:rPr>
                              <w:rFonts w:ascii="Calibri" w:eastAsia="Calibri" w:hAnsi="Calibri" w:cs="Calibri"/>
                              <w:color w:val="000000"/>
                              <w:sz w:val="16"/>
                              <w:szCs w:val="16"/>
                            </w:rPr>
                            <w:t>Creatives supporting communities</w:t>
                          </w:r>
                        </w:p>
                        <w:p w14:paraId="7A908859"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 xml:space="preserve">Information access </w:t>
                          </w:r>
                        </w:p>
                        <w:p w14:paraId="15CBC86E" w14:textId="448359D6"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Libraries &amp; Heritage</w:t>
                          </w:r>
                        </w:p>
                        <w:p w14:paraId="45D4CE72"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Workforce diversity</w:t>
                          </w:r>
                        </w:p>
                      </w:txbxContent>
                    </v:textbox>
                  </v:shape>
                  <v:rect id="Rectangle 19" o:spid="_x0000_s1047" style="position:absolute;left:31906;top:860;width:6992;height:1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" fillcolor="#b88881" strokecolor="#b88881" strokeweight="1pt">
                    <v:stroke startarrowwidth="narrow" startarrowlength="short" endarrowwidth="narrow" endarrowlength="short"/>
                    <v:textbox inset="2.53958mm,2.53958mm,2.53958mm,2.53958mm">
                      <w:txbxContent>
                        <w:p w14:paraId="412F5875" w14:textId="77777777" w:rsidR="00513E3A" w:rsidRDefault="00513E3A">
                          <w:pPr>
                            <w:spacing w:after="0" w:line="240" w:lineRule="auto"/>
                            <w:textDirection w:val="btLr"/>
                          </w:pPr>
                        </w:p>
                      </w:txbxContent>
                    </v:textbox>
                  </v:rect>
                  <v:shape id="Text Box 20" o:spid="_x0000_s1048" type="#_x0000_t202" style="position:absolute;left:31906;top:860;width:6992;height:1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" filled="f" stroked="f">
                    <v:textbox inset=".9875mm,.56389mm,.9875mm,.56389mm">
                      <w:txbxContent>
                        <w:p w14:paraId="681CFFA5" w14:textId="77777777" w:rsidR="00513E3A" w:rsidRPr="006D63D0" w:rsidRDefault="00513E3A">
                          <w:pPr>
                            <w:spacing w:after="0" w:line="215" w:lineRule="auto"/>
                            <w:jc w:val="center"/>
                            <w:textDirection w:val="btLr"/>
                            <w:rPr>
                              <w:sz w:val="16"/>
                              <w:szCs w:val="16"/>
                            </w:rPr>
                          </w:pPr>
                          <w:r w:rsidRPr="006D63D0">
                            <w:rPr>
                              <w:rFonts w:ascii="Calibri" w:eastAsia="Calibri" w:hAnsi="Calibri" w:cs="Calibri"/>
                              <w:color w:val="000000"/>
                              <w:sz w:val="16"/>
                              <w:szCs w:val="16"/>
                            </w:rPr>
                            <w:t>Impact on Creatives</w:t>
                          </w:r>
                        </w:p>
                      </w:txbxContent>
                    </v:textbox>
                  </v:shape>
                  <v:rect id="Rectangle 21" o:spid="_x0000_s1049" style="position:absolute;left:31906;top:2682;width:6992;height:68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" fillcolor="#e8d9d7" strokecolor="#e8d9d7" strokeweight="1pt">
                    <v:fill opacity="58853f"/>
                    <v:stroke startarrowwidth="narrow" startarrowlength="short" endarrowwidth="narrow" endarrowlength="short" opacity="58853f"/>
                    <v:textbox inset="2.53958mm,2.53958mm,2.53958mm,2.53958mm">
                      <w:txbxContent>
                        <w:p w14:paraId="1DBE2D51" w14:textId="77777777" w:rsidR="00513E3A" w:rsidRDefault="00513E3A">
                          <w:pPr>
                            <w:spacing w:after="0" w:line="240" w:lineRule="auto"/>
                            <w:textDirection w:val="btLr"/>
                          </w:pPr>
                        </w:p>
                      </w:txbxContent>
                    </v:textbox>
                  </v:rect>
                  <v:shape id="Text Box 22" o:spid="_x0000_s1050" type="#_x0000_t202" style="position:absolute;left:31906;top:2682;width:6992;height:6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" filled="f" stroked="f">
                    <v:textbox inset=".74028mm,.74028mm,.9875mm,1.1111mm">
                      <w:txbxContent>
                        <w:p w14:paraId="6B5215F0" w14:textId="77777777" w:rsidR="00513E3A" w:rsidRPr="006D63D0" w:rsidRDefault="00513E3A">
                          <w:pPr>
                            <w:spacing w:after="0" w:line="215" w:lineRule="auto"/>
                            <w:ind w:left="90" w:firstLine="50"/>
                            <w:textDirection w:val="btLr"/>
                            <w:rPr>
                              <w:sz w:val="16"/>
                              <w:szCs w:val="16"/>
                            </w:rPr>
                          </w:pPr>
                          <w:r w:rsidRPr="006D63D0">
                            <w:rPr>
                              <w:rFonts w:ascii="Calibri" w:eastAsia="Calibri" w:hAnsi="Calibri" w:cs="Calibri"/>
                              <w:color w:val="000000"/>
                              <w:sz w:val="16"/>
                              <w:szCs w:val="16"/>
                            </w:rPr>
                            <w:t>Business &amp; Income sources</w:t>
                          </w:r>
                        </w:p>
                        <w:p w14:paraId="47208C8D"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Wellbeing &amp; mental health</w:t>
                          </w:r>
                        </w:p>
                        <w:p w14:paraId="46BCDA82"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Creative labour markets</w:t>
                          </w:r>
                        </w:p>
                        <w:p w14:paraId="56178C89"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Remote work</w:t>
                          </w:r>
                        </w:p>
                        <w:p w14:paraId="60773F68"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Networks</w:t>
                          </w:r>
                        </w:p>
                      </w:txbxContent>
                    </v:textbox>
                  </v:shape>
                  <v:rect id="Rectangle 23" o:spid="_x0000_s1051" style="position:absolute;left:39877;top:860;width:6992;height:1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" fillcolor="#ad9593" strokecolor="#ad9593" strokeweight="1pt">
                    <v:stroke startarrowwidth="narrow" startarrowlength="short" endarrowwidth="narrow" endarrowlength="short"/>
                    <v:textbox inset="2.53958mm,2.53958mm,2.53958mm,2.53958mm">
                      <w:txbxContent>
                        <w:p w14:paraId="475ED483" w14:textId="77777777" w:rsidR="00513E3A" w:rsidRDefault="00513E3A">
                          <w:pPr>
                            <w:spacing w:after="0" w:line="240" w:lineRule="auto"/>
                            <w:textDirection w:val="btLr"/>
                          </w:pPr>
                        </w:p>
                      </w:txbxContent>
                    </v:textbox>
                  </v:rect>
                  <v:shape id="Text Box 24" o:spid="_x0000_s1052" type="#_x0000_t202" style="position:absolute;left:39877;top:860;width:6992;height:1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" filled="f" stroked="f">
                    <v:textbox inset=".9875mm,.56389mm,.9875mm,.56389mm">
                      <w:txbxContent>
                        <w:p w14:paraId="5584D030" w14:textId="77777777" w:rsidR="00513E3A" w:rsidRPr="006D63D0" w:rsidRDefault="00513E3A">
                          <w:pPr>
                            <w:spacing w:after="0" w:line="215" w:lineRule="auto"/>
                            <w:jc w:val="center"/>
                            <w:textDirection w:val="btLr"/>
                            <w:rPr>
                              <w:sz w:val="16"/>
                              <w:szCs w:val="16"/>
                            </w:rPr>
                          </w:pPr>
                          <w:r w:rsidRPr="006D63D0">
                            <w:rPr>
                              <w:rFonts w:ascii="Calibri" w:eastAsia="Calibri" w:hAnsi="Calibri" w:cs="Calibri"/>
                              <w:color w:val="000000"/>
                              <w:sz w:val="16"/>
                              <w:szCs w:val="16"/>
                            </w:rPr>
                            <w:t>Cultural Tourism &amp; Travel</w:t>
                          </w:r>
                        </w:p>
                      </w:txbxContent>
                    </v:textbox>
                  </v:shape>
                  <v:rect id="Rectangle 25" o:spid="_x0000_s1053" style="position:absolute;left:39877;top:2682;width:6992;height:68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" fillcolor="#e3dbdb" strokecolor="#e3dbdb" strokeweight="1pt">
                    <v:fill opacity="58853f"/>
                    <v:stroke startarrowwidth="narrow" startarrowlength="short" endarrowwidth="narrow" endarrowlength="short" opacity="58853f"/>
                    <v:textbox inset="2.53958mm,2.53958mm,2.53958mm,2.53958mm">
                      <w:txbxContent>
                        <w:p w14:paraId="0BADAD8F" w14:textId="77777777" w:rsidR="00513E3A" w:rsidRDefault="00513E3A">
                          <w:pPr>
                            <w:spacing w:after="0" w:line="240" w:lineRule="auto"/>
                            <w:textDirection w:val="btLr"/>
                          </w:pPr>
                        </w:p>
                      </w:txbxContent>
                    </v:textbox>
                  </v:rect>
                  <v:shape id="Text Box 26" o:spid="_x0000_s1054" type="#_x0000_t202" style="position:absolute;left:39877;top:2682;width:6992;height:6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" filled="f" stroked="f">
                    <v:textbox inset=".74028mm,.74028mm,.9875mm,1.1111mm">
                      <w:txbxContent>
                        <w:p w14:paraId="46C07A68" w14:textId="77777777" w:rsidR="00513E3A" w:rsidRPr="006D63D0" w:rsidRDefault="00513E3A">
                          <w:pPr>
                            <w:spacing w:after="0" w:line="215" w:lineRule="auto"/>
                            <w:ind w:left="90" w:firstLine="50"/>
                            <w:textDirection w:val="btLr"/>
                            <w:rPr>
                              <w:sz w:val="16"/>
                              <w:szCs w:val="16"/>
                            </w:rPr>
                          </w:pPr>
                          <w:r w:rsidRPr="006D63D0">
                            <w:rPr>
                              <w:rFonts w:ascii="Calibri" w:eastAsia="Calibri" w:hAnsi="Calibri" w:cs="Calibri"/>
                              <w:color w:val="000000"/>
                              <w:sz w:val="16"/>
                              <w:szCs w:val="16"/>
                            </w:rPr>
                            <w:t>Regional economic</w:t>
                          </w:r>
                          <w:r>
                            <w:rPr>
                              <w:rFonts w:ascii="Calibri" w:eastAsia="Calibri" w:hAnsi="Calibri" w:cs="Calibri"/>
                              <w:color w:val="000000"/>
                              <w:sz w:val="10"/>
                            </w:rPr>
                            <w:t xml:space="preserve"> </w:t>
                          </w:r>
                          <w:r w:rsidRPr="006D63D0">
                            <w:rPr>
                              <w:rFonts w:ascii="Calibri" w:eastAsia="Calibri" w:hAnsi="Calibri" w:cs="Calibri"/>
                              <w:color w:val="000000"/>
                              <w:sz w:val="16"/>
                              <w:szCs w:val="16"/>
                            </w:rPr>
                            <w:t>impact</w:t>
                          </w:r>
                        </w:p>
                        <w:p w14:paraId="6124D267"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Event organisers</w:t>
                          </w:r>
                        </w:p>
                        <w:p w14:paraId="5CA8A577" w14:textId="7E1A44A0"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Sector impact (museums; music; heritage sites; festivals)</w:t>
                          </w:r>
                        </w:p>
                      </w:txbxContent>
                    </v:textbox>
                  </v:shape>
                  <v:rect id="Rectangle 27" o:spid="_x0000_s1055" style="position:absolute;left:47848;top:860;width:6992;height:1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" fillcolor="#a4a4a4" strokecolor="#a4a4a4" strokeweight="1pt">
                    <v:stroke startarrowwidth="narrow" startarrowlength="short" endarrowwidth="narrow" endarrowlength="short"/>
                    <v:textbox inset="2.53958mm,2.53958mm,2.53958mm,2.53958mm">
                      <w:txbxContent>
                        <w:p w14:paraId="7159CD29" w14:textId="77777777" w:rsidR="00513E3A" w:rsidRDefault="00513E3A">
                          <w:pPr>
                            <w:spacing w:after="0" w:line="240" w:lineRule="auto"/>
                            <w:textDirection w:val="btLr"/>
                          </w:pPr>
                        </w:p>
                      </w:txbxContent>
                    </v:textbox>
                  </v:rect>
                  <v:shape id="Text Box 28" o:spid="_x0000_s1056" type="#_x0000_t202" style="position:absolute;left:47848;top:860;width:6992;height:1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" filled="f" stroked="f">
                    <v:textbox inset=".9875mm,.56389mm,.9875mm,.56389mm">
                      <w:txbxContent>
                        <w:p w14:paraId="1DF12EF8" w14:textId="77777777" w:rsidR="00513E3A" w:rsidRPr="006D63D0" w:rsidRDefault="00513E3A">
                          <w:pPr>
                            <w:spacing w:after="0" w:line="215" w:lineRule="auto"/>
                            <w:jc w:val="center"/>
                            <w:textDirection w:val="btLr"/>
                            <w:rPr>
                              <w:sz w:val="16"/>
                              <w:szCs w:val="16"/>
                            </w:rPr>
                          </w:pPr>
                          <w:r w:rsidRPr="006D63D0">
                            <w:rPr>
                              <w:rFonts w:ascii="Calibri" w:eastAsia="Calibri" w:hAnsi="Calibri" w:cs="Calibri"/>
                              <w:color w:val="000000"/>
                              <w:sz w:val="16"/>
                              <w:szCs w:val="16"/>
                            </w:rPr>
                            <w:t>Governance &amp; Policy</w:t>
                          </w:r>
                        </w:p>
                      </w:txbxContent>
                    </v:textbox>
                  </v:shape>
                  <v:rect id="Rectangle 29" o:spid="_x0000_s1057" style="position:absolute;left:47848;top:2682;width:6992;height:68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" fillcolor="#dfdfdf" strokecolor="#dfdfdf" strokeweight="1pt">
                    <v:fill opacity="58853f"/>
                    <v:stroke startarrowwidth="narrow" startarrowlength="short" endarrowwidth="narrow" endarrowlength="short" opacity="58853f"/>
                    <v:textbox inset="2.53958mm,2.53958mm,2.53958mm,2.53958mm">
                      <w:txbxContent>
                        <w:p w14:paraId="1218322B" w14:textId="77777777" w:rsidR="00513E3A" w:rsidRDefault="00513E3A">
                          <w:pPr>
                            <w:spacing w:after="0" w:line="240" w:lineRule="auto"/>
                            <w:textDirection w:val="btLr"/>
                          </w:pPr>
                        </w:p>
                      </w:txbxContent>
                    </v:textbox>
                  </v:rect>
                  <v:shape id="Text Box 30" o:spid="_x0000_s1058" type="#_x0000_t202" style="position:absolute;left:47848;top:2682;width:6992;height:6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" filled="f" stroked="f">
                    <v:textbox inset=".74028mm,.74028mm,.9875mm,1.1111mm">
                      <w:txbxContent>
                        <w:p w14:paraId="0391F3BF" w14:textId="77777777" w:rsidR="00513E3A" w:rsidRPr="006D63D0" w:rsidRDefault="00513E3A">
                          <w:pPr>
                            <w:spacing w:after="0" w:line="215" w:lineRule="auto"/>
                            <w:ind w:left="90" w:firstLine="50"/>
                            <w:textDirection w:val="btLr"/>
                            <w:rPr>
                              <w:sz w:val="16"/>
                              <w:szCs w:val="16"/>
                            </w:rPr>
                          </w:pPr>
                          <w:r w:rsidRPr="006D63D0">
                            <w:rPr>
                              <w:rFonts w:ascii="Calibri" w:eastAsia="Calibri" w:hAnsi="Calibri" w:cs="Calibri"/>
                              <w:color w:val="000000"/>
                              <w:sz w:val="16"/>
                              <w:szCs w:val="16"/>
                            </w:rPr>
                            <w:t>Cities, Regions &amp; Countries</w:t>
                          </w:r>
                        </w:p>
                        <w:p w14:paraId="11409A77"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Domain-specific support</w:t>
                          </w:r>
                        </w:p>
                        <w:p w14:paraId="767283EB" w14:textId="77777777" w:rsidR="00513E3A" w:rsidRPr="006D63D0" w:rsidRDefault="00513E3A">
                          <w:pPr>
                            <w:spacing w:before="15" w:after="0" w:line="215" w:lineRule="auto"/>
                            <w:ind w:left="90" w:firstLine="50"/>
                            <w:textDirection w:val="btLr"/>
                            <w:rPr>
                              <w:sz w:val="16"/>
                              <w:szCs w:val="16"/>
                            </w:rPr>
                          </w:pPr>
                          <w:r w:rsidRPr="006D63D0">
                            <w:rPr>
                              <w:rFonts w:ascii="Calibri" w:eastAsia="Calibri" w:hAnsi="Calibri" w:cs="Calibri"/>
                              <w:color w:val="000000"/>
                              <w:sz w:val="16"/>
                              <w:szCs w:val="16"/>
                            </w:rPr>
                            <w:t>Workforce vulnerability and support.</w:t>
                          </w:r>
                        </w:p>
                      </w:txbxContent>
                    </v:textbox>
                  </v:shape>
                </v:group>
                <w10:anchorlock/>
              </v:group>
            </w:pict>
          </mc:Fallback>
        </mc:AlternateContent>
      </w:r>
    </w:p>
    <w:p w14:paraId="00000091" w14:textId="0F6D4EA3" w:rsidR="00F8269C" w:rsidRDefault="00450D2D">
      <w:pPr>
        <w:pBdr>
          <w:top w:val="nil"/>
          <w:left w:val="nil"/>
          <w:bottom w:val="nil"/>
          <w:right w:val="nil"/>
          <w:between w:val="nil"/>
        </w:pBdr>
        <w:spacing w:after="200" w:line="240" w:lineRule="auto"/>
        <w:rPr>
          <w:color w:val="44546A"/>
          <w:sz w:val="18"/>
          <w:szCs w:val="18"/>
        </w:rPr>
      </w:pPr>
      <w:r>
        <w:rPr>
          <w:i/>
          <w:color w:val="44546A"/>
          <w:sz w:val="18"/>
          <w:szCs w:val="18"/>
        </w:rPr>
        <w:t>Figure 2</w:t>
      </w:r>
      <w:r w:rsidR="001B682C">
        <w:rPr>
          <w:i/>
          <w:color w:val="44546A"/>
          <w:sz w:val="18"/>
          <w:szCs w:val="18"/>
        </w:rPr>
        <w:t>:</w:t>
      </w:r>
      <w:r>
        <w:rPr>
          <w:i/>
          <w:color w:val="44546A"/>
          <w:sz w:val="18"/>
          <w:szCs w:val="18"/>
        </w:rPr>
        <w:t xml:space="preserve"> Themes </w:t>
      </w:r>
      <w:r w:rsidRPr="009D3DA2">
        <w:rPr>
          <w:i/>
          <w:color w:val="44546A" w:themeColor="text2"/>
          <w:sz w:val="18"/>
          <w:szCs w:val="18"/>
        </w:rPr>
        <w:t>identifi</w:t>
      </w:r>
      <w:r>
        <w:rPr>
          <w:i/>
          <w:color w:val="44546A"/>
          <w:sz w:val="18"/>
          <w:szCs w:val="18"/>
        </w:rPr>
        <w:t>ed in COVID-19 and the creative economy bibliographic database</w:t>
      </w:r>
    </w:p>
    <w:p w14:paraId="00000092" w14:textId="628D0662" w:rsidR="00F8269C" w:rsidRDefault="00450D2D" w:rsidP="00F04CBE">
      <w:pPr>
        <w:jc w:val="both"/>
        <w:rPr>
          <w:sz w:val="22"/>
          <w:szCs w:val="22"/>
        </w:rPr>
      </w:pPr>
      <w:r>
        <w:rPr>
          <w:sz w:val="22"/>
          <w:szCs w:val="22"/>
        </w:rPr>
        <w:t xml:space="preserve">A small number of quantitative studies discussed the </w:t>
      </w:r>
      <w:r>
        <w:rPr>
          <w:b/>
          <w:i/>
          <w:sz w:val="22"/>
          <w:szCs w:val="22"/>
        </w:rPr>
        <w:t>economic impacts</w:t>
      </w:r>
      <w:r>
        <w:rPr>
          <w:sz w:val="22"/>
          <w:szCs w:val="22"/>
        </w:rPr>
        <w:t xml:space="preserve"> of the COVID-19 lockdowns and </w:t>
      </w:r>
      <w:sdt>
        <w:sdtPr>
          <w:tag w:val="goog_rdk_27"/>
          <w:id w:val="1148704859"/>
        </w:sdtPr>
        <w:sdtEndPr/>
        <w:sdtContent/>
      </w:sdt>
      <w:r>
        <w:rPr>
          <w:sz w:val="22"/>
          <w:szCs w:val="22"/>
        </w:rPr>
        <w:t>restriction</w:t>
      </w:r>
      <w:r w:rsidR="00163C1E">
        <w:rPr>
          <w:sz w:val="22"/>
          <w:szCs w:val="22"/>
        </w:rPr>
        <w:t>s</w:t>
      </w:r>
      <w:r>
        <w:rPr>
          <w:sz w:val="22"/>
          <w:szCs w:val="22"/>
        </w:rPr>
        <w:t xml:space="preserve"> on the ability of the CCIs to contribute to economic growth and job creation. Some were at country level (Florida and Seman, 2020; Bunketi Buse, 2020), while others focused on specific domains (Rumney, 2020</w:t>
      </w:r>
      <w:r w:rsidR="0087555E">
        <w:rPr>
          <w:sz w:val="22"/>
          <w:szCs w:val="22"/>
        </w:rPr>
        <w:t>;</w:t>
      </w:r>
      <w:r>
        <w:rPr>
          <w:sz w:val="22"/>
          <w:szCs w:val="22"/>
        </w:rPr>
        <w:t xml:space="preserve"> UNESCO, 2021; Baur, 2020; Kim, 2021). Topics included the knock-on (multiplier) impacts on other industries as a result of falling sales and business closures in the creative economy (Khan, 2021; Wang, 2021).</w:t>
      </w:r>
    </w:p>
    <w:p w14:paraId="00000093" w14:textId="573ACA52" w:rsidR="00F8269C" w:rsidRPr="00F04CBE" w:rsidRDefault="00450D2D">
      <w:pPr>
        <w:jc w:val="both"/>
        <w:rPr>
          <w:sz w:val="22"/>
          <w:szCs w:val="22"/>
        </w:rPr>
      </w:pPr>
      <w:r w:rsidRPr="00F04CBE">
        <w:rPr>
          <w:sz w:val="22"/>
          <w:szCs w:val="22"/>
        </w:rPr>
        <w:t xml:space="preserve">Several reports focused on the speeded-up </w:t>
      </w:r>
      <w:r w:rsidRPr="00F04CBE">
        <w:rPr>
          <w:b/>
          <w:i/>
          <w:sz w:val="22"/>
          <w:szCs w:val="22"/>
        </w:rPr>
        <w:t xml:space="preserve">innovation and </w:t>
      </w:r>
      <w:r w:rsidR="004C78B9" w:rsidRPr="00F04CBE">
        <w:rPr>
          <w:b/>
          <w:i/>
          <w:sz w:val="22"/>
          <w:szCs w:val="22"/>
        </w:rPr>
        <w:t>digiti</w:t>
      </w:r>
      <w:r w:rsidR="004C78B9">
        <w:rPr>
          <w:b/>
          <w:i/>
          <w:sz w:val="22"/>
          <w:szCs w:val="22"/>
        </w:rPr>
        <w:t>s</w:t>
      </w:r>
      <w:r w:rsidR="004C78B9" w:rsidRPr="00F04CBE">
        <w:rPr>
          <w:b/>
          <w:i/>
          <w:sz w:val="22"/>
          <w:szCs w:val="22"/>
        </w:rPr>
        <w:t>ation</w:t>
      </w:r>
      <w:r w:rsidR="004C78B9" w:rsidRPr="00F04CBE">
        <w:rPr>
          <w:sz w:val="22"/>
          <w:szCs w:val="22"/>
        </w:rPr>
        <w:t xml:space="preserve"> </w:t>
      </w:r>
      <w:r w:rsidRPr="00F04CBE">
        <w:rPr>
          <w:sz w:val="22"/>
          <w:szCs w:val="22"/>
        </w:rPr>
        <w:t>process in the creative economy in response to COVID-19 restrictions (Nobre, 2020). These included the use of live streaming (White, 2020; Johnson, 2021;</w:t>
      </w:r>
      <w:r w:rsidR="00BC3D37">
        <w:rPr>
          <w:sz w:val="22"/>
          <w:szCs w:val="22"/>
        </w:rPr>
        <w:t xml:space="preserve"> Rund</w:t>
      </w:r>
      <w:r w:rsidR="006F07E7">
        <w:rPr>
          <w:sz w:val="22"/>
          <w:szCs w:val="22"/>
        </w:rPr>
        <w:t>e et al.</w:t>
      </w:r>
      <w:r w:rsidRPr="00F04CBE">
        <w:rPr>
          <w:sz w:val="22"/>
          <w:szCs w:val="22"/>
        </w:rPr>
        <w:t xml:space="preserve">, 2020), e-books (International Publishers Association, 2020) and online art auctions (Citi GPS, 2020; Tunnikmah, 2021) as methods of maintaining business continuity. The research also noted the rise in market power and influence of large online platforms </w:t>
      </w:r>
      <w:r w:rsidR="006644FC" w:rsidRPr="00F04CBE">
        <w:rPr>
          <w:sz w:val="22"/>
          <w:szCs w:val="22"/>
        </w:rPr>
        <w:t xml:space="preserve">such as </w:t>
      </w:r>
      <w:r w:rsidRPr="00F04CBE">
        <w:rPr>
          <w:sz w:val="22"/>
          <w:szCs w:val="22"/>
        </w:rPr>
        <w:t>Facebook, Amazon, Apple, Netflix and Google (FAANGs) and the impact of Over-The-Top (OTT) and Video</w:t>
      </w:r>
      <w:r w:rsidR="00DF68B9">
        <w:rPr>
          <w:sz w:val="22"/>
          <w:szCs w:val="22"/>
        </w:rPr>
        <w:t>-</w:t>
      </w:r>
      <w:r w:rsidRPr="00F04CBE">
        <w:rPr>
          <w:sz w:val="22"/>
          <w:szCs w:val="22"/>
        </w:rPr>
        <w:t>on</w:t>
      </w:r>
      <w:r w:rsidR="00DF68B9">
        <w:rPr>
          <w:sz w:val="22"/>
          <w:szCs w:val="22"/>
        </w:rPr>
        <w:t>-</w:t>
      </w:r>
      <w:r w:rsidRPr="00F04CBE">
        <w:rPr>
          <w:sz w:val="22"/>
          <w:szCs w:val="22"/>
        </w:rPr>
        <w:t>Demand (VOD) viewership (Cunningham and Scarlata, 2020; Nijhawan and Dahiya, 2020).</w:t>
      </w:r>
    </w:p>
    <w:p w14:paraId="00000094" w14:textId="05709B23" w:rsidR="00F8269C" w:rsidRDefault="00450D2D" w:rsidP="00F04CBE">
      <w:pPr>
        <w:jc w:val="both"/>
        <w:rPr>
          <w:sz w:val="22"/>
          <w:szCs w:val="22"/>
        </w:rPr>
      </w:pPr>
      <w:r>
        <w:rPr>
          <w:sz w:val="22"/>
          <w:szCs w:val="22"/>
        </w:rPr>
        <w:lastRenderedPageBreak/>
        <w:t xml:space="preserve">Another important theme was audiences, and in particular, the </w:t>
      </w:r>
      <w:r>
        <w:rPr>
          <w:b/>
          <w:i/>
          <w:sz w:val="22"/>
          <w:szCs w:val="22"/>
        </w:rPr>
        <w:t xml:space="preserve">impact of </w:t>
      </w:r>
      <w:sdt>
        <w:sdtPr>
          <w:tag w:val="goog_rdk_28"/>
          <w:id w:val="1403944913"/>
        </w:sdtPr>
        <w:sdtEndPr/>
        <w:sdtContent/>
      </w:sdt>
      <w:r>
        <w:rPr>
          <w:b/>
          <w:i/>
          <w:sz w:val="22"/>
          <w:szCs w:val="22"/>
        </w:rPr>
        <w:t>digit</w:t>
      </w:r>
      <w:r w:rsidR="00163C1E">
        <w:rPr>
          <w:b/>
          <w:i/>
          <w:sz w:val="22"/>
          <w:szCs w:val="22"/>
        </w:rPr>
        <w:t>i</w:t>
      </w:r>
      <w:r>
        <w:rPr>
          <w:b/>
          <w:i/>
          <w:sz w:val="22"/>
          <w:szCs w:val="22"/>
        </w:rPr>
        <w:t>sation on audiences</w:t>
      </w:r>
      <w:r>
        <w:rPr>
          <w:sz w:val="22"/>
          <w:szCs w:val="22"/>
        </w:rPr>
        <w:t>. Some studies found that the online environment helped to maintain contact with audiences and communities, and in some cases, extended the reach of cultural institutions and firms into other countries and amongst new audience types (Browne, 2021; Okoth, 2020; Feng, 2020). In developing country contexts, however, there was also some concern that lack of access to the internet is excluding poorer communities (Llorens, 2020; Kazim, 2020).</w:t>
      </w:r>
    </w:p>
    <w:p w14:paraId="00000095" w14:textId="4BFC3E0B" w:rsidR="00F8269C" w:rsidRPr="00F04CBE" w:rsidRDefault="00450D2D" w:rsidP="00F04CBE">
      <w:pPr>
        <w:jc w:val="both"/>
        <w:rPr>
          <w:sz w:val="22"/>
          <w:szCs w:val="22"/>
        </w:rPr>
      </w:pPr>
      <w:r w:rsidRPr="00F04CBE">
        <w:rPr>
          <w:sz w:val="22"/>
          <w:szCs w:val="22"/>
        </w:rPr>
        <w:t xml:space="preserve">A few studies tracked ways in which the cultural and creative sector interacted with, and supported, their </w:t>
      </w:r>
      <w:r w:rsidRPr="00F04CBE">
        <w:rPr>
          <w:b/>
          <w:i/>
          <w:sz w:val="22"/>
          <w:szCs w:val="22"/>
        </w:rPr>
        <w:t xml:space="preserve">local communities </w:t>
      </w:r>
      <w:r w:rsidRPr="00F04CBE">
        <w:rPr>
          <w:sz w:val="22"/>
          <w:szCs w:val="22"/>
        </w:rPr>
        <w:t xml:space="preserve">(Peachey, 2020; Europa Nostra, 2020; Watling, 2020). Finding ways to continue serving their stakeholders was often a strong motivation for moving online. However, there was also concern that the online shift was reducing </w:t>
      </w:r>
      <w:r w:rsidRPr="00F04CBE">
        <w:rPr>
          <w:b/>
          <w:i/>
          <w:sz w:val="22"/>
          <w:szCs w:val="22"/>
        </w:rPr>
        <w:t>diversity</w:t>
      </w:r>
      <w:r w:rsidRPr="00F04CBE">
        <w:rPr>
          <w:sz w:val="22"/>
          <w:szCs w:val="22"/>
        </w:rPr>
        <w:t xml:space="preserve"> – both in terms of the diversity of cultural offerings, and in terms of the diversity of the creative economy workforce itself (Federation of European Publishers, 2021; Eikhof, 2020).</w:t>
      </w:r>
    </w:p>
    <w:p w14:paraId="00000096" w14:textId="77777777" w:rsidR="00F8269C" w:rsidRPr="00F04CBE" w:rsidRDefault="00450D2D">
      <w:pPr>
        <w:jc w:val="both"/>
        <w:rPr>
          <w:sz w:val="22"/>
          <w:szCs w:val="22"/>
        </w:rPr>
      </w:pPr>
      <w:r w:rsidRPr="00F04CBE">
        <w:rPr>
          <w:sz w:val="22"/>
          <w:szCs w:val="22"/>
        </w:rPr>
        <w:t xml:space="preserve">There are a significant number of studies on the </w:t>
      </w:r>
      <w:r w:rsidRPr="00F04CBE">
        <w:rPr>
          <w:b/>
          <w:i/>
          <w:sz w:val="22"/>
          <w:szCs w:val="22"/>
        </w:rPr>
        <w:t>impact of COVID-19 on creatives</w:t>
      </w:r>
      <w:r w:rsidRPr="00F04CBE">
        <w:rPr>
          <w:sz w:val="22"/>
          <w:szCs w:val="22"/>
        </w:rPr>
        <w:t>, who are often more vulnerable than other workers because of freelance, or short-term contract working modes (Comunian and England, 2020). Research explored the impact of the crisis on income sources, wellbeing, and metal health (Amann and Heinsius, 2021; Khan, 2021), and creative labour markets. Adaptation and continuity strategies, such as remote and online working, and the importance of networks in this context were also explored (Asker, 2020; Buchholz et al., 2020; Greenhall, 2020; Spiro et al., 2021).</w:t>
      </w:r>
    </w:p>
    <w:p w14:paraId="00000097" w14:textId="67A4767C" w:rsidR="00F8269C" w:rsidRPr="00F04CBE" w:rsidRDefault="00450D2D" w:rsidP="0079721C">
      <w:pPr>
        <w:jc w:val="both"/>
        <w:rPr>
          <w:sz w:val="22"/>
          <w:szCs w:val="22"/>
        </w:rPr>
      </w:pPr>
      <w:r w:rsidRPr="00F04CBE">
        <w:rPr>
          <w:sz w:val="22"/>
          <w:szCs w:val="22"/>
        </w:rPr>
        <w:t xml:space="preserve">While tourism is a “related” domain in the UNESCO Framework for Cultural Statistics (2009), the sudden drop in </w:t>
      </w:r>
      <w:r w:rsidRPr="00F04CBE">
        <w:rPr>
          <w:b/>
          <w:i/>
          <w:sz w:val="22"/>
          <w:szCs w:val="22"/>
        </w:rPr>
        <w:t>cultural tourism and travel</w:t>
      </w:r>
      <w:r w:rsidRPr="00F04CBE">
        <w:rPr>
          <w:b/>
          <w:sz w:val="22"/>
          <w:szCs w:val="22"/>
        </w:rPr>
        <w:t xml:space="preserve"> </w:t>
      </w:r>
      <w:r w:rsidRPr="00F04CBE">
        <w:rPr>
          <w:sz w:val="22"/>
          <w:szCs w:val="22"/>
        </w:rPr>
        <w:t>had immediate impacts on cultural domains that rely on tourists and events, including museums (Burke et al</w:t>
      </w:r>
      <w:r w:rsidR="004A60DC" w:rsidRPr="00F04CBE">
        <w:rPr>
          <w:sz w:val="22"/>
          <w:szCs w:val="22"/>
        </w:rPr>
        <w:t>.</w:t>
      </w:r>
      <w:r w:rsidRPr="00F04CBE">
        <w:rPr>
          <w:sz w:val="22"/>
          <w:szCs w:val="22"/>
        </w:rPr>
        <w:t>, 2020), live music and festivals (Davies, 2020), and heritage sites. The reduction in cultural tourism also had negative economic impacts on the cities and regions that used to attract visitors (Flew and Kirkwood, 2021; Disimulacion, 2020; Bartis, 2021), and on event organisers and management (Mohanty et al., 2020; Velu, 2021).</w:t>
      </w:r>
    </w:p>
    <w:p w14:paraId="00000098" w14:textId="26E50BE8" w:rsidR="00F8269C" w:rsidRPr="00F04CBE" w:rsidRDefault="00450D2D" w:rsidP="0079721C">
      <w:pPr>
        <w:jc w:val="both"/>
        <w:rPr>
          <w:sz w:val="22"/>
          <w:szCs w:val="22"/>
        </w:rPr>
      </w:pPr>
      <w:r w:rsidRPr="00F04CBE">
        <w:rPr>
          <w:sz w:val="22"/>
          <w:szCs w:val="22"/>
        </w:rPr>
        <w:t xml:space="preserve">Several sources included considerations of what kinds of </w:t>
      </w:r>
      <w:r w:rsidRPr="00F04CBE">
        <w:rPr>
          <w:b/>
          <w:i/>
          <w:sz w:val="22"/>
          <w:szCs w:val="22"/>
        </w:rPr>
        <w:t>governance and support</w:t>
      </w:r>
      <w:r w:rsidRPr="00F04CBE">
        <w:rPr>
          <w:sz w:val="22"/>
          <w:szCs w:val="22"/>
        </w:rPr>
        <w:t xml:space="preserve"> would help the creative economy to recover post-COVID-19, and to be generally less vulnerable to shocks in the future (OECD, 2020; Betzler, 2020). Some of the work is relative to sub-national levels of governance, such as cities and regions (Anheier et al</w:t>
      </w:r>
      <w:r w:rsidR="00873792" w:rsidRPr="00F04CBE">
        <w:rPr>
          <w:sz w:val="22"/>
          <w:szCs w:val="22"/>
        </w:rPr>
        <w:t>.</w:t>
      </w:r>
      <w:r w:rsidRPr="00F04CBE">
        <w:rPr>
          <w:sz w:val="22"/>
          <w:szCs w:val="22"/>
        </w:rPr>
        <w:t>, 2021). Domain-specific support is suggested in several works.</w:t>
      </w:r>
    </w:p>
    <w:p w14:paraId="00000099" w14:textId="77777777" w:rsidR="00F8269C" w:rsidRDefault="00450D2D">
      <w:pPr>
        <w:pStyle w:val="Heading1"/>
        <w:numPr>
          <w:ilvl w:val="0"/>
          <w:numId w:val="5"/>
        </w:numPr>
      </w:pPr>
      <w:bookmarkStart w:id="14" w:name="_Toc93842764"/>
      <w:bookmarkStart w:id="15" w:name="_Toc93842950"/>
      <w:bookmarkStart w:id="16" w:name="_Toc93843328"/>
      <w:r>
        <w:t>The Macroeconomic Impact Modelling System</w:t>
      </w:r>
      <w:bookmarkEnd w:id="14"/>
      <w:bookmarkEnd w:id="15"/>
      <w:bookmarkEnd w:id="16"/>
    </w:p>
    <w:p w14:paraId="0000009A" w14:textId="77777777" w:rsidR="00F8269C" w:rsidRDefault="00450D2D" w:rsidP="0079721C">
      <w:pPr>
        <w:jc w:val="both"/>
        <w:rPr>
          <w:sz w:val="22"/>
          <w:szCs w:val="22"/>
        </w:rPr>
      </w:pPr>
      <w:r>
        <w:rPr>
          <w:sz w:val="22"/>
          <w:szCs w:val="22"/>
        </w:rPr>
        <w:t>The SNA 2008 is the latest version of the international statistical standard for the national accounts, adopted by the United Nations Statistical Commission (UNSC) and used by Statistics South Africa (Stats SA). The system does not make provision for CCIs in the same way that they have for other sectors and therefore Stats SA does not report on the CCIs as a separate industry or sector. Therefore, by implication, neither are the various CCI domains reported.</w:t>
      </w:r>
    </w:p>
    <w:p w14:paraId="0000009B" w14:textId="00905AEF" w:rsidR="00F8269C" w:rsidRDefault="00450D2D" w:rsidP="0079721C">
      <w:pPr>
        <w:jc w:val="both"/>
        <w:rPr>
          <w:sz w:val="22"/>
          <w:szCs w:val="22"/>
        </w:rPr>
      </w:pPr>
      <w:r>
        <w:rPr>
          <w:sz w:val="22"/>
          <w:szCs w:val="22"/>
        </w:rPr>
        <w:t>The sector does play a significant role in contributing to the NDP specifically and the economy in general. Their potential for post-COVID-19 recovery cannot be underestimated. Evidence-based policy making (EBPM) helps make better decisions and achieve better outcomes. EBPM is achieved by drawing on the best available evidence from research and evaluation and other sources. This research is based on data. Especially at domain-level, data provides the evidence on which to base sector-specific intervention policies that aim to foster recovery, growth and development.</w:t>
      </w:r>
    </w:p>
    <w:p w14:paraId="0000009C" w14:textId="3CFD2AC3" w:rsidR="00F8269C" w:rsidRDefault="00450D2D" w:rsidP="0079721C">
      <w:pPr>
        <w:jc w:val="both"/>
        <w:rPr>
          <w:sz w:val="22"/>
          <w:szCs w:val="22"/>
        </w:rPr>
      </w:pPr>
      <w:r>
        <w:rPr>
          <w:sz w:val="22"/>
          <w:szCs w:val="22"/>
        </w:rPr>
        <w:lastRenderedPageBreak/>
        <w:t xml:space="preserve">A Satellite </w:t>
      </w:r>
      <w:r w:rsidR="004C78B9">
        <w:rPr>
          <w:sz w:val="22"/>
          <w:szCs w:val="22"/>
        </w:rPr>
        <w:t xml:space="preserve">Account </w:t>
      </w:r>
      <w:r>
        <w:rPr>
          <w:sz w:val="22"/>
          <w:szCs w:val="22"/>
        </w:rPr>
        <w:t>is a framework linked to the national accounts, which enables focused attention on a particular aspect of economic or social life (e.g. cultural and creative activity) by combining national accounts estimates with the findings of other surveys and statistics. Stats SA has developed satellite accounts such as tourism, non-profit institutions, and International Trade Centre (ITC).</w:t>
      </w:r>
    </w:p>
    <w:p w14:paraId="0000009D" w14:textId="77777777" w:rsidR="00F8269C" w:rsidRDefault="00450D2D">
      <w:pPr>
        <w:pStyle w:val="Heading2"/>
        <w:numPr>
          <w:ilvl w:val="1"/>
          <w:numId w:val="5"/>
        </w:numPr>
      </w:pPr>
      <w:bookmarkStart w:id="17" w:name="_Toc93842765"/>
      <w:bookmarkStart w:id="18" w:name="_Toc93842951"/>
      <w:bookmarkStart w:id="19" w:name="_Toc93843329"/>
      <w:r>
        <w:t>Toward a Cultural Satellite Account</w:t>
      </w:r>
      <w:bookmarkEnd w:id="17"/>
      <w:bookmarkEnd w:id="18"/>
      <w:bookmarkEnd w:id="19"/>
    </w:p>
    <w:p w14:paraId="0000009E" w14:textId="6C409422" w:rsidR="00F8269C" w:rsidRDefault="00450D2D" w:rsidP="0079721C">
      <w:pPr>
        <w:jc w:val="both"/>
        <w:rPr>
          <w:sz w:val="22"/>
          <w:szCs w:val="22"/>
        </w:rPr>
      </w:pPr>
      <w:r>
        <w:rPr>
          <w:sz w:val="22"/>
          <w:szCs w:val="22"/>
        </w:rPr>
        <w:t>Before a mapping study of the CCIs or Cultural Satellite Account (CSA) can be developed, it is necessary that cultural products or services be defined</w:t>
      </w:r>
      <w:r w:rsidR="00873792">
        <w:rPr>
          <w:sz w:val="22"/>
          <w:szCs w:val="22"/>
        </w:rPr>
        <w:t>,</w:t>
      </w:r>
      <w:r>
        <w:rPr>
          <w:sz w:val="22"/>
          <w:szCs w:val="22"/>
        </w:rPr>
        <w:t xml:space="preserve"> which is no easy task. Culture permeates society (of a country, a particular society, group, place or time) and includes its beliefs, customs, and arts. Cultural goods or services are derived from the society’s culture. In many cases, these goods and services have little or no commercial value, although they may have important social and cultural value. However, many cultural goods and services do have an economic value. The value of CCIs is often misrepresented and generally misunderstood. CCI goods and services are not only traded in their own right, but they are embodied as intermediate inputs into other goods and services.</w:t>
      </w:r>
    </w:p>
    <w:p w14:paraId="0000009F" w14:textId="57D260A2" w:rsidR="00F8269C" w:rsidRDefault="00450D2D" w:rsidP="0079721C">
      <w:pPr>
        <w:jc w:val="both"/>
        <w:rPr>
          <w:sz w:val="22"/>
          <w:szCs w:val="22"/>
        </w:rPr>
      </w:pPr>
      <w:r>
        <w:rPr>
          <w:sz w:val="22"/>
          <w:szCs w:val="22"/>
        </w:rPr>
        <w:t>There are several possible approaches to measuring the contribution of CCIs to the South African economy. One is to use the country’s national accounts. Unfortunately, components that make up CCIs are not included in the SNA. The national accounts divide economic activity into a number of industry categories. Statistics South Africa (Stats SA)</w:t>
      </w:r>
      <w:r w:rsidR="00873792">
        <w:rPr>
          <w:sz w:val="22"/>
          <w:szCs w:val="22"/>
        </w:rPr>
        <w:t>,</w:t>
      </w:r>
      <w:r>
        <w:rPr>
          <w:sz w:val="22"/>
          <w:szCs w:val="22"/>
        </w:rPr>
        <w:t xml:space="preserve"> the official statistics bureau, provides information about value, expressed in constant or current Rands. These sectors cumulatively make up South Africa’s GDP or total industry GVA. There is no specific sector that includes CCIs – these are embedded into other sectors.</w:t>
      </w:r>
    </w:p>
    <w:p w14:paraId="000000A0" w14:textId="24740708" w:rsidR="00F8269C" w:rsidRDefault="00450D2D" w:rsidP="0079721C">
      <w:pPr>
        <w:jc w:val="both"/>
        <w:rPr>
          <w:sz w:val="22"/>
          <w:szCs w:val="22"/>
        </w:rPr>
      </w:pPr>
      <w:r>
        <w:rPr>
          <w:sz w:val="22"/>
          <w:szCs w:val="22"/>
        </w:rPr>
        <w:t>South Africa’s national accounts are generally aligned to international statistical standards and are</w:t>
      </w:r>
      <w:r w:rsidR="00873792">
        <w:rPr>
          <w:sz w:val="22"/>
          <w:szCs w:val="22"/>
        </w:rPr>
        <w:t>,</w:t>
      </w:r>
      <w:r>
        <w:rPr>
          <w:sz w:val="22"/>
          <w:szCs w:val="22"/>
        </w:rPr>
        <w:t xml:space="preserve"> by and large</w:t>
      </w:r>
      <w:r w:rsidR="00873792">
        <w:rPr>
          <w:sz w:val="22"/>
          <w:szCs w:val="22"/>
        </w:rPr>
        <w:t>,</w:t>
      </w:r>
      <w:r>
        <w:rPr>
          <w:sz w:val="22"/>
          <w:szCs w:val="22"/>
        </w:rPr>
        <w:t xml:space="preserve"> consistent over time. Both trends and comparisons can be identified (domestic and international) that are</w:t>
      </w:r>
      <w:sdt>
        <w:sdtPr>
          <w:tag w:val="goog_rdk_29"/>
          <w:id w:val="725651053"/>
        </w:sdtPr>
        <w:sdtEndPr/>
        <w:sdtContent/>
      </w:sdt>
      <w:r>
        <w:rPr>
          <w:sz w:val="22"/>
          <w:szCs w:val="22"/>
        </w:rPr>
        <w:t xml:space="preserve"> useful for industry analysis and policy making. The SNA has changed over time as new industries emerge and develop (OECD, 2017).</w:t>
      </w:r>
    </w:p>
    <w:p w14:paraId="000000A1" w14:textId="558ECBAF" w:rsidR="00F8269C" w:rsidRDefault="00450D2D" w:rsidP="0079721C">
      <w:pPr>
        <w:jc w:val="both"/>
        <w:rPr>
          <w:sz w:val="22"/>
          <w:szCs w:val="22"/>
        </w:rPr>
      </w:pPr>
      <w:r>
        <w:rPr>
          <w:sz w:val="22"/>
          <w:szCs w:val="22"/>
        </w:rPr>
        <w:t xml:space="preserve">Unfortunately, national accounts use rather broad headings. This suggests homogeneity of production and usage. As technology and consumption patterns have changed over </w:t>
      </w:r>
      <w:sdt>
        <w:sdtPr>
          <w:tag w:val="goog_rdk_30"/>
          <w:id w:val="-1859956926"/>
        </w:sdtPr>
        <w:sdtEndPr/>
        <w:sdtContent/>
      </w:sdt>
      <w:r>
        <w:rPr>
          <w:sz w:val="22"/>
          <w:szCs w:val="22"/>
        </w:rPr>
        <w:t>time</w:t>
      </w:r>
      <w:r w:rsidR="00163C1E">
        <w:rPr>
          <w:sz w:val="22"/>
          <w:szCs w:val="22"/>
        </w:rPr>
        <w:t>,</w:t>
      </w:r>
      <w:r>
        <w:rPr>
          <w:sz w:val="22"/>
          <w:szCs w:val="22"/>
        </w:rPr>
        <w:t xml:space="preserve"> these groupings that may be misleading. This is further complicated by which products and services are considered to be cultural or creative.</w:t>
      </w:r>
    </w:p>
    <w:p w14:paraId="000000A2" w14:textId="77777777" w:rsidR="00F8269C" w:rsidRDefault="00450D2D">
      <w:pPr>
        <w:pStyle w:val="Heading2"/>
        <w:numPr>
          <w:ilvl w:val="1"/>
          <w:numId w:val="5"/>
        </w:numPr>
      </w:pPr>
      <w:bookmarkStart w:id="20" w:name="_Toc93842766"/>
      <w:bookmarkStart w:id="21" w:name="_Toc93842952"/>
      <w:bookmarkStart w:id="22" w:name="_Toc93843330"/>
      <w:r>
        <w:t>Classification of CCIs</w:t>
      </w:r>
      <w:bookmarkEnd w:id="20"/>
      <w:bookmarkEnd w:id="21"/>
      <w:bookmarkEnd w:id="22"/>
    </w:p>
    <w:p w14:paraId="000000A3" w14:textId="7862D143" w:rsidR="00F8269C" w:rsidRDefault="00450D2D" w:rsidP="0079721C">
      <w:pPr>
        <w:jc w:val="both"/>
        <w:rPr>
          <w:sz w:val="22"/>
          <w:szCs w:val="22"/>
        </w:rPr>
      </w:pPr>
      <w:r>
        <w:rPr>
          <w:sz w:val="22"/>
          <w:szCs w:val="22"/>
        </w:rPr>
        <w:t xml:space="preserve">The task of defining CCIs is complicated. </w:t>
      </w:r>
      <w:r w:rsidRPr="0079721C">
        <w:rPr>
          <w:sz w:val="22"/>
          <w:szCs w:val="22"/>
        </w:rPr>
        <w:t xml:space="preserve">A vigorous debate persists over the inclusion or exclusion of specific sectors in the classification of </w:t>
      </w:r>
      <w:r w:rsidR="00163C1E" w:rsidRPr="0079721C">
        <w:rPr>
          <w:sz w:val="22"/>
          <w:szCs w:val="22"/>
        </w:rPr>
        <w:t xml:space="preserve">the </w:t>
      </w:r>
      <w:r w:rsidRPr="0079721C">
        <w:rPr>
          <w:sz w:val="22"/>
          <w:szCs w:val="22"/>
        </w:rPr>
        <w:t xml:space="preserve">cultural </w:t>
      </w:r>
      <w:r w:rsidR="00163C1E" w:rsidRPr="0079721C">
        <w:rPr>
          <w:sz w:val="22"/>
          <w:szCs w:val="22"/>
        </w:rPr>
        <w:t>and</w:t>
      </w:r>
      <w:r w:rsidRPr="0079721C">
        <w:rPr>
          <w:sz w:val="22"/>
          <w:szCs w:val="22"/>
        </w:rPr>
        <w:t xml:space="preserve"> creative industr</w:t>
      </w:r>
      <w:r w:rsidR="00163C1E" w:rsidRPr="0079721C">
        <w:rPr>
          <w:sz w:val="22"/>
          <w:szCs w:val="22"/>
        </w:rPr>
        <w:t>ies</w:t>
      </w:r>
      <w:r w:rsidRPr="0079721C">
        <w:rPr>
          <w:sz w:val="22"/>
          <w:szCs w:val="22"/>
        </w:rPr>
        <w:t xml:space="preserve">. Galloway and Dunlop (2007) summarise the debate succinctly, stating that the “terminology currently used in creative industries policy lacks rigour and is frequently inconsistent and confusing. </w:t>
      </w:r>
      <w:r>
        <w:rPr>
          <w:sz w:val="22"/>
          <w:szCs w:val="22"/>
        </w:rPr>
        <w:t xml:space="preserve">The terms </w:t>
      </w:r>
      <w:r w:rsidR="00640940">
        <w:rPr>
          <w:sz w:val="22"/>
          <w:szCs w:val="22"/>
        </w:rPr>
        <w:t>‘</w:t>
      </w:r>
      <w:r>
        <w:rPr>
          <w:sz w:val="22"/>
          <w:szCs w:val="22"/>
        </w:rPr>
        <w:t>cultural industries</w:t>
      </w:r>
      <w:r w:rsidR="00640940">
        <w:rPr>
          <w:sz w:val="22"/>
          <w:szCs w:val="22"/>
        </w:rPr>
        <w:t>’</w:t>
      </w:r>
      <w:r>
        <w:rPr>
          <w:sz w:val="22"/>
          <w:szCs w:val="22"/>
        </w:rPr>
        <w:t xml:space="preserve"> and </w:t>
      </w:r>
      <w:r w:rsidR="00640940">
        <w:rPr>
          <w:sz w:val="22"/>
          <w:szCs w:val="22"/>
        </w:rPr>
        <w:t>‘</w:t>
      </w:r>
      <w:r>
        <w:rPr>
          <w:sz w:val="22"/>
          <w:szCs w:val="22"/>
        </w:rPr>
        <w:t>creative industries</w:t>
      </w:r>
      <w:r w:rsidR="00640940">
        <w:rPr>
          <w:sz w:val="22"/>
          <w:szCs w:val="22"/>
        </w:rPr>
        <w:t>’</w:t>
      </w:r>
      <w:r>
        <w:rPr>
          <w:sz w:val="22"/>
          <w:szCs w:val="22"/>
        </w:rPr>
        <w:t xml:space="preserve"> are often used interchangeably; there is little clarity about these terms and little appreciation or official explanation of the difference between the two.” These problems are discussed below.</w:t>
      </w:r>
    </w:p>
    <w:p w14:paraId="000000A4" w14:textId="46E800EE" w:rsidR="00F8269C" w:rsidRDefault="00450D2D" w:rsidP="0079721C">
      <w:pPr>
        <w:jc w:val="both"/>
        <w:rPr>
          <w:sz w:val="22"/>
          <w:szCs w:val="22"/>
        </w:rPr>
      </w:pPr>
      <w:r>
        <w:rPr>
          <w:sz w:val="22"/>
          <w:szCs w:val="22"/>
        </w:rPr>
        <w:t xml:space="preserve">Broadly, CCIs </w:t>
      </w:r>
      <w:r w:rsidR="001C267C" w:rsidRPr="001C267C">
        <w:rPr>
          <w:sz w:val="22"/>
          <w:szCs w:val="22"/>
        </w:rPr>
        <w:t xml:space="preserve">are </w:t>
      </w:r>
      <w:r w:rsidR="001C267C" w:rsidRPr="00640940">
        <w:rPr>
          <w:sz w:val="22"/>
          <w:szCs w:val="22"/>
        </w:rPr>
        <w:t>those</w:t>
      </w:r>
      <w:r>
        <w:rPr>
          <w:sz w:val="22"/>
          <w:szCs w:val="22"/>
        </w:rPr>
        <w:t xml:space="preserve"> activities (or branches of industries or sectors) that produce both tangible or intangible artistic and creative outputs using creativity, cultural knowledge, and intellectual property to produce products and services with social and cultural meaning. They have the potential for wealth creation and income generation through the exploitation of cultural assets and production of knowledge-based goods and services (both traditional and contemporary). However, when compiling a satellite account, a more precise definition is needed.</w:t>
      </w:r>
    </w:p>
    <w:p w14:paraId="000000A5" w14:textId="77336E73" w:rsidR="00F8269C" w:rsidRPr="0079721C" w:rsidRDefault="00450D2D" w:rsidP="0079721C">
      <w:pPr>
        <w:jc w:val="both"/>
        <w:rPr>
          <w:sz w:val="22"/>
          <w:szCs w:val="22"/>
        </w:rPr>
      </w:pPr>
      <w:r w:rsidRPr="0079721C">
        <w:rPr>
          <w:sz w:val="22"/>
          <w:szCs w:val="22"/>
        </w:rPr>
        <w:lastRenderedPageBreak/>
        <w:t>There are many different definitions of the cultural and creative industries. However, the UNESCO Framework for Cultural Statistics (2009) (Figure 3) is used for the development of the C</w:t>
      </w:r>
      <w:r w:rsidR="00195565">
        <w:rPr>
          <w:sz w:val="22"/>
          <w:szCs w:val="22"/>
        </w:rPr>
        <w:t>SA</w:t>
      </w:r>
      <w:r w:rsidRPr="0079721C">
        <w:rPr>
          <w:sz w:val="22"/>
          <w:szCs w:val="22"/>
        </w:rPr>
        <w:t xml:space="preserve">. The choice of the UNESCO Framework is based on the fact that it is increasingly used in South African cultural policy documents (such as the Revised </w:t>
      </w:r>
      <w:r w:rsidR="002A232F" w:rsidRPr="0079721C">
        <w:rPr>
          <w:sz w:val="22"/>
          <w:szCs w:val="22"/>
        </w:rPr>
        <w:t xml:space="preserve">White </w:t>
      </w:r>
      <w:r w:rsidRPr="0079721C">
        <w:rPr>
          <w:sz w:val="22"/>
          <w:szCs w:val="22"/>
        </w:rPr>
        <w:t>Paper on Arts, Culture and Heritage), and that it was used in previous SACO mapping studies (2018; 2020).</w:t>
      </w:r>
      <w:r>
        <w:rPr>
          <w:sz w:val="22"/>
          <w:szCs w:val="22"/>
        </w:rPr>
        <w:t xml:space="preserve"> </w:t>
      </w:r>
      <w:r w:rsidRPr="0079721C">
        <w:rPr>
          <w:sz w:val="22"/>
          <w:szCs w:val="22"/>
        </w:rPr>
        <w:t>Using the UNESCO Framework thus allows international comparability as well as the ability to track changes in the South African economy over time.</w:t>
      </w:r>
    </w:p>
    <w:p w14:paraId="000000A6" w14:textId="1979C737" w:rsidR="00F8269C" w:rsidRPr="0079721C" w:rsidRDefault="00450D2D">
      <w:pPr>
        <w:jc w:val="both"/>
        <w:rPr>
          <w:sz w:val="22"/>
          <w:szCs w:val="22"/>
        </w:rPr>
      </w:pPr>
      <w:bookmarkStart w:id="23" w:name="_heading=h.26in1rg" w:colFirst="0" w:colLast="0"/>
      <w:bookmarkEnd w:id="23"/>
      <w:r w:rsidRPr="0079721C">
        <w:rPr>
          <w:sz w:val="22"/>
          <w:szCs w:val="22"/>
        </w:rPr>
        <w:t>UNESCO’s (2017) simplest definition of CCIs is those activities “whose principal purpose is production and reproduction, promotion, distribution or commercialisation of goods, services and activities of a cultural, artistic or heritage-related nature.” UNESCO (2005) more formally defines cultural industries as “those industries which produce tangible or intangible artistic and creative outputs, and which have a potential for wealth creation and income generation through the exploitation of cultural assets and production of knowledge-based goods and services (both traditional and contemporary).”</w:t>
      </w:r>
    </w:p>
    <w:tbl>
      <w:tblPr>
        <w:tblStyle w:val="a"/>
        <w:tblW w:w="9016" w:type="dxa"/>
        <w:tblLayout w:type="fixed"/>
        <w:tblLook w:val="0400" w:firstRow="0" w:lastRow="0" w:firstColumn="0" w:lastColumn="0" w:noHBand="0" w:noVBand="1"/>
      </w:tblPr>
      <w:tblGrid>
        <w:gridCol w:w="9016"/>
      </w:tblGrid>
      <w:tr w:rsidR="00F8269C" w14:paraId="274864F8" w14:textId="77777777">
        <w:tc>
          <w:tcPr>
            <w:tcW w:w="9016" w:type="dxa"/>
          </w:tcPr>
          <w:p w14:paraId="000000A7" w14:textId="77777777" w:rsidR="00F8269C" w:rsidRDefault="00450D2D">
            <w:r>
              <w:rPr>
                <w:noProof/>
              </w:rPr>
              <w:drawing>
                <wp:inline distT="0" distB="0" distL="0" distR="0" wp14:anchorId="47C2A29C" wp14:editId="10E51D0E">
                  <wp:extent cx="5532335" cy="3659474"/>
                  <wp:effectExtent l="0" t="0" r="0" b="0"/>
                  <wp:docPr id="3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l="13983" t="8496" r="11399" b="57844"/>
                          <a:stretch>
                            <a:fillRect/>
                          </a:stretch>
                        </pic:blipFill>
                        <pic:spPr>
                          <a:xfrm>
                            <a:off x="0" y="0"/>
                            <a:ext cx="5532335" cy="3659474"/>
                          </a:xfrm>
                          <a:prstGeom prst="rect">
                            <a:avLst/>
                          </a:prstGeom>
                          <a:ln/>
                        </pic:spPr>
                      </pic:pic>
                    </a:graphicData>
                  </a:graphic>
                </wp:inline>
              </w:drawing>
            </w:r>
          </w:p>
        </w:tc>
      </w:tr>
      <w:tr w:rsidR="00F8269C" w14:paraId="1F564E45" w14:textId="77777777">
        <w:tc>
          <w:tcPr>
            <w:tcW w:w="9016" w:type="dxa"/>
          </w:tcPr>
          <w:p w14:paraId="000000A8" w14:textId="77777777" w:rsidR="00F8269C" w:rsidRDefault="00450D2D">
            <w:pPr>
              <w:pBdr>
                <w:top w:val="nil"/>
                <w:left w:val="nil"/>
                <w:bottom w:val="nil"/>
                <w:right w:val="nil"/>
                <w:between w:val="nil"/>
              </w:pBdr>
              <w:spacing w:after="200" w:line="240" w:lineRule="auto"/>
              <w:rPr>
                <w:i/>
                <w:color w:val="44546A"/>
                <w:sz w:val="18"/>
                <w:szCs w:val="18"/>
              </w:rPr>
            </w:pPr>
            <w:r>
              <w:rPr>
                <w:i/>
                <w:color w:val="44546A"/>
                <w:sz w:val="18"/>
                <w:szCs w:val="18"/>
              </w:rPr>
              <w:t>Figure 3: UNESCO’s cultural domains</w:t>
            </w:r>
          </w:p>
          <w:p w14:paraId="000000A9" w14:textId="6FDC3556" w:rsidR="00F8269C" w:rsidRDefault="00450D2D">
            <w:pPr>
              <w:pBdr>
                <w:top w:val="nil"/>
                <w:left w:val="nil"/>
                <w:bottom w:val="nil"/>
                <w:right w:val="nil"/>
                <w:between w:val="nil"/>
              </w:pBdr>
              <w:rPr>
                <w:color w:val="000000"/>
              </w:rPr>
            </w:pPr>
            <w:r w:rsidRPr="009D3DA2">
              <w:rPr>
                <w:color w:val="000000"/>
                <w:sz w:val="18"/>
                <w:szCs w:val="18"/>
              </w:rPr>
              <w:t>Source: The UNESCO Framework for Cultural Statistics (2009</w:t>
            </w:r>
            <w:r w:rsidR="00BA3A83">
              <w:rPr>
                <w:color w:val="000000"/>
                <w:sz w:val="18"/>
                <w:szCs w:val="18"/>
              </w:rPr>
              <w:t xml:space="preserve">, p. </w:t>
            </w:r>
            <w:r w:rsidRPr="009D3DA2">
              <w:rPr>
                <w:color w:val="000000"/>
                <w:sz w:val="18"/>
                <w:szCs w:val="18"/>
              </w:rPr>
              <w:t>24)</w:t>
            </w:r>
          </w:p>
        </w:tc>
      </w:tr>
    </w:tbl>
    <w:p w14:paraId="000000AA" w14:textId="77777777" w:rsidR="00F8269C" w:rsidRDefault="00450D2D" w:rsidP="0079721C">
      <w:pPr>
        <w:jc w:val="both"/>
        <w:rPr>
          <w:sz w:val="22"/>
          <w:szCs w:val="22"/>
        </w:rPr>
      </w:pPr>
      <w:r>
        <w:rPr>
          <w:sz w:val="22"/>
          <w:szCs w:val="22"/>
        </w:rPr>
        <w:t>UNESCO (2005) includes advertising; architecture; crafts; designer furniture; fashion clothing; film, video and other audio-visual production; graphic design; educational and leisure software; live and recorded music; performing arts and entertainment; television, radio and internet broadcasting; visual arts and antiques; and writing and publishing into the definition of cultural industries</w:t>
      </w:r>
      <w:r>
        <w:rPr>
          <w:sz w:val="22"/>
          <w:szCs w:val="22"/>
          <w:vertAlign w:val="superscript"/>
        </w:rPr>
        <w:footnoteReference w:id="1"/>
      </w:r>
      <w:r>
        <w:rPr>
          <w:sz w:val="22"/>
          <w:szCs w:val="22"/>
        </w:rPr>
        <w:t xml:space="preserve">. This led to the development of UNESCO’s Framework for Cultural Statistics (2009), which classifies cultural and creative activities into six domains, supported by and contributing to intangible cultural heritage, education and training, archiving and preserving, and equipment and supporting materials. South Africa, to a large degree, has incorporated this framework as the definitional starting point for categorising and </w:t>
      </w:r>
      <w:r>
        <w:rPr>
          <w:sz w:val="22"/>
          <w:szCs w:val="22"/>
        </w:rPr>
        <w:lastRenderedPageBreak/>
        <w:t>understanding its CCIs, and also for analysis, with a view to ‘Africanising’ the framework over time.</w:t>
      </w:r>
    </w:p>
    <w:p w14:paraId="000000AB" w14:textId="77777777" w:rsidR="00F8269C" w:rsidRDefault="00450D2D">
      <w:pPr>
        <w:pStyle w:val="Heading2"/>
        <w:numPr>
          <w:ilvl w:val="1"/>
          <w:numId w:val="5"/>
        </w:numPr>
      </w:pPr>
      <w:bookmarkStart w:id="24" w:name="_Toc93842767"/>
      <w:bookmarkStart w:id="25" w:name="_Toc93842953"/>
      <w:bookmarkStart w:id="26" w:name="_Toc93843331"/>
      <w:r>
        <w:t>The South African Policy Environment and Rationale for a CSA</w:t>
      </w:r>
      <w:bookmarkEnd w:id="24"/>
      <w:bookmarkEnd w:id="25"/>
      <w:bookmarkEnd w:id="26"/>
    </w:p>
    <w:p w14:paraId="000000AC" w14:textId="3E0B1B0A" w:rsidR="00F8269C" w:rsidRDefault="00450D2D" w:rsidP="0079721C">
      <w:pPr>
        <w:jc w:val="both"/>
        <w:rPr>
          <w:sz w:val="22"/>
          <w:szCs w:val="22"/>
        </w:rPr>
      </w:pPr>
      <w:r>
        <w:rPr>
          <w:sz w:val="22"/>
          <w:szCs w:val="22"/>
        </w:rPr>
        <w:t>The UNESCO Framework for Cultural Statistics</w:t>
      </w:r>
      <w:r w:rsidR="00BA2EEE">
        <w:rPr>
          <w:sz w:val="22"/>
          <w:szCs w:val="22"/>
        </w:rPr>
        <w:t>,</w:t>
      </w:r>
      <w:r>
        <w:rPr>
          <w:sz w:val="22"/>
          <w:szCs w:val="22"/>
        </w:rPr>
        <w:t xml:space="preserve"> published in 2009, is intended to be an international guideline, used for international comparisons and providing a recognised framework for countries wishing to construct their own CSA. It is based on six cultural and two related domains.</w:t>
      </w:r>
    </w:p>
    <w:p w14:paraId="000000AD" w14:textId="0371BE6D" w:rsidR="00F8269C" w:rsidRDefault="00450D2D" w:rsidP="0079721C">
      <w:pPr>
        <w:jc w:val="both"/>
        <w:rPr>
          <w:sz w:val="22"/>
          <w:szCs w:val="22"/>
        </w:rPr>
      </w:pPr>
      <w:r>
        <w:rPr>
          <w:sz w:val="22"/>
          <w:szCs w:val="22"/>
        </w:rPr>
        <w:t>The data required depends on the classification of what is included in the definition of cultural industries and CCIs. It will also depend on what the requirements are for both the Department of Sports, Arts and Culture (DSAC) and Statistics South Africa (Stats SA). Much, although not all, of the data are already being collected in by Stats SA. Unfortunately, the format in which it is being collected may not be aligned to the compiling of a CSA.</w:t>
      </w:r>
    </w:p>
    <w:p w14:paraId="000000AE" w14:textId="02B6891B" w:rsidR="00F8269C" w:rsidRDefault="00450D2D" w:rsidP="0079721C">
      <w:pPr>
        <w:jc w:val="both"/>
        <w:rPr>
          <w:sz w:val="22"/>
          <w:szCs w:val="22"/>
        </w:rPr>
      </w:pPr>
      <w:r>
        <w:rPr>
          <w:sz w:val="22"/>
          <w:szCs w:val="22"/>
        </w:rPr>
        <w:t xml:space="preserve">Government policy must contribute to the mandate given to it by the voters. In South Africa’s case, government policy must lead to a </w:t>
      </w:r>
      <w:r>
        <w:rPr>
          <w:i/>
          <w:sz w:val="22"/>
          <w:szCs w:val="22"/>
        </w:rPr>
        <w:t>“better life for all</w:t>
      </w:r>
      <w:r w:rsidR="00BA2EEE">
        <w:rPr>
          <w:sz w:val="22"/>
          <w:szCs w:val="22"/>
        </w:rPr>
        <w:t>”.</w:t>
      </w:r>
      <w:r>
        <w:rPr>
          <w:sz w:val="22"/>
          <w:szCs w:val="22"/>
        </w:rPr>
        <w:t xml:space="preserve"> Since democracy</w:t>
      </w:r>
      <w:r w:rsidR="00BA2EEE">
        <w:rPr>
          <w:sz w:val="22"/>
          <w:szCs w:val="22"/>
        </w:rPr>
        <w:t>,</w:t>
      </w:r>
      <w:r>
        <w:rPr>
          <w:sz w:val="22"/>
          <w:szCs w:val="22"/>
        </w:rPr>
        <w:t xml:space="preserve"> macroeconomic policies and sectoral policies have been developed that are intended, either directly or indirectly, to </w:t>
      </w:r>
      <w:sdt>
        <w:sdtPr>
          <w:tag w:val="goog_rdk_34"/>
          <w:id w:val="-667946228"/>
        </w:sdtPr>
        <w:sdtEndPr/>
        <w:sdtContent/>
      </w:sdt>
      <w:r>
        <w:rPr>
          <w:sz w:val="22"/>
          <w:szCs w:val="22"/>
        </w:rPr>
        <w:t xml:space="preserve">fulfil </w:t>
      </w:r>
      <w:r w:rsidR="00163C1E">
        <w:rPr>
          <w:sz w:val="22"/>
          <w:szCs w:val="22"/>
        </w:rPr>
        <w:t xml:space="preserve">the </w:t>
      </w:r>
      <w:r>
        <w:rPr>
          <w:sz w:val="22"/>
          <w:szCs w:val="22"/>
        </w:rPr>
        <w:t>government’s mandate. These include the RDP, GEAR, the Accelerated and Shared Growth Initiative – South Africa (AsgiSA)</w:t>
      </w:r>
      <w:r w:rsidR="00BA2EEE">
        <w:rPr>
          <w:sz w:val="22"/>
          <w:szCs w:val="22"/>
        </w:rPr>
        <w:t>, and</w:t>
      </w:r>
      <w:r>
        <w:rPr>
          <w:sz w:val="22"/>
          <w:szCs w:val="22"/>
        </w:rPr>
        <w:t xml:space="preserve"> have led to the NDP.</w:t>
      </w:r>
    </w:p>
    <w:p w14:paraId="000000AF" w14:textId="77777777" w:rsidR="00F8269C" w:rsidRDefault="00450D2D">
      <w:pPr>
        <w:pStyle w:val="Heading2"/>
        <w:numPr>
          <w:ilvl w:val="1"/>
          <w:numId w:val="5"/>
        </w:numPr>
      </w:pPr>
      <w:bookmarkStart w:id="27" w:name="_Toc93842768"/>
      <w:bookmarkStart w:id="28" w:name="_Toc93842954"/>
      <w:bookmarkStart w:id="29" w:name="_Toc93843332"/>
      <w:r>
        <w:t>Methodologies to Develop Satellite Accounts</w:t>
      </w:r>
      <w:bookmarkEnd w:id="27"/>
      <w:bookmarkEnd w:id="28"/>
      <w:bookmarkEnd w:id="29"/>
    </w:p>
    <w:p w14:paraId="000000B0" w14:textId="77777777" w:rsidR="00F8269C" w:rsidRDefault="00450D2D" w:rsidP="0079721C">
      <w:pPr>
        <w:jc w:val="both"/>
        <w:rPr>
          <w:sz w:val="22"/>
          <w:szCs w:val="22"/>
        </w:rPr>
      </w:pPr>
      <w:r>
        <w:rPr>
          <w:sz w:val="22"/>
          <w:szCs w:val="22"/>
        </w:rPr>
        <w:t>The SNA 2008 defines two methodologies to develop satellite accounts:</w:t>
      </w:r>
    </w:p>
    <w:p w14:paraId="000000B1" w14:textId="77777777" w:rsidR="00F8269C" w:rsidRDefault="00450D2D" w:rsidP="009D3DA2">
      <w:pPr>
        <w:numPr>
          <w:ilvl w:val="0"/>
          <w:numId w:val="6"/>
        </w:numPr>
        <w:pBdr>
          <w:top w:val="nil"/>
          <w:left w:val="nil"/>
          <w:bottom w:val="nil"/>
          <w:right w:val="nil"/>
          <w:between w:val="nil"/>
        </w:pBdr>
        <w:spacing w:after="0"/>
        <w:ind w:left="502"/>
        <w:jc w:val="both"/>
        <w:rPr>
          <w:color w:val="000000"/>
          <w:sz w:val="22"/>
          <w:szCs w:val="22"/>
        </w:rPr>
      </w:pPr>
      <w:r>
        <w:rPr>
          <w:color w:val="000000"/>
          <w:sz w:val="22"/>
          <w:szCs w:val="22"/>
        </w:rPr>
        <w:t>The first group involves a rearrangement of the central classifications with the possible introduction of additional elements. Although there are differences, they do not modify the SNA concepts significantly. The main reason for developing this type of account is to shed light on important social or economic areas of concern without overloading or unbalancing the standard system. Many components contained in these satellite accounts would be invisible in the central accounts and aggregates appearing in global variables. This type of account is used in areas of tourism, environmental protection expenditures, and culture, for example.</w:t>
      </w:r>
    </w:p>
    <w:p w14:paraId="000000B2" w14:textId="77777777" w:rsidR="00F8269C" w:rsidRDefault="00450D2D" w:rsidP="009D3DA2">
      <w:pPr>
        <w:numPr>
          <w:ilvl w:val="0"/>
          <w:numId w:val="6"/>
        </w:numPr>
        <w:pBdr>
          <w:top w:val="nil"/>
          <w:left w:val="nil"/>
          <w:bottom w:val="nil"/>
          <w:right w:val="nil"/>
          <w:between w:val="nil"/>
        </w:pBdr>
        <w:spacing w:after="200"/>
        <w:ind w:left="502"/>
        <w:jc w:val="both"/>
        <w:rPr>
          <w:color w:val="000000"/>
          <w:sz w:val="22"/>
          <w:szCs w:val="22"/>
        </w:rPr>
      </w:pPr>
      <w:r>
        <w:rPr>
          <w:color w:val="000000"/>
          <w:sz w:val="22"/>
          <w:szCs w:val="22"/>
        </w:rPr>
        <w:t>The second type of satellite analysis is mainly based on alternative concepts to those used in the SNA. Therefore, alternative definitions of production, consumption, capital formation or asset item can be employed.</w:t>
      </w:r>
    </w:p>
    <w:p w14:paraId="000000B3" w14:textId="77777777" w:rsidR="00F8269C" w:rsidRDefault="00450D2D" w:rsidP="0079721C">
      <w:pPr>
        <w:jc w:val="both"/>
        <w:rPr>
          <w:sz w:val="22"/>
          <w:szCs w:val="22"/>
        </w:rPr>
      </w:pPr>
      <w:r>
        <w:rPr>
          <w:sz w:val="22"/>
          <w:szCs w:val="22"/>
        </w:rPr>
        <w:t>Satellite Accounts may include certain aspects of both types. In some of the areas mentioned above, there have been significant methodological advances.</w:t>
      </w:r>
    </w:p>
    <w:p w14:paraId="000000B4" w14:textId="77777777" w:rsidR="00F8269C" w:rsidRDefault="00450D2D">
      <w:pPr>
        <w:pStyle w:val="Heading3"/>
        <w:numPr>
          <w:ilvl w:val="2"/>
          <w:numId w:val="5"/>
        </w:numPr>
      </w:pPr>
      <w:bookmarkStart w:id="30" w:name="_Toc93842769"/>
      <w:bookmarkStart w:id="31" w:name="_Toc93842955"/>
      <w:bookmarkStart w:id="32" w:name="_Toc93843333"/>
      <w:r>
        <w:t>Structure of the System of National Accounts</w:t>
      </w:r>
      <w:bookmarkEnd w:id="30"/>
      <w:bookmarkEnd w:id="31"/>
      <w:bookmarkEnd w:id="32"/>
    </w:p>
    <w:p w14:paraId="000000B5" w14:textId="0DC32062" w:rsidR="00F8269C" w:rsidRDefault="00450D2D" w:rsidP="0079721C">
      <w:pPr>
        <w:jc w:val="both"/>
        <w:rPr>
          <w:sz w:val="22"/>
          <w:szCs w:val="22"/>
        </w:rPr>
      </w:pPr>
      <w:r>
        <w:rPr>
          <w:sz w:val="22"/>
          <w:szCs w:val="22"/>
        </w:rPr>
        <w:t>Mohr states (2005</w:t>
      </w:r>
      <w:r w:rsidR="00BA3A83">
        <w:rPr>
          <w:sz w:val="22"/>
          <w:szCs w:val="22"/>
        </w:rPr>
        <w:t xml:space="preserve">, p. </w:t>
      </w:r>
      <w:r>
        <w:rPr>
          <w:sz w:val="22"/>
          <w:szCs w:val="22"/>
        </w:rPr>
        <w:t>16) that the “National account constitutes the most important source of information about the state and the performance of the economy, in the same way as operating and financial accounts of an individual firm convey information about the condition and performance of its firm.” He explains that the task of preparing a set of national accounts is “anything but simple or straightforward”</w:t>
      </w:r>
      <w:r w:rsidR="00BA2EEE">
        <w:rPr>
          <w:sz w:val="22"/>
          <w:szCs w:val="22"/>
        </w:rPr>
        <w:t>.</w:t>
      </w:r>
      <w:r>
        <w:rPr>
          <w:sz w:val="22"/>
          <w:szCs w:val="22"/>
        </w:rPr>
        <w:t xml:space="preserve"> The compilers of national accounts must contend with various conceptual problems</w:t>
      </w:r>
      <w:r w:rsidR="00BA2EEE">
        <w:rPr>
          <w:sz w:val="22"/>
          <w:szCs w:val="22"/>
        </w:rPr>
        <w:t>, and</w:t>
      </w:r>
      <w:r>
        <w:rPr>
          <w:sz w:val="22"/>
          <w:szCs w:val="22"/>
        </w:rPr>
        <w:t xml:space="preserve"> the acquisition of accurate data also presents a problem.</w:t>
      </w:r>
    </w:p>
    <w:p w14:paraId="000000B6" w14:textId="2365F269" w:rsidR="00F8269C" w:rsidRDefault="00450D2D">
      <w:pPr>
        <w:jc w:val="both"/>
        <w:rPr>
          <w:sz w:val="22"/>
          <w:szCs w:val="22"/>
        </w:rPr>
      </w:pPr>
      <w:r>
        <w:rPr>
          <w:sz w:val="22"/>
          <w:szCs w:val="22"/>
        </w:rPr>
        <w:t xml:space="preserve">The SNA is primarily an economic accounting structure that is derived from macroeconomic analysis. </w:t>
      </w:r>
      <w:r w:rsidRPr="0079721C">
        <w:rPr>
          <w:sz w:val="22"/>
          <w:szCs w:val="22"/>
        </w:rPr>
        <w:t xml:space="preserve">Its structure is based on many areas of macroeconomic study. National Accounts pre-date Smith (1776) and more recently to the seminal work by </w:t>
      </w:r>
      <w:r w:rsidR="00856A7B" w:rsidRPr="00856A7B">
        <w:rPr>
          <w:sz w:val="22"/>
          <w:szCs w:val="22"/>
        </w:rPr>
        <w:t>Meade and Stone</w:t>
      </w:r>
      <w:r w:rsidR="00856A7B">
        <w:rPr>
          <w:sz w:val="22"/>
          <w:szCs w:val="22"/>
        </w:rPr>
        <w:t xml:space="preserve"> (</w:t>
      </w:r>
      <w:r w:rsidR="00856A7B" w:rsidRPr="00856A7B">
        <w:rPr>
          <w:sz w:val="22"/>
          <w:szCs w:val="22"/>
        </w:rPr>
        <w:t>195</w:t>
      </w:r>
      <w:r w:rsidR="00856A7B">
        <w:rPr>
          <w:sz w:val="22"/>
          <w:szCs w:val="22"/>
        </w:rPr>
        <w:t>4)</w:t>
      </w:r>
      <w:r w:rsidR="003D2077">
        <w:rPr>
          <w:sz w:val="22"/>
          <w:szCs w:val="22"/>
        </w:rPr>
        <w:t xml:space="preserve"> </w:t>
      </w:r>
      <w:r w:rsidR="00112910">
        <w:rPr>
          <w:sz w:val="22"/>
          <w:szCs w:val="22"/>
        </w:rPr>
        <w:t>and Stone et al (1972)</w:t>
      </w:r>
      <w:r w:rsidRPr="0079721C">
        <w:rPr>
          <w:sz w:val="22"/>
          <w:szCs w:val="22"/>
        </w:rPr>
        <w:t>.</w:t>
      </w:r>
      <w:r>
        <w:rPr>
          <w:sz w:val="22"/>
          <w:szCs w:val="22"/>
        </w:rPr>
        <w:t xml:space="preserve"> This has led to the development of the concept of National Income which was the earliest aggregate measure at the root of the System of Accounts.</w:t>
      </w:r>
    </w:p>
    <w:p w14:paraId="000000B7" w14:textId="61A44835" w:rsidR="00F8269C" w:rsidRDefault="00450D2D">
      <w:pPr>
        <w:jc w:val="both"/>
        <w:rPr>
          <w:sz w:val="22"/>
          <w:szCs w:val="22"/>
        </w:rPr>
      </w:pPr>
      <w:r>
        <w:rPr>
          <w:sz w:val="22"/>
          <w:szCs w:val="22"/>
        </w:rPr>
        <w:lastRenderedPageBreak/>
        <w:t xml:space="preserve">The United Nations’ SNAs were first developed in 1953 (although they have a longer history), with many subsequent revisions. This analysis studied the major decision centres and economic agents including households, businesses, governments and foreign economies and how they affect the economy through their propensities to consume, save or invest out of income which flows from the productive activity already articulated in the Production Account. </w:t>
      </w:r>
      <w:r w:rsidR="008218E8">
        <w:rPr>
          <w:noProof/>
        </w:rPr>
        <mc:AlternateContent>
          <mc:Choice Requires="wps">
            <w:drawing>
              <wp:anchor distT="0" distB="0" distL="114300" distR="114300" simplePos="0" relativeHeight="251661312" behindDoc="0" locked="0" layoutInCell="1" hidden="0" allowOverlap="1" wp14:anchorId="40986885" wp14:editId="1DF746F5">
                <wp:simplePos x="0" y="0"/>
                <wp:positionH relativeFrom="column">
                  <wp:posOffset>3844290</wp:posOffset>
                </wp:positionH>
                <wp:positionV relativeFrom="paragraph">
                  <wp:posOffset>19050</wp:posOffset>
                </wp:positionV>
                <wp:extent cx="1817370" cy="1511935"/>
                <wp:effectExtent l="19050" t="19050" r="11430" b="12065"/>
                <wp:wrapSquare wrapText="bothSides" distT="0" distB="0" distL="114300" distR="114300"/>
                <wp:docPr id="322" name="Double Bracket 322"/>
                <wp:cNvGraphicFramePr/>
                <a:graphic xmlns:a="http://schemas.openxmlformats.org/drawingml/2006/main">
                  <a:graphicData uri="http://schemas.microsoft.com/office/word/2010/wordprocessingShape">
                    <wps:wsp>
                      <wps:cNvSpPr/>
                      <wps:spPr>
                        <a:xfrm>
                          <a:off x="0" y="0"/>
                          <a:ext cx="1817370" cy="1511935"/>
                        </a:xfrm>
                        <a:prstGeom prst="bracketPair">
                          <a:avLst/>
                        </a:prstGeom>
                        <a:noFill/>
                        <a:ln w="38100" cap="flat" cmpd="sng">
                          <a:solidFill>
                            <a:srgbClr val="8DA9DB"/>
                          </a:solidFill>
                          <a:prstDash val="solid"/>
                          <a:round/>
                          <a:headEnd type="none" w="sm" len="sm"/>
                          <a:tailEnd type="none" w="sm" len="sm"/>
                        </a:ln>
                      </wps:spPr>
                      <wps:txbx>
                        <w:txbxContent>
                          <w:p w14:paraId="2EAFF81D" w14:textId="77777777" w:rsidR="00513E3A" w:rsidRDefault="00513E3A">
                            <w:pPr>
                              <w:spacing w:line="258" w:lineRule="auto"/>
                              <w:textDirection w:val="btLr"/>
                            </w:pPr>
                            <w:r>
                              <w:rPr>
                                <w:color w:val="000000"/>
                              </w:rPr>
                              <w:t xml:space="preserve">“… the compilation of national accounts involves liberal use of estimation and guesstimation, interpolation and extrapolation, and approximation and adjustment.” </w:t>
                            </w:r>
                            <w:r>
                              <w:rPr>
                                <w:color w:val="000000"/>
                              </w:rPr>
                              <w:br/>
                              <w:t>(Mohr 2005, 31)</w:t>
                            </w:r>
                          </w:p>
                        </w:txbxContent>
                      </wps:txbx>
                      <wps:bodyPr spcFirstLastPara="1" wrap="square" lIns="45700" tIns="45700" rIns="45700" bIns="4570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98688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22" o:spid="_x0000_s1059" type="#_x0000_t185" style="position:absolute;left:0;text-align:left;margin-left:302.7pt;margin-top:1.5pt;width:143.1pt;height:119.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" strokecolor="#8da9db" strokeweight="3pt">
                <v:stroke startarrowwidth="narrow" startarrowlength="short" endarrowwidth="narrow" endarrowlength="short"/>
                <v:textbox inset="1.2694mm,1.2694mm,1.2694mm,1.2694mm">
                  <w:txbxContent>
                    <w:p w14:paraId="2EAFF81D" w14:textId="77777777" w:rsidR="00513E3A" w:rsidRDefault="00513E3A">
                      <w:pPr>
                        <w:spacing w:line="258" w:lineRule="auto"/>
                        <w:textDirection w:val="btLr"/>
                      </w:pPr>
                      <w:r>
                        <w:rPr>
                          <w:color w:val="000000"/>
                        </w:rPr>
                        <w:t xml:space="preserve">“… the compilation of national accounts involves liberal use of estimation and guesstimation, interpolation and extrapolation, and approximation and adjustment.” </w:t>
                      </w:r>
                      <w:r>
                        <w:rPr>
                          <w:color w:val="000000"/>
                        </w:rPr>
                        <w:br/>
                        <w:t>(Mohr 2005, 31)</w:t>
                      </w:r>
                    </w:p>
                  </w:txbxContent>
                </v:textbox>
                <w10:wrap type="square"/>
              </v:shape>
            </w:pict>
          </mc:Fallback>
        </mc:AlternateContent>
      </w:r>
      <w:r>
        <w:rPr>
          <w:sz w:val="22"/>
          <w:szCs w:val="22"/>
        </w:rPr>
        <w:t xml:space="preserve">Sometime in the late 1940s and early 1950s the idea of an integrated set of accounts pulling together these analytic underpinnings into a system of accounts became a focus of work at the international level. By 1968, the idea came together with the publication </w:t>
      </w:r>
      <w:r w:rsidR="008218E8">
        <w:rPr>
          <w:sz w:val="22"/>
          <w:szCs w:val="22"/>
        </w:rPr>
        <w:t xml:space="preserve">by the United Nations </w:t>
      </w:r>
      <w:r>
        <w:rPr>
          <w:sz w:val="22"/>
          <w:szCs w:val="22"/>
        </w:rPr>
        <w:t>of the “System of Accounts”.</w:t>
      </w:r>
    </w:p>
    <w:p w14:paraId="000000B8" w14:textId="584E3F9E" w:rsidR="00F8269C" w:rsidRPr="0079721C" w:rsidRDefault="00450D2D">
      <w:pPr>
        <w:jc w:val="both"/>
        <w:rPr>
          <w:sz w:val="22"/>
          <w:szCs w:val="22"/>
        </w:rPr>
      </w:pPr>
      <w:r>
        <w:rPr>
          <w:sz w:val="22"/>
          <w:szCs w:val="22"/>
        </w:rPr>
        <w:t xml:space="preserve">The United Nations’ SNA is a standard </w:t>
      </w:r>
      <w:r w:rsidR="00E15B27">
        <w:rPr>
          <w:sz w:val="22"/>
          <w:szCs w:val="22"/>
        </w:rPr>
        <w:t>S</w:t>
      </w:r>
      <w:r>
        <w:rPr>
          <w:sz w:val="22"/>
          <w:szCs w:val="22"/>
        </w:rPr>
        <w:t xml:space="preserve">ystem of </w:t>
      </w:r>
      <w:r w:rsidR="00E15B27">
        <w:rPr>
          <w:sz w:val="22"/>
          <w:szCs w:val="22"/>
        </w:rPr>
        <w:t>N</w:t>
      </w:r>
      <w:r>
        <w:rPr>
          <w:sz w:val="22"/>
          <w:szCs w:val="22"/>
        </w:rPr>
        <w:t xml:space="preserve">ational </w:t>
      </w:r>
      <w:r w:rsidR="00E15B27">
        <w:rPr>
          <w:sz w:val="22"/>
          <w:szCs w:val="22"/>
        </w:rPr>
        <w:t>A</w:t>
      </w:r>
      <w:r>
        <w:rPr>
          <w:sz w:val="22"/>
          <w:szCs w:val="22"/>
        </w:rPr>
        <w:t>ccounts accepted internationally. The first international standard was published in 1953 with revisions in 1968, 1993 and 2008. In 2009, the UNSC endorsed a revised set of international standards for the compilation of National Accounts</w:t>
      </w:r>
      <w:r w:rsidRPr="0079721C">
        <w:rPr>
          <w:sz w:val="22"/>
          <w:szCs w:val="22"/>
        </w:rPr>
        <w:t>, replacing the 1993 version of the SNA.</w:t>
      </w:r>
    </w:p>
    <w:p w14:paraId="000000B9" w14:textId="77777777" w:rsidR="00F8269C" w:rsidRDefault="00450D2D">
      <w:pPr>
        <w:jc w:val="both"/>
        <w:rPr>
          <w:sz w:val="22"/>
          <w:szCs w:val="22"/>
        </w:rPr>
      </w:pPr>
      <w:r>
        <w:rPr>
          <w:sz w:val="22"/>
          <w:szCs w:val="22"/>
        </w:rPr>
        <w:t>The SNA strives to provide a complete integrated system of accounts enabling international comparisons of significant economic activity. Individual countries use the SNA as a guide in constructing their national accounting system that promotes international comparability. Adherence to the SNA is not rigidly enforced, and some countries differ significantly. However, the system in each country provides sufficient data that is used to compile national accounts according to the United Nations standard.</w:t>
      </w:r>
    </w:p>
    <w:p w14:paraId="000000BA" w14:textId="77777777" w:rsidR="00F8269C" w:rsidRDefault="00450D2D">
      <w:pPr>
        <w:jc w:val="both"/>
        <w:rPr>
          <w:sz w:val="22"/>
          <w:szCs w:val="22"/>
        </w:rPr>
      </w:pPr>
      <w:r>
        <w:rPr>
          <w:sz w:val="22"/>
          <w:szCs w:val="22"/>
        </w:rPr>
        <w:t>The primary goal of national accounts is the compilation of macroeconomic aggregates that are consistent over time. For this reason, national accounts typically try to avoid the regular introduction of changes in standards, data sources and methodologies that would affect consistency over time. Newly developed source data and latest available methodologies are only introduced when compiling a new benchmark estimate. Past time-series are then backcast to arrive at a new consistent set of data.</w:t>
      </w:r>
    </w:p>
    <w:p w14:paraId="000000BB" w14:textId="77777777" w:rsidR="00F8269C" w:rsidRDefault="00450D2D">
      <w:pPr>
        <w:jc w:val="both"/>
        <w:rPr>
          <w:sz w:val="22"/>
          <w:szCs w:val="22"/>
        </w:rPr>
      </w:pPr>
      <w:r>
        <w:rPr>
          <w:sz w:val="22"/>
          <w:szCs w:val="22"/>
        </w:rPr>
        <w:t>They provide a comprehensive and detailed record of the complex economic activities taking place within an economy and of the interaction between the different economic agents (or groups of agents) that takes place in markets or elsewhere.</w:t>
      </w:r>
    </w:p>
    <w:p w14:paraId="000000BC" w14:textId="364BAA35" w:rsidR="00F8269C" w:rsidRDefault="00450D2D">
      <w:pPr>
        <w:jc w:val="both"/>
        <w:rPr>
          <w:sz w:val="22"/>
          <w:szCs w:val="22"/>
        </w:rPr>
      </w:pPr>
      <w:r>
        <w:rPr>
          <w:sz w:val="22"/>
          <w:szCs w:val="22"/>
        </w:rPr>
        <w:t>The accounts themselves present in a condensed way a great mass of detailed information, organised according to economic principles and perceptions, about the working of an economy. Although it is generally true that the SNA</w:t>
      </w:r>
      <w:r w:rsidR="00BA4347">
        <w:rPr>
          <w:sz w:val="22"/>
          <w:szCs w:val="22"/>
        </w:rPr>
        <w:t>’</w:t>
      </w:r>
      <w:r>
        <w:rPr>
          <w:sz w:val="22"/>
          <w:szCs w:val="22"/>
        </w:rPr>
        <w:t>s accounting framework allows economic data to be compiled and presented in a format that is useful for economic analysis, decision-taking and policy making, this is not always the case. “In some cases, working with the central framework, even in a flexible way, is not sufficient. Even when conceptually consistent, the central framework may become overburdened with details. Moreover, some requirements may conflict with the concepts and architecture of the central framework” (United Nations, 2009</w:t>
      </w:r>
      <w:r w:rsidR="00BA3A83">
        <w:rPr>
          <w:sz w:val="22"/>
          <w:szCs w:val="22"/>
        </w:rPr>
        <w:t>, p.</w:t>
      </w:r>
      <w:r>
        <w:rPr>
          <w:sz w:val="22"/>
          <w:szCs w:val="22"/>
        </w:rPr>
        <w:t xml:space="preserve"> 37).</w:t>
      </w:r>
    </w:p>
    <w:p w14:paraId="000000BD" w14:textId="77777777" w:rsidR="00F8269C" w:rsidRDefault="00450D2D">
      <w:pPr>
        <w:pStyle w:val="Heading3"/>
        <w:numPr>
          <w:ilvl w:val="2"/>
          <w:numId w:val="5"/>
        </w:numPr>
      </w:pPr>
      <w:bookmarkStart w:id="33" w:name="_Toc93842770"/>
      <w:bookmarkStart w:id="34" w:name="_Toc93842956"/>
      <w:bookmarkStart w:id="35" w:name="_Toc93843334"/>
      <w:r>
        <w:t>Embedding the SNA into a CCI-Input-Output Model</w:t>
      </w:r>
      <w:bookmarkEnd w:id="33"/>
      <w:bookmarkEnd w:id="34"/>
      <w:bookmarkEnd w:id="35"/>
    </w:p>
    <w:p w14:paraId="000000BE" w14:textId="0FCD77AB" w:rsidR="00F8269C" w:rsidRDefault="00450D2D">
      <w:pPr>
        <w:jc w:val="both"/>
        <w:rPr>
          <w:sz w:val="22"/>
          <w:szCs w:val="22"/>
        </w:rPr>
      </w:pPr>
      <w:r>
        <w:rPr>
          <w:sz w:val="22"/>
          <w:szCs w:val="22"/>
        </w:rPr>
        <w:t>An Input-Output (IO) model is essentially a matrix that represents the national (or regional) economic accounting in a way that shows how industries trade with one another and their production (in other words</w:t>
      </w:r>
      <w:r w:rsidR="00BA4347">
        <w:rPr>
          <w:sz w:val="22"/>
          <w:szCs w:val="22"/>
        </w:rPr>
        <w:t>,</w:t>
      </w:r>
      <w:r>
        <w:rPr>
          <w:sz w:val="22"/>
          <w:szCs w:val="22"/>
        </w:rPr>
        <w:t xml:space="preserve"> the flow of goods and services). The IO analysis is the standard method for measuring the effects of changes in the final demand for a product of an industry or sector (Surugiu, </w:t>
      </w:r>
      <w:r w:rsidRPr="0079721C">
        <w:rPr>
          <w:sz w:val="22"/>
          <w:szCs w:val="22"/>
        </w:rPr>
        <w:t>2009).</w:t>
      </w:r>
    </w:p>
    <w:p w14:paraId="000000BF" w14:textId="58748860" w:rsidR="00F8269C" w:rsidRDefault="00450D2D">
      <w:pPr>
        <w:jc w:val="both"/>
        <w:rPr>
          <w:sz w:val="22"/>
          <w:szCs w:val="22"/>
        </w:rPr>
      </w:pPr>
      <w:r>
        <w:rPr>
          <w:sz w:val="22"/>
          <w:szCs w:val="22"/>
        </w:rPr>
        <w:lastRenderedPageBreak/>
        <w:t xml:space="preserve">The complex economic structure of each sector of the economy has many dynamic variables, each of which is unique. Each sector has some impact on the economic performance of the CCIs as a whole. This relates to the inputs into CCIs (raw material, labour, technology and capital) and outputs of CCIs (such as inputs into other sectors that </w:t>
      </w:r>
      <w:r w:rsidR="00BA4347">
        <w:rPr>
          <w:sz w:val="22"/>
          <w:szCs w:val="22"/>
        </w:rPr>
        <w:t xml:space="preserve">are </w:t>
      </w:r>
      <w:r>
        <w:rPr>
          <w:sz w:val="22"/>
          <w:szCs w:val="22"/>
        </w:rPr>
        <w:t>use</w:t>
      </w:r>
      <w:r w:rsidR="00BA4347">
        <w:rPr>
          <w:sz w:val="22"/>
          <w:szCs w:val="22"/>
        </w:rPr>
        <w:t>d</w:t>
      </w:r>
      <w:r>
        <w:rPr>
          <w:sz w:val="22"/>
          <w:szCs w:val="22"/>
        </w:rPr>
        <w:t xml:space="preserve"> as intermediary products, trade and export). It is virtually impossible to determine these backward and forward linkages and their subsequent impacts using conventional cost and accounting systems. This is especially true when these are highly aggregated. The mass of data produced by these conventional systems is distilled into aggregated or averaged factors, upon which fundamentally important operational and investment decisions (both by private investors or firms and government) are based.</w:t>
      </w:r>
    </w:p>
    <w:p w14:paraId="000000C0" w14:textId="09A0BFFE" w:rsidR="00F8269C" w:rsidRPr="009D3DA2" w:rsidRDefault="00450D2D">
      <w:pPr>
        <w:jc w:val="both"/>
        <w:rPr>
          <w:sz w:val="22"/>
          <w:szCs w:val="22"/>
        </w:rPr>
      </w:pPr>
      <w:r>
        <w:rPr>
          <w:sz w:val="22"/>
          <w:szCs w:val="22"/>
        </w:rPr>
        <w:t xml:space="preserve">The way in which these IOs are compiled is influenced by history and convention. Frameworks and guidelines agreed to at various international </w:t>
      </w:r>
      <w:r w:rsidR="00FF485D">
        <w:rPr>
          <w:sz w:val="22"/>
          <w:szCs w:val="22"/>
        </w:rPr>
        <w:t>I</w:t>
      </w:r>
      <w:r>
        <w:rPr>
          <w:sz w:val="22"/>
          <w:szCs w:val="22"/>
        </w:rPr>
        <w:t xml:space="preserve">, including the OECD and United Nations (UN), are playing an increasingly important role </w:t>
      </w:r>
      <w:r w:rsidR="006720A6">
        <w:rPr>
          <w:sz w:val="22"/>
          <w:szCs w:val="22"/>
        </w:rPr>
        <w:t xml:space="preserve">in </w:t>
      </w:r>
      <w:r>
        <w:rPr>
          <w:sz w:val="22"/>
          <w:szCs w:val="22"/>
        </w:rPr>
        <w:t>h</w:t>
      </w:r>
      <w:r w:rsidR="00FF485D">
        <w:rPr>
          <w:sz w:val="22"/>
          <w:szCs w:val="22"/>
        </w:rPr>
        <w:t>o</w:t>
      </w:r>
      <w:r>
        <w:rPr>
          <w:sz w:val="22"/>
          <w:szCs w:val="22"/>
        </w:rPr>
        <w:t xml:space="preserve">w IOs are compiled. These, together with the history </w:t>
      </w:r>
      <w:r w:rsidR="00FF485D">
        <w:rPr>
          <w:sz w:val="22"/>
          <w:szCs w:val="22"/>
        </w:rPr>
        <w:t>o</w:t>
      </w:r>
      <w:r>
        <w:rPr>
          <w:sz w:val="22"/>
          <w:szCs w:val="22"/>
        </w:rPr>
        <w:t>f IOs, are discussed below. Further technical information on the IO framework can be found in Appendix 2</w:t>
      </w:r>
      <w:r>
        <w:t>.</w:t>
      </w:r>
    </w:p>
    <w:p w14:paraId="000000C1" w14:textId="77777777" w:rsidR="00F8269C" w:rsidRDefault="00450D2D">
      <w:pPr>
        <w:pStyle w:val="Heading3"/>
        <w:numPr>
          <w:ilvl w:val="2"/>
          <w:numId w:val="5"/>
        </w:numPr>
      </w:pPr>
      <w:bookmarkStart w:id="36" w:name="_Toc93842771"/>
      <w:bookmarkStart w:id="37" w:name="_Toc93842957"/>
      <w:bookmarkStart w:id="38" w:name="_Toc93843335"/>
      <w:r>
        <w:t>Methodology</w:t>
      </w:r>
      <w:bookmarkEnd w:id="36"/>
      <w:bookmarkEnd w:id="37"/>
      <w:bookmarkEnd w:id="38"/>
    </w:p>
    <w:p w14:paraId="000000C2" w14:textId="7DCD36E9" w:rsidR="00F8269C" w:rsidRDefault="00450D2D">
      <w:pPr>
        <w:jc w:val="both"/>
        <w:rPr>
          <w:sz w:val="22"/>
          <w:szCs w:val="22"/>
        </w:rPr>
      </w:pPr>
      <w:r>
        <w:rPr>
          <w:sz w:val="22"/>
          <w:szCs w:val="22"/>
        </w:rPr>
        <w:t xml:space="preserve">The IO tables in South Africa are based on the Standard Industrial Classification (SIC) system. The UN has developed the International Standard Industrial Classification (ISIC) that is used in the SNA. South Africa has adopted the SNA framework and is using an adapted version of the ISIC. Although the ISIC has modified over time and for various countries, CCIs are not specifically catered for. Fortunately, the SIC classification system is hierarchical. It is, therefore, possible to identify some CCI components within the broader SIC classifications. Unfortunately, it is not possible to identify all CCIs even at the most disaggregated levels. Therefore, even when a particular SIC classification is disaggregated to its lowest level, estimates have to be made regarding the proportion of CCI products and services that </w:t>
      </w:r>
      <w:r w:rsidR="006720A6">
        <w:rPr>
          <w:sz w:val="22"/>
          <w:szCs w:val="22"/>
        </w:rPr>
        <w:t xml:space="preserve">a </w:t>
      </w:r>
      <w:r>
        <w:rPr>
          <w:sz w:val="22"/>
          <w:szCs w:val="22"/>
        </w:rPr>
        <w:t>particular industry produces or uses as inputs</w:t>
      </w:r>
      <w:r w:rsidR="006720A6">
        <w:rPr>
          <w:sz w:val="22"/>
          <w:szCs w:val="22"/>
        </w:rPr>
        <w:t>.</w:t>
      </w:r>
    </w:p>
    <w:p w14:paraId="000000C3" w14:textId="6E8FEC01" w:rsidR="00F8269C" w:rsidRDefault="00450D2D">
      <w:pPr>
        <w:jc w:val="both"/>
        <w:rPr>
          <w:sz w:val="22"/>
          <w:szCs w:val="22"/>
        </w:rPr>
      </w:pPr>
      <w:r>
        <w:rPr>
          <w:sz w:val="22"/>
          <w:szCs w:val="22"/>
        </w:rPr>
        <w:t>Although the most accurate way to determine the CCI composition of each industry would be to undertake a census of the industry (or even a large sample survey), the cost of such an undertaking would be prohibitive. Estimates, therefore, must be made using available information. Where CCIs are identified within each industry (in other words where a subcategory refers to a CCI) the turnover, the total output, the net final demand or the value-added components could be used to apportion each industry. Where there is no CCI sub-industry classified, the proportion of creative workers (or the share of total salaries paid to creative workers) can be used.</w:t>
      </w:r>
    </w:p>
    <w:p w14:paraId="000000C4" w14:textId="77777777" w:rsidR="00F8269C" w:rsidRDefault="00450D2D">
      <w:pPr>
        <w:pStyle w:val="Heading3"/>
        <w:numPr>
          <w:ilvl w:val="2"/>
          <w:numId w:val="5"/>
        </w:numPr>
      </w:pPr>
      <w:bookmarkStart w:id="39" w:name="_Toc93842772"/>
      <w:bookmarkStart w:id="40" w:name="_Toc93842958"/>
      <w:bookmarkStart w:id="41" w:name="_Toc93843336"/>
      <w:r>
        <w:t>Disaggregating the SNA Data</w:t>
      </w:r>
      <w:bookmarkEnd w:id="39"/>
      <w:bookmarkEnd w:id="40"/>
      <w:bookmarkEnd w:id="41"/>
    </w:p>
    <w:p w14:paraId="000000C5" w14:textId="77777777" w:rsidR="00F8269C" w:rsidRDefault="00450D2D">
      <w:pPr>
        <w:jc w:val="both"/>
        <w:rPr>
          <w:sz w:val="22"/>
          <w:szCs w:val="22"/>
        </w:rPr>
      </w:pPr>
      <w:r>
        <w:rPr>
          <w:sz w:val="22"/>
          <w:szCs w:val="22"/>
        </w:rPr>
        <w:t>In compiling the CSA, a bottom-up approach has been applied. The first step involves deriving the CCI activities out of the various SIC sectors where they have previously been accounted for, using both direct and indirect extraction methods.</w:t>
      </w:r>
    </w:p>
    <w:p w14:paraId="000000C6" w14:textId="77777777" w:rsidR="00F8269C" w:rsidRDefault="00450D2D">
      <w:pPr>
        <w:jc w:val="both"/>
        <w:rPr>
          <w:sz w:val="22"/>
          <w:szCs w:val="22"/>
        </w:rPr>
      </w:pPr>
      <w:r>
        <w:rPr>
          <w:sz w:val="22"/>
          <w:szCs w:val="22"/>
        </w:rPr>
        <w:t>The process of deriving the CCIs has two areas of focus:</w:t>
      </w:r>
    </w:p>
    <w:p w14:paraId="000000C7" w14:textId="77777777" w:rsidR="00F8269C" w:rsidRDefault="00450D2D">
      <w:pPr>
        <w:numPr>
          <w:ilvl w:val="0"/>
          <w:numId w:val="16"/>
        </w:numPr>
        <w:pBdr>
          <w:top w:val="nil"/>
          <w:left w:val="nil"/>
          <w:bottom w:val="nil"/>
          <w:right w:val="nil"/>
          <w:between w:val="nil"/>
        </w:pBdr>
        <w:spacing w:after="0"/>
        <w:jc w:val="both"/>
        <w:rPr>
          <w:color w:val="000000"/>
          <w:sz w:val="22"/>
          <w:szCs w:val="22"/>
        </w:rPr>
      </w:pPr>
      <w:r>
        <w:rPr>
          <w:color w:val="000000"/>
          <w:sz w:val="22"/>
          <w:szCs w:val="22"/>
        </w:rPr>
        <w:t>Firstly, establishing the Rand-value magnitudes of the CCIs in terms of variables such as production, capital and labour usage, etc.; and,</w:t>
      </w:r>
    </w:p>
    <w:p w14:paraId="000000C8" w14:textId="77777777" w:rsidR="00F8269C" w:rsidRDefault="00450D2D">
      <w:pPr>
        <w:numPr>
          <w:ilvl w:val="0"/>
          <w:numId w:val="16"/>
        </w:numPr>
        <w:pBdr>
          <w:top w:val="nil"/>
          <w:left w:val="nil"/>
          <w:bottom w:val="nil"/>
          <w:right w:val="nil"/>
          <w:between w:val="nil"/>
        </w:pBdr>
        <w:jc w:val="both"/>
        <w:rPr>
          <w:color w:val="000000"/>
          <w:sz w:val="22"/>
          <w:szCs w:val="22"/>
        </w:rPr>
      </w:pPr>
      <w:r>
        <w:rPr>
          <w:color w:val="000000"/>
          <w:sz w:val="22"/>
          <w:szCs w:val="22"/>
        </w:rPr>
        <w:t>Secondly, deriving the structures of the CCIs in terms of how they link backward and forward to other SIC sectors.</w:t>
      </w:r>
    </w:p>
    <w:p w14:paraId="000000C9" w14:textId="77777777" w:rsidR="00F8269C" w:rsidRDefault="00450D2D">
      <w:pPr>
        <w:pStyle w:val="Heading3"/>
        <w:numPr>
          <w:ilvl w:val="2"/>
          <w:numId w:val="5"/>
        </w:numPr>
      </w:pPr>
      <w:bookmarkStart w:id="42" w:name="_Toc93842773"/>
      <w:bookmarkStart w:id="43" w:name="_Toc93842959"/>
      <w:bookmarkStart w:id="44" w:name="_Toc93843337"/>
      <w:r>
        <w:t>Establishing the Magnitude of the Cultural and Creative Industries</w:t>
      </w:r>
      <w:bookmarkEnd w:id="42"/>
      <w:bookmarkEnd w:id="43"/>
      <w:bookmarkEnd w:id="44"/>
    </w:p>
    <w:p w14:paraId="000000CA" w14:textId="77777777" w:rsidR="00F8269C" w:rsidRDefault="00450D2D">
      <w:pPr>
        <w:jc w:val="both"/>
        <w:rPr>
          <w:sz w:val="22"/>
          <w:szCs w:val="22"/>
        </w:rPr>
      </w:pPr>
      <w:r>
        <w:rPr>
          <w:sz w:val="22"/>
          <w:szCs w:val="22"/>
        </w:rPr>
        <w:t xml:space="preserve">This section describes the methodology used for establishing the backward linkages that exist between the CCI activities and the upstream CCI activities and other non-CCI SIC sectors that </w:t>
      </w:r>
      <w:r>
        <w:rPr>
          <w:sz w:val="22"/>
          <w:szCs w:val="22"/>
        </w:rPr>
        <w:lastRenderedPageBreak/>
        <w:t>supply intermediate inputs to them; and the forward linkages that exist between the CCI activities and the various downstream intermediate and end-users of the CCI products and services produced by them.</w:t>
      </w:r>
    </w:p>
    <w:p w14:paraId="000000CB" w14:textId="77777777" w:rsidR="00F8269C" w:rsidRDefault="00450D2D">
      <w:pPr>
        <w:jc w:val="both"/>
        <w:rPr>
          <w:sz w:val="22"/>
          <w:szCs w:val="22"/>
        </w:rPr>
      </w:pPr>
      <w:r>
        <w:rPr>
          <w:sz w:val="22"/>
          <w:szCs w:val="22"/>
        </w:rPr>
        <w:t>There are two methods for establishing the magnitude of the CCIs, namely</w:t>
      </w:r>
    </w:p>
    <w:p w14:paraId="000000CC" w14:textId="77777777" w:rsidR="00F8269C" w:rsidRDefault="00450D2D">
      <w:pPr>
        <w:numPr>
          <w:ilvl w:val="0"/>
          <w:numId w:val="3"/>
        </w:numPr>
        <w:pBdr>
          <w:top w:val="nil"/>
          <w:left w:val="nil"/>
          <w:bottom w:val="nil"/>
          <w:right w:val="nil"/>
          <w:between w:val="nil"/>
        </w:pBdr>
        <w:spacing w:after="0" w:line="240" w:lineRule="auto"/>
        <w:jc w:val="both"/>
        <w:rPr>
          <w:color w:val="000000"/>
          <w:sz w:val="22"/>
          <w:szCs w:val="22"/>
        </w:rPr>
      </w:pPr>
      <w:r>
        <w:rPr>
          <w:color w:val="000000"/>
          <w:sz w:val="22"/>
          <w:szCs w:val="22"/>
        </w:rPr>
        <w:t>Direct Method, and</w:t>
      </w:r>
    </w:p>
    <w:p w14:paraId="000000CD" w14:textId="77777777" w:rsidR="00F8269C" w:rsidRDefault="00450D2D" w:rsidP="009D3DA2">
      <w:pPr>
        <w:numPr>
          <w:ilvl w:val="0"/>
          <w:numId w:val="3"/>
        </w:numPr>
        <w:pBdr>
          <w:top w:val="nil"/>
          <w:left w:val="nil"/>
          <w:bottom w:val="nil"/>
          <w:right w:val="nil"/>
          <w:between w:val="nil"/>
        </w:pBdr>
        <w:jc w:val="both"/>
        <w:rPr>
          <w:color w:val="000000"/>
          <w:sz w:val="22"/>
          <w:szCs w:val="22"/>
        </w:rPr>
      </w:pPr>
      <w:r>
        <w:rPr>
          <w:color w:val="000000"/>
          <w:sz w:val="22"/>
          <w:szCs w:val="22"/>
        </w:rPr>
        <w:t>Indirect Method.</w:t>
      </w:r>
    </w:p>
    <w:p w14:paraId="000000CF" w14:textId="6E98B8AD" w:rsidR="00F8269C" w:rsidRDefault="00450D2D">
      <w:pPr>
        <w:jc w:val="both"/>
        <w:rPr>
          <w:sz w:val="22"/>
          <w:szCs w:val="22"/>
        </w:rPr>
      </w:pPr>
      <w:r>
        <w:rPr>
          <w:sz w:val="22"/>
          <w:szCs w:val="22"/>
        </w:rPr>
        <w:t xml:space="preserve">The Direct Method involves using the proportion of the production or turnover of each SIC sector as a measure of the magnitude of the CCIs. There are two approaches that can be used in applying the Direct Method. Firstly, where a CCI corresponds directly with a SIC sector, the </w:t>
      </w:r>
      <w:sdt>
        <w:sdtPr>
          <w:tag w:val="goog_rdk_35"/>
          <w:id w:val="-2041346372"/>
        </w:sdtPr>
        <w:sdtEndPr/>
        <w:sdtContent/>
      </w:sdt>
      <w:r>
        <w:rPr>
          <w:sz w:val="22"/>
          <w:szCs w:val="22"/>
        </w:rPr>
        <w:t xml:space="preserve">full amount of the SIC sector’s production can be used as the CCI’s production. In cases where the CCI represents only a portion of the SIC’s production, it is necessary to derive an appropriate portion of the SIC </w:t>
      </w:r>
      <w:sdt>
        <w:sdtPr>
          <w:tag w:val="goog_rdk_36"/>
          <w:id w:val="-1039662087"/>
        </w:sdtPr>
        <w:sdtEndPr/>
        <w:sdtContent/>
      </w:sdt>
      <w:r>
        <w:rPr>
          <w:sz w:val="22"/>
          <w:szCs w:val="22"/>
        </w:rPr>
        <w:t>sector</w:t>
      </w:r>
      <w:r w:rsidR="002A232F">
        <w:rPr>
          <w:sz w:val="22"/>
          <w:szCs w:val="22"/>
        </w:rPr>
        <w:t>’</w:t>
      </w:r>
      <w:r>
        <w:rPr>
          <w:sz w:val="22"/>
          <w:szCs w:val="22"/>
        </w:rPr>
        <w:t>s production by making use of secondary data sources.</w:t>
      </w:r>
    </w:p>
    <w:p w14:paraId="000000D0" w14:textId="77777777" w:rsidR="00F8269C" w:rsidRDefault="00450D2D">
      <w:pPr>
        <w:jc w:val="both"/>
        <w:rPr>
          <w:sz w:val="22"/>
          <w:szCs w:val="22"/>
        </w:rPr>
      </w:pPr>
      <w:r>
        <w:rPr>
          <w:sz w:val="22"/>
          <w:szCs w:val="22"/>
        </w:rPr>
        <w:t>The Indirect Method is used in cases where it is difficult to establish the proportion that a specific CCI represents of a SIC sector. In these cases, it is necessary to establish where the output of the CCI is used as an input to the production process of a SIC sector. Appendix 3 indicates how the Direct and Indirect Methods have been applied in establishing the magnitude of the various CCIs included in the CSA compiled in this study.</w:t>
      </w:r>
    </w:p>
    <w:p w14:paraId="000000D1" w14:textId="77777777" w:rsidR="00F8269C" w:rsidRDefault="00450D2D">
      <w:pPr>
        <w:jc w:val="both"/>
        <w:rPr>
          <w:sz w:val="22"/>
          <w:szCs w:val="22"/>
        </w:rPr>
      </w:pPr>
      <w:r>
        <w:rPr>
          <w:sz w:val="22"/>
          <w:szCs w:val="22"/>
        </w:rPr>
        <w:t>These values are incorporated into an IO</w:t>
      </w:r>
      <w:r>
        <w:rPr>
          <w:b/>
          <w:sz w:val="22"/>
          <w:szCs w:val="22"/>
        </w:rPr>
        <w:t xml:space="preserve"> </w:t>
      </w:r>
      <w:r>
        <w:rPr>
          <w:sz w:val="22"/>
          <w:szCs w:val="22"/>
        </w:rPr>
        <w:t>to estimate the backward and forward linkages of each sector and CCI domain, as well as their value-added components and expenditure.</w:t>
      </w:r>
    </w:p>
    <w:p w14:paraId="000000D2" w14:textId="77777777" w:rsidR="00F8269C" w:rsidRDefault="00450D2D">
      <w:pPr>
        <w:pStyle w:val="Heading3"/>
        <w:numPr>
          <w:ilvl w:val="2"/>
          <w:numId w:val="5"/>
        </w:numPr>
      </w:pPr>
      <w:bookmarkStart w:id="45" w:name="_Toc93842774"/>
      <w:bookmarkStart w:id="46" w:name="_Toc93842960"/>
      <w:bookmarkStart w:id="47" w:name="_Toc93843338"/>
      <w:r>
        <w:t>Structure of the CCI Satellite Account for South Africa</w:t>
      </w:r>
      <w:bookmarkEnd w:id="45"/>
      <w:bookmarkEnd w:id="46"/>
      <w:bookmarkEnd w:id="47"/>
    </w:p>
    <w:p w14:paraId="000000D3" w14:textId="77777777" w:rsidR="00F8269C" w:rsidRDefault="00450D2D">
      <w:pPr>
        <w:jc w:val="both"/>
        <w:rPr>
          <w:sz w:val="22"/>
          <w:szCs w:val="22"/>
        </w:rPr>
      </w:pPr>
      <w:r>
        <w:rPr>
          <w:sz w:val="22"/>
          <w:szCs w:val="22"/>
        </w:rPr>
        <w:t>This report does not include employment (discussed in Chapter 2) or trade (discussed in Chapter 3) (generally, a CSA is concerned mainly with the economic indicators). However, the CSA method generally focuses on:</w:t>
      </w:r>
    </w:p>
    <w:p w14:paraId="000000D4" w14:textId="77777777" w:rsidR="00F8269C" w:rsidRDefault="00450D2D">
      <w:pPr>
        <w:numPr>
          <w:ilvl w:val="0"/>
          <w:numId w:val="17"/>
        </w:numPr>
        <w:pBdr>
          <w:top w:val="nil"/>
          <w:left w:val="nil"/>
          <w:bottom w:val="nil"/>
          <w:right w:val="nil"/>
          <w:between w:val="nil"/>
        </w:pBdr>
        <w:spacing w:after="0"/>
        <w:jc w:val="both"/>
        <w:rPr>
          <w:color w:val="000000"/>
          <w:sz w:val="22"/>
          <w:szCs w:val="22"/>
        </w:rPr>
      </w:pPr>
      <w:r>
        <w:rPr>
          <w:color w:val="000000"/>
          <w:sz w:val="22"/>
          <w:szCs w:val="22"/>
        </w:rPr>
        <w:t>Output or production;</w:t>
      </w:r>
    </w:p>
    <w:p w14:paraId="000000D5" w14:textId="77777777" w:rsidR="00F8269C" w:rsidRDefault="00450D2D">
      <w:pPr>
        <w:numPr>
          <w:ilvl w:val="0"/>
          <w:numId w:val="17"/>
        </w:numPr>
        <w:pBdr>
          <w:top w:val="nil"/>
          <w:left w:val="nil"/>
          <w:bottom w:val="nil"/>
          <w:right w:val="nil"/>
          <w:between w:val="nil"/>
        </w:pBdr>
        <w:spacing w:after="0"/>
        <w:jc w:val="both"/>
        <w:rPr>
          <w:color w:val="000000"/>
          <w:sz w:val="22"/>
          <w:szCs w:val="22"/>
        </w:rPr>
      </w:pPr>
      <w:r>
        <w:rPr>
          <w:color w:val="000000"/>
          <w:sz w:val="22"/>
          <w:szCs w:val="22"/>
        </w:rPr>
        <w:t>Value added, including compensation of employees and gross operating surplus;</w:t>
      </w:r>
    </w:p>
    <w:p w14:paraId="000000D6" w14:textId="77777777" w:rsidR="00F8269C" w:rsidRDefault="00450D2D">
      <w:pPr>
        <w:numPr>
          <w:ilvl w:val="0"/>
          <w:numId w:val="17"/>
        </w:numPr>
        <w:pBdr>
          <w:top w:val="nil"/>
          <w:left w:val="nil"/>
          <w:bottom w:val="nil"/>
          <w:right w:val="nil"/>
          <w:between w:val="nil"/>
        </w:pBdr>
        <w:spacing w:after="0"/>
        <w:jc w:val="both"/>
        <w:rPr>
          <w:color w:val="000000"/>
          <w:sz w:val="22"/>
          <w:szCs w:val="22"/>
        </w:rPr>
      </w:pPr>
      <w:r>
        <w:rPr>
          <w:color w:val="000000"/>
          <w:sz w:val="22"/>
          <w:szCs w:val="22"/>
        </w:rPr>
        <w:t>Employment;</w:t>
      </w:r>
    </w:p>
    <w:p w14:paraId="000000D7" w14:textId="77777777" w:rsidR="00F8269C" w:rsidRDefault="00450D2D">
      <w:pPr>
        <w:numPr>
          <w:ilvl w:val="0"/>
          <w:numId w:val="17"/>
        </w:numPr>
        <w:pBdr>
          <w:top w:val="nil"/>
          <w:left w:val="nil"/>
          <w:bottom w:val="nil"/>
          <w:right w:val="nil"/>
          <w:between w:val="nil"/>
        </w:pBdr>
        <w:spacing w:after="0"/>
        <w:jc w:val="both"/>
        <w:rPr>
          <w:color w:val="000000"/>
          <w:sz w:val="22"/>
          <w:szCs w:val="22"/>
        </w:rPr>
      </w:pPr>
      <w:r>
        <w:rPr>
          <w:color w:val="000000"/>
          <w:sz w:val="22"/>
          <w:szCs w:val="22"/>
        </w:rPr>
        <w:t>Trade, both import and exports; and</w:t>
      </w:r>
    </w:p>
    <w:p w14:paraId="000000D8" w14:textId="77777777" w:rsidR="00F8269C" w:rsidRDefault="00450D2D">
      <w:pPr>
        <w:numPr>
          <w:ilvl w:val="0"/>
          <w:numId w:val="17"/>
        </w:numPr>
        <w:pBdr>
          <w:top w:val="nil"/>
          <w:left w:val="nil"/>
          <w:bottom w:val="nil"/>
          <w:right w:val="nil"/>
          <w:between w:val="nil"/>
        </w:pBdr>
        <w:jc w:val="both"/>
        <w:rPr>
          <w:color w:val="000000"/>
          <w:sz w:val="22"/>
          <w:szCs w:val="22"/>
        </w:rPr>
      </w:pPr>
      <w:r>
        <w:rPr>
          <w:color w:val="000000"/>
          <w:sz w:val="22"/>
          <w:szCs w:val="22"/>
        </w:rPr>
        <w:t>Expenditure.</w:t>
      </w:r>
    </w:p>
    <w:p w14:paraId="000000D9" w14:textId="73F1C725" w:rsidR="00F8269C" w:rsidRDefault="00450D2D">
      <w:pPr>
        <w:jc w:val="both"/>
        <w:rPr>
          <w:sz w:val="22"/>
          <w:szCs w:val="22"/>
        </w:rPr>
      </w:pPr>
      <w:r>
        <w:rPr>
          <w:sz w:val="22"/>
          <w:szCs w:val="22"/>
        </w:rPr>
        <w:t>Many governments across the world have adopted policies and programmes to support the cultural sector (including arts and cultural heritage). However, more governments</w:t>
      </w:r>
      <w:r w:rsidR="002A232F">
        <w:rPr>
          <w:sz w:val="22"/>
          <w:szCs w:val="22"/>
        </w:rPr>
        <w:t xml:space="preserve"> are</w:t>
      </w:r>
      <w:r>
        <w:rPr>
          <w:sz w:val="22"/>
          <w:szCs w:val="22"/>
        </w:rPr>
        <w:t xml:space="preserve"> </w:t>
      </w:r>
      <w:r w:rsidR="002A232F">
        <w:rPr>
          <w:sz w:val="22"/>
          <w:szCs w:val="22"/>
        </w:rPr>
        <w:t xml:space="preserve">realising </w:t>
      </w:r>
      <w:r>
        <w:rPr>
          <w:sz w:val="22"/>
          <w:szCs w:val="22"/>
        </w:rPr>
        <w:t>that to ensure cultural sustainability, projects must be economically viable and should generate economic outcomes such as the development of commercial markets, employment opportunities, and the creation of viable businesses in the broader economy (e.g. cultural tourism, design and advertising). The South African government has promoted culture not only for its own sake (or intrinsic value) but also as for its economic contribution. The Revised White Paper on Arts Cultural and Heritage acknowledges the role of the CCIs and their potential contribution to economic growth, transformation and job creation in South Africa.</w:t>
      </w:r>
    </w:p>
    <w:p w14:paraId="000000DA" w14:textId="77777777" w:rsidR="00F8269C" w:rsidRDefault="00450D2D">
      <w:pPr>
        <w:pStyle w:val="Heading3"/>
        <w:numPr>
          <w:ilvl w:val="2"/>
          <w:numId w:val="5"/>
        </w:numPr>
      </w:pPr>
      <w:bookmarkStart w:id="48" w:name="_Toc93842775"/>
      <w:bookmarkStart w:id="49" w:name="_Toc93842961"/>
      <w:bookmarkStart w:id="50" w:name="_Toc93843339"/>
      <w:r>
        <w:t>Data</w:t>
      </w:r>
      <w:bookmarkEnd w:id="48"/>
      <w:bookmarkEnd w:id="49"/>
      <w:bookmarkEnd w:id="50"/>
    </w:p>
    <w:p w14:paraId="000000DB" w14:textId="77777777" w:rsidR="00F8269C" w:rsidRDefault="00450D2D">
      <w:pPr>
        <w:jc w:val="both"/>
        <w:rPr>
          <w:sz w:val="22"/>
          <w:szCs w:val="22"/>
        </w:rPr>
      </w:pPr>
      <w:r>
        <w:rPr>
          <w:sz w:val="22"/>
          <w:szCs w:val="22"/>
        </w:rPr>
        <w:t>When compiling national accounts (including satellite accounts), it is necessary to understand the purpose for which the accounts are created. Therefore, the scope of the accounts must be clearly defined. The South African national accounts must also comply with the international 2008 SNA that was developed by the UNSC.</w:t>
      </w:r>
    </w:p>
    <w:p w14:paraId="000000DC" w14:textId="6F96F51D" w:rsidR="00F8269C" w:rsidRDefault="00450D2D">
      <w:pPr>
        <w:jc w:val="both"/>
        <w:rPr>
          <w:sz w:val="22"/>
          <w:szCs w:val="22"/>
        </w:rPr>
      </w:pPr>
      <w:r>
        <w:rPr>
          <w:sz w:val="22"/>
          <w:szCs w:val="22"/>
        </w:rPr>
        <w:t xml:space="preserve">The quality of the data </w:t>
      </w:r>
      <w:r w:rsidR="002A232F">
        <w:rPr>
          <w:sz w:val="22"/>
          <w:szCs w:val="22"/>
        </w:rPr>
        <w:t xml:space="preserve">is </w:t>
      </w:r>
      <w:r>
        <w:rPr>
          <w:sz w:val="22"/>
          <w:szCs w:val="22"/>
        </w:rPr>
        <w:t>critical. Much of the data used in the compilation of national accounts is collected from administrative sources such as SARS</w:t>
      </w:r>
      <w:r w:rsidR="009761C1">
        <w:rPr>
          <w:sz w:val="22"/>
          <w:szCs w:val="22"/>
        </w:rPr>
        <w:t>,</w:t>
      </w:r>
      <w:r>
        <w:rPr>
          <w:sz w:val="22"/>
          <w:szCs w:val="22"/>
        </w:rPr>
        <w:t xml:space="preserve"> which includes Customs and Excise. </w:t>
      </w:r>
      <w:r>
        <w:rPr>
          <w:sz w:val="22"/>
          <w:szCs w:val="22"/>
        </w:rPr>
        <w:lastRenderedPageBreak/>
        <w:t>Other data are collected using surveys or censuses. A census is ideal because it collects information for the entire population. Undertaking censuses regularly is too expensive and impractical</w:t>
      </w:r>
      <w:r w:rsidR="009761C1">
        <w:rPr>
          <w:sz w:val="22"/>
          <w:szCs w:val="22"/>
        </w:rPr>
        <w:t>,</w:t>
      </w:r>
      <w:r>
        <w:rPr>
          <w:sz w:val="22"/>
          <w:szCs w:val="22"/>
        </w:rPr>
        <w:t xml:space="preserve"> </w:t>
      </w:r>
      <w:r w:rsidR="009761C1">
        <w:rPr>
          <w:sz w:val="22"/>
          <w:szCs w:val="22"/>
        </w:rPr>
        <w:t>therefore</w:t>
      </w:r>
      <w:r>
        <w:rPr>
          <w:sz w:val="22"/>
          <w:szCs w:val="22"/>
        </w:rPr>
        <w:t xml:space="preserve"> most national statistical offices use surveys. Surveys too are expensive and therefore cannot be done regularly.</w:t>
      </w:r>
    </w:p>
    <w:p w14:paraId="000000DD" w14:textId="7A7847E1" w:rsidR="00F8269C" w:rsidRDefault="00450D2D">
      <w:pPr>
        <w:jc w:val="both"/>
        <w:rPr>
          <w:sz w:val="22"/>
          <w:szCs w:val="22"/>
        </w:rPr>
      </w:pPr>
      <w:r>
        <w:rPr>
          <w:sz w:val="22"/>
          <w:szCs w:val="22"/>
        </w:rPr>
        <w:t>The IO table used is generated by Quantec. This is done because it is based on Stats SA’s IO as well as updated using Stats SA’s Supply and Use Tables and other official data. The primary data sources used in developing the Quantec IO includes:</w:t>
      </w:r>
    </w:p>
    <w:p w14:paraId="000000DE" w14:textId="77777777" w:rsidR="00F8269C" w:rsidRDefault="00450D2D">
      <w:pPr>
        <w:numPr>
          <w:ilvl w:val="0"/>
          <w:numId w:val="15"/>
        </w:numPr>
        <w:pBdr>
          <w:top w:val="nil"/>
          <w:left w:val="nil"/>
          <w:bottom w:val="nil"/>
          <w:right w:val="nil"/>
          <w:between w:val="nil"/>
        </w:pBdr>
        <w:spacing w:after="0"/>
        <w:jc w:val="both"/>
        <w:rPr>
          <w:color w:val="000000"/>
          <w:sz w:val="22"/>
          <w:szCs w:val="22"/>
        </w:rPr>
      </w:pPr>
      <w:r>
        <w:rPr>
          <w:color w:val="000000"/>
          <w:sz w:val="22"/>
          <w:szCs w:val="22"/>
        </w:rPr>
        <w:t>The 2019 Annual Financial Statistics (AFS) report (Statistical Release P0021) published by Stats SA;</w:t>
      </w:r>
    </w:p>
    <w:p w14:paraId="000000DF" w14:textId="77777777" w:rsidR="00F8269C" w:rsidRDefault="00450D2D">
      <w:pPr>
        <w:numPr>
          <w:ilvl w:val="0"/>
          <w:numId w:val="15"/>
        </w:numPr>
        <w:pBdr>
          <w:top w:val="nil"/>
          <w:left w:val="nil"/>
          <w:bottom w:val="nil"/>
          <w:right w:val="nil"/>
          <w:between w:val="nil"/>
        </w:pBdr>
        <w:spacing w:after="0"/>
        <w:jc w:val="both"/>
        <w:rPr>
          <w:color w:val="000000"/>
          <w:sz w:val="22"/>
          <w:szCs w:val="22"/>
        </w:rPr>
      </w:pPr>
      <w:r>
        <w:rPr>
          <w:color w:val="000000"/>
          <w:sz w:val="22"/>
          <w:szCs w:val="22"/>
        </w:rPr>
        <w:t>The Supply and Use Tables, 2014 (Report 04-04-03) published by Stats SA;</w:t>
      </w:r>
    </w:p>
    <w:p w14:paraId="000000E0" w14:textId="77777777" w:rsidR="00F8269C" w:rsidRDefault="00450D2D">
      <w:pPr>
        <w:numPr>
          <w:ilvl w:val="0"/>
          <w:numId w:val="15"/>
        </w:numPr>
        <w:pBdr>
          <w:top w:val="nil"/>
          <w:left w:val="nil"/>
          <w:bottom w:val="nil"/>
          <w:right w:val="nil"/>
          <w:between w:val="nil"/>
        </w:pBdr>
        <w:spacing w:after="0"/>
        <w:jc w:val="both"/>
        <w:rPr>
          <w:color w:val="000000"/>
          <w:sz w:val="22"/>
          <w:szCs w:val="22"/>
        </w:rPr>
      </w:pPr>
      <w:r>
        <w:rPr>
          <w:color w:val="000000"/>
          <w:sz w:val="22"/>
          <w:szCs w:val="22"/>
        </w:rPr>
        <w:t>The Final Social Accounting Matrix, 2011 (Report 04-03-02) published by Stats SA;</w:t>
      </w:r>
    </w:p>
    <w:p w14:paraId="000000E1" w14:textId="77777777" w:rsidR="00F8269C" w:rsidRDefault="00450D2D">
      <w:pPr>
        <w:numPr>
          <w:ilvl w:val="0"/>
          <w:numId w:val="15"/>
        </w:numPr>
        <w:pBdr>
          <w:top w:val="nil"/>
          <w:left w:val="nil"/>
          <w:bottom w:val="nil"/>
          <w:right w:val="nil"/>
          <w:between w:val="nil"/>
        </w:pBdr>
        <w:spacing w:after="0"/>
        <w:jc w:val="both"/>
        <w:rPr>
          <w:color w:val="000000"/>
          <w:sz w:val="22"/>
          <w:szCs w:val="22"/>
        </w:rPr>
      </w:pPr>
      <w:r>
        <w:rPr>
          <w:color w:val="000000"/>
          <w:sz w:val="22"/>
          <w:szCs w:val="22"/>
        </w:rPr>
        <w:t>The Income and Expenditure of Households Survey, published by Stats SA;</w:t>
      </w:r>
    </w:p>
    <w:p w14:paraId="000000E2" w14:textId="2AF99CB5" w:rsidR="00F8269C" w:rsidRDefault="00450D2D">
      <w:pPr>
        <w:numPr>
          <w:ilvl w:val="0"/>
          <w:numId w:val="15"/>
        </w:numPr>
        <w:pBdr>
          <w:top w:val="nil"/>
          <w:left w:val="nil"/>
          <w:bottom w:val="nil"/>
          <w:right w:val="nil"/>
          <w:between w:val="nil"/>
        </w:pBdr>
        <w:spacing w:after="0"/>
        <w:jc w:val="both"/>
        <w:rPr>
          <w:color w:val="000000"/>
          <w:sz w:val="22"/>
          <w:szCs w:val="22"/>
        </w:rPr>
      </w:pPr>
      <w:r>
        <w:rPr>
          <w:color w:val="000000"/>
          <w:sz w:val="22"/>
          <w:szCs w:val="22"/>
        </w:rPr>
        <w:t>The Labour Market Dynamics 2021 (Report No. 02-11-02) published by Stats SA</w:t>
      </w:r>
      <w:r w:rsidR="009761C1">
        <w:rPr>
          <w:color w:val="000000"/>
          <w:sz w:val="22"/>
          <w:szCs w:val="22"/>
        </w:rPr>
        <w:t>;</w:t>
      </w:r>
      <w:r>
        <w:rPr>
          <w:color w:val="000000"/>
          <w:sz w:val="22"/>
          <w:szCs w:val="22"/>
        </w:rPr>
        <w:t xml:space="preserve"> and</w:t>
      </w:r>
    </w:p>
    <w:p w14:paraId="000000E3" w14:textId="73F2D099" w:rsidR="00F8269C" w:rsidRDefault="00450D2D">
      <w:pPr>
        <w:numPr>
          <w:ilvl w:val="0"/>
          <w:numId w:val="15"/>
        </w:numPr>
        <w:pBdr>
          <w:top w:val="nil"/>
          <w:left w:val="nil"/>
          <w:bottom w:val="nil"/>
          <w:right w:val="nil"/>
          <w:between w:val="nil"/>
        </w:pBdr>
        <w:jc w:val="both"/>
        <w:rPr>
          <w:color w:val="000000"/>
          <w:sz w:val="22"/>
          <w:szCs w:val="22"/>
        </w:rPr>
      </w:pPr>
      <w:r>
        <w:rPr>
          <w:color w:val="000000"/>
          <w:sz w:val="22"/>
          <w:szCs w:val="22"/>
        </w:rPr>
        <w:t>The September 2021 Quarterly Bulletin published by the South African Reserve Bank</w:t>
      </w:r>
      <w:r w:rsidR="009761C1">
        <w:rPr>
          <w:color w:val="000000"/>
          <w:sz w:val="22"/>
          <w:szCs w:val="22"/>
        </w:rPr>
        <w:t>.</w:t>
      </w:r>
    </w:p>
    <w:p w14:paraId="000000E4" w14:textId="696932AF" w:rsidR="00F8269C" w:rsidRDefault="00450D2D">
      <w:pPr>
        <w:jc w:val="both"/>
        <w:rPr>
          <w:sz w:val="22"/>
          <w:szCs w:val="22"/>
        </w:rPr>
      </w:pPr>
      <w:r>
        <w:rPr>
          <w:sz w:val="22"/>
          <w:szCs w:val="22"/>
        </w:rPr>
        <w:t>In all cases, data derived from these sources has been adjusted to 2015 prices</w:t>
      </w:r>
      <w:r w:rsidR="009761C1">
        <w:rPr>
          <w:sz w:val="22"/>
          <w:szCs w:val="22"/>
        </w:rPr>
        <w:t>.</w:t>
      </w:r>
    </w:p>
    <w:p w14:paraId="000000E5" w14:textId="77777777" w:rsidR="00F8269C" w:rsidRDefault="00450D2D">
      <w:pPr>
        <w:pStyle w:val="Heading3"/>
        <w:numPr>
          <w:ilvl w:val="2"/>
          <w:numId w:val="5"/>
        </w:numPr>
      </w:pPr>
      <w:bookmarkStart w:id="51" w:name="_Toc93842776"/>
      <w:bookmarkStart w:id="52" w:name="_Toc93842962"/>
      <w:bookmarkStart w:id="53" w:name="_Toc93843340"/>
      <w:r>
        <w:t>Caveats</w:t>
      </w:r>
      <w:bookmarkEnd w:id="51"/>
      <w:bookmarkEnd w:id="52"/>
      <w:bookmarkEnd w:id="53"/>
    </w:p>
    <w:p w14:paraId="000000E6" w14:textId="3B3D663B" w:rsidR="00F8269C" w:rsidRDefault="00450D2D">
      <w:pPr>
        <w:jc w:val="both"/>
        <w:rPr>
          <w:sz w:val="22"/>
          <w:szCs w:val="22"/>
        </w:rPr>
      </w:pPr>
      <w:r>
        <w:rPr>
          <w:sz w:val="22"/>
          <w:szCs w:val="22"/>
        </w:rPr>
        <w:t>Tepper (2002) list</w:t>
      </w:r>
      <w:r w:rsidR="009761C1">
        <w:rPr>
          <w:sz w:val="22"/>
          <w:szCs w:val="22"/>
        </w:rPr>
        <w:t>s</w:t>
      </w:r>
      <w:r>
        <w:rPr>
          <w:sz w:val="22"/>
          <w:szCs w:val="22"/>
        </w:rPr>
        <w:t xml:space="preserve"> some issues which should be considered so as not to skew or impact the valuation of CCIs. These include:</w:t>
      </w:r>
    </w:p>
    <w:p w14:paraId="000000E7" w14:textId="77777777" w:rsidR="00F8269C" w:rsidRDefault="00450D2D">
      <w:pPr>
        <w:numPr>
          <w:ilvl w:val="0"/>
          <w:numId w:val="17"/>
        </w:numPr>
        <w:pBdr>
          <w:top w:val="nil"/>
          <w:left w:val="nil"/>
          <w:bottom w:val="nil"/>
          <w:right w:val="nil"/>
          <w:between w:val="nil"/>
        </w:pBdr>
        <w:spacing w:after="0"/>
        <w:jc w:val="both"/>
        <w:rPr>
          <w:i/>
          <w:color w:val="000000"/>
          <w:sz w:val="22"/>
          <w:szCs w:val="22"/>
        </w:rPr>
      </w:pPr>
      <w:r>
        <w:rPr>
          <w:color w:val="000000"/>
          <w:sz w:val="22"/>
          <w:szCs w:val="22"/>
        </w:rPr>
        <w:t>Accurately defining a cultural segment, to avoid double counting;</w:t>
      </w:r>
    </w:p>
    <w:p w14:paraId="000000E8" w14:textId="44FDA72B" w:rsidR="00F8269C" w:rsidRDefault="00450D2D">
      <w:pPr>
        <w:numPr>
          <w:ilvl w:val="0"/>
          <w:numId w:val="17"/>
        </w:numPr>
        <w:pBdr>
          <w:top w:val="nil"/>
          <w:left w:val="nil"/>
          <w:bottom w:val="nil"/>
          <w:right w:val="nil"/>
          <w:between w:val="nil"/>
        </w:pBdr>
        <w:spacing w:after="0"/>
        <w:jc w:val="both"/>
        <w:rPr>
          <w:i/>
          <w:color w:val="000000"/>
          <w:sz w:val="22"/>
          <w:szCs w:val="22"/>
        </w:rPr>
      </w:pPr>
      <w:r>
        <w:rPr>
          <w:color w:val="000000"/>
          <w:sz w:val="22"/>
          <w:szCs w:val="22"/>
        </w:rPr>
        <w:t>Valuation methods should be constantly applied, so as to not capture the distortion between creation and repeated use; and</w:t>
      </w:r>
    </w:p>
    <w:p w14:paraId="000000E9" w14:textId="77777777" w:rsidR="00F8269C" w:rsidRDefault="00450D2D">
      <w:pPr>
        <w:numPr>
          <w:ilvl w:val="0"/>
          <w:numId w:val="17"/>
        </w:numPr>
        <w:pBdr>
          <w:top w:val="nil"/>
          <w:left w:val="nil"/>
          <w:bottom w:val="nil"/>
          <w:right w:val="nil"/>
          <w:between w:val="nil"/>
        </w:pBdr>
        <w:jc w:val="both"/>
        <w:rPr>
          <w:i/>
          <w:color w:val="000000"/>
          <w:sz w:val="22"/>
          <w:szCs w:val="22"/>
        </w:rPr>
      </w:pPr>
      <w:r>
        <w:rPr>
          <w:color w:val="000000"/>
          <w:sz w:val="22"/>
          <w:szCs w:val="22"/>
        </w:rPr>
        <w:t>Aggregation of sectors could hide sector-specific production activities.</w:t>
      </w:r>
    </w:p>
    <w:p w14:paraId="000000EA" w14:textId="77777777" w:rsidR="00F8269C" w:rsidRDefault="00450D2D">
      <w:pPr>
        <w:jc w:val="both"/>
        <w:rPr>
          <w:sz w:val="22"/>
          <w:szCs w:val="22"/>
        </w:rPr>
      </w:pPr>
      <w:r>
        <w:rPr>
          <w:sz w:val="22"/>
          <w:szCs w:val="22"/>
        </w:rPr>
        <w:t>Producing time-series results that are, at least potentially, internationally comparable, the CSA does not take into account the non-market or intrinsic value of culture.</w:t>
      </w:r>
    </w:p>
    <w:p w14:paraId="000000EB" w14:textId="7397F45E" w:rsidR="00F8269C" w:rsidRDefault="00450D2D">
      <w:pPr>
        <w:jc w:val="both"/>
        <w:rPr>
          <w:sz w:val="22"/>
          <w:szCs w:val="22"/>
        </w:rPr>
      </w:pPr>
      <w:r>
        <w:rPr>
          <w:sz w:val="22"/>
          <w:szCs w:val="22"/>
        </w:rPr>
        <w:t>One disadvantage of the new CCI</w:t>
      </w:r>
      <w:r w:rsidR="00452E55">
        <w:rPr>
          <w:sz w:val="22"/>
          <w:szCs w:val="22"/>
        </w:rPr>
        <w:t xml:space="preserve"> </w:t>
      </w:r>
      <w:r>
        <w:rPr>
          <w:sz w:val="22"/>
          <w:szCs w:val="22"/>
        </w:rPr>
        <w:t xml:space="preserve">IO table described below, is that it does not specifically make provision for the informal sector. Since many CCIs are in the informal sector, this could be a problem if they </w:t>
      </w:r>
      <w:r w:rsidR="009761C1">
        <w:rPr>
          <w:sz w:val="22"/>
          <w:szCs w:val="22"/>
        </w:rPr>
        <w:t xml:space="preserve">are </w:t>
      </w:r>
      <w:r>
        <w:rPr>
          <w:sz w:val="22"/>
          <w:szCs w:val="22"/>
        </w:rPr>
        <w:t>substantially different from the CCIs in the formal sector. It could be possible for the current 85 x 85 South African CCI</w:t>
      </w:r>
      <w:r w:rsidR="00452E55">
        <w:rPr>
          <w:sz w:val="22"/>
          <w:szCs w:val="22"/>
        </w:rPr>
        <w:t xml:space="preserve"> </w:t>
      </w:r>
      <w:r>
        <w:rPr>
          <w:sz w:val="22"/>
          <w:szCs w:val="22"/>
        </w:rPr>
        <w:t>IO to be further split into small, medium, and large enterprises</w:t>
      </w:r>
      <w:r>
        <w:rPr>
          <w:sz w:val="22"/>
          <w:szCs w:val="22"/>
          <w:vertAlign w:val="superscript"/>
        </w:rPr>
        <w:footnoteReference w:id="2"/>
      </w:r>
      <w:r>
        <w:rPr>
          <w:sz w:val="22"/>
          <w:szCs w:val="22"/>
        </w:rPr>
        <w:t xml:space="preserve"> with data from the AFS. Unfortunately, the sectors are not disaggregated enough to do this meaningfully</w:t>
      </w:r>
      <w:r w:rsidR="009761C1">
        <w:rPr>
          <w:sz w:val="22"/>
          <w:szCs w:val="22"/>
        </w:rPr>
        <w:t>.</w:t>
      </w:r>
    </w:p>
    <w:p w14:paraId="000000EC" w14:textId="77777777" w:rsidR="00F8269C" w:rsidRDefault="00450D2D">
      <w:pPr>
        <w:pStyle w:val="Heading2"/>
        <w:numPr>
          <w:ilvl w:val="1"/>
          <w:numId w:val="5"/>
        </w:numPr>
      </w:pPr>
      <w:bookmarkStart w:id="54" w:name="_Toc93842777"/>
      <w:bookmarkStart w:id="55" w:name="_Toc93842963"/>
      <w:bookmarkStart w:id="56" w:name="_Toc93843341"/>
      <w:r>
        <w:t>A South African Cultural Satellite Account</w:t>
      </w:r>
      <w:bookmarkEnd w:id="54"/>
      <w:bookmarkEnd w:id="55"/>
      <w:bookmarkEnd w:id="56"/>
    </w:p>
    <w:p w14:paraId="000000ED" w14:textId="73C1927F" w:rsidR="00F8269C" w:rsidRDefault="00450D2D">
      <w:pPr>
        <w:jc w:val="both"/>
        <w:rPr>
          <w:sz w:val="22"/>
          <w:szCs w:val="22"/>
        </w:rPr>
      </w:pPr>
      <w:r>
        <w:rPr>
          <w:sz w:val="22"/>
          <w:szCs w:val="22"/>
        </w:rPr>
        <w:t>A new South African CCI</w:t>
      </w:r>
      <w:r w:rsidR="00452E55">
        <w:rPr>
          <w:sz w:val="22"/>
          <w:szCs w:val="22"/>
        </w:rPr>
        <w:t xml:space="preserve"> </w:t>
      </w:r>
      <w:r>
        <w:rPr>
          <w:sz w:val="22"/>
          <w:szCs w:val="22"/>
        </w:rPr>
        <w:t>IO table was derived using the methods described above giving an IO table comprising 85 industries with the additional six UNESCO CCI domains.</w:t>
      </w:r>
    </w:p>
    <w:p w14:paraId="000000EE" w14:textId="77777777" w:rsidR="00F8269C" w:rsidRDefault="00450D2D">
      <w:pPr>
        <w:pStyle w:val="Heading3"/>
        <w:numPr>
          <w:ilvl w:val="2"/>
          <w:numId w:val="5"/>
        </w:numPr>
      </w:pPr>
      <w:bookmarkStart w:id="57" w:name="_Toc90191858"/>
      <w:bookmarkStart w:id="58" w:name="_Toc93842778"/>
      <w:bookmarkStart w:id="59" w:name="_Toc93842964"/>
      <w:bookmarkStart w:id="60" w:name="_Toc93843342"/>
      <w:r>
        <w:t>Data Input and Report Generation</w:t>
      </w:r>
      <w:bookmarkEnd w:id="57"/>
      <w:bookmarkEnd w:id="58"/>
      <w:bookmarkEnd w:id="59"/>
      <w:bookmarkEnd w:id="60"/>
    </w:p>
    <w:p w14:paraId="000000EF" w14:textId="77777777" w:rsidR="00F8269C" w:rsidRDefault="00450D2D">
      <w:pPr>
        <w:jc w:val="both"/>
        <w:rPr>
          <w:sz w:val="22"/>
          <w:szCs w:val="22"/>
        </w:rPr>
      </w:pPr>
      <w:r>
        <w:rPr>
          <w:sz w:val="22"/>
          <w:szCs w:val="22"/>
        </w:rPr>
        <w:t>The Macroeconomic Modelling System that was developed for this project includes using MATLAB vR2021a (a programming and numeric computing platform used to analyse data, develop algorithms, and create models) as well as Stata v15 (a general-purpose statistical software package for data manipulation, visualisation, statistics, and automated reporting) and MS Excel. This made it possible to capture project specific programme, construction and operational data. These programs generated the macroeconomic and socioeconomic performance reports. The software used could also undertake sensitivity analysis to ensure that the assumptions used were as accurate as possible.</w:t>
      </w:r>
    </w:p>
    <w:p w14:paraId="000000F0" w14:textId="77777777" w:rsidR="00F8269C" w:rsidRDefault="00450D2D">
      <w:pPr>
        <w:keepNext/>
      </w:pPr>
      <w:r>
        <w:rPr>
          <w:noProof/>
        </w:rPr>
        <w:lastRenderedPageBreak/>
        <w:drawing>
          <wp:inline distT="0" distB="0" distL="0" distR="0" wp14:anchorId="26A1B147" wp14:editId="241AAAB7">
            <wp:extent cx="5370195" cy="3781425"/>
            <wp:effectExtent l="0" t="0" r="0" b="0"/>
            <wp:docPr id="33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5370195" cy="3781425"/>
                    </a:xfrm>
                    <a:prstGeom prst="rect">
                      <a:avLst/>
                    </a:prstGeom>
                    <a:ln/>
                  </pic:spPr>
                </pic:pic>
              </a:graphicData>
            </a:graphic>
          </wp:inline>
        </w:drawing>
      </w:r>
    </w:p>
    <w:p w14:paraId="000000F1" w14:textId="77777777" w:rsidR="00F8269C" w:rsidRDefault="00450D2D">
      <w:pPr>
        <w:pBdr>
          <w:top w:val="nil"/>
          <w:left w:val="nil"/>
          <w:bottom w:val="nil"/>
          <w:right w:val="nil"/>
          <w:between w:val="nil"/>
        </w:pBdr>
        <w:spacing w:after="200" w:line="240" w:lineRule="auto"/>
        <w:rPr>
          <w:i/>
          <w:color w:val="44546A"/>
          <w:sz w:val="18"/>
          <w:szCs w:val="18"/>
        </w:rPr>
      </w:pPr>
      <w:r>
        <w:rPr>
          <w:i/>
          <w:color w:val="44546A"/>
          <w:sz w:val="18"/>
          <w:szCs w:val="18"/>
        </w:rPr>
        <w:t>Figure 4: Schematic of a CCI IO</w:t>
      </w:r>
    </w:p>
    <w:p w14:paraId="000000F2" w14:textId="77777777" w:rsidR="00F8269C" w:rsidRDefault="00450D2D">
      <w:pPr>
        <w:jc w:val="both"/>
        <w:rPr>
          <w:sz w:val="22"/>
          <w:szCs w:val="22"/>
        </w:rPr>
      </w:pPr>
      <w:r>
        <w:rPr>
          <w:sz w:val="22"/>
          <w:szCs w:val="22"/>
        </w:rPr>
        <w:t>Where:</w:t>
      </w:r>
    </w:p>
    <w:p w14:paraId="000000F3" w14:textId="77777777" w:rsidR="00F8269C" w:rsidRDefault="00450D2D">
      <w:pPr>
        <w:numPr>
          <w:ilvl w:val="0"/>
          <w:numId w:val="17"/>
        </w:numPr>
        <w:pBdr>
          <w:top w:val="nil"/>
          <w:left w:val="nil"/>
          <w:bottom w:val="nil"/>
          <w:right w:val="nil"/>
          <w:between w:val="nil"/>
        </w:pBdr>
        <w:spacing w:after="0"/>
        <w:jc w:val="both"/>
        <w:rPr>
          <w:color w:val="000000"/>
          <w:sz w:val="22"/>
          <w:szCs w:val="22"/>
        </w:rPr>
      </w:pPr>
      <w:r>
        <w:rPr>
          <w:color w:val="000000"/>
          <w:sz w:val="22"/>
          <w:szCs w:val="22"/>
        </w:rPr>
        <w:t>HH</w:t>
      </w:r>
      <w:r>
        <w:rPr>
          <w:color w:val="000000"/>
          <w:sz w:val="22"/>
          <w:szCs w:val="22"/>
        </w:rPr>
        <w:tab/>
        <w:t>Household Consumption;</w:t>
      </w:r>
    </w:p>
    <w:p w14:paraId="000000F4" w14:textId="77777777" w:rsidR="00F8269C" w:rsidRDefault="00450D2D">
      <w:pPr>
        <w:numPr>
          <w:ilvl w:val="0"/>
          <w:numId w:val="17"/>
        </w:numPr>
        <w:pBdr>
          <w:top w:val="nil"/>
          <w:left w:val="nil"/>
          <w:bottom w:val="nil"/>
          <w:right w:val="nil"/>
          <w:between w:val="nil"/>
        </w:pBdr>
        <w:spacing w:after="0"/>
        <w:jc w:val="both"/>
        <w:rPr>
          <w:color w:val="000000"/>
          <w:sz w:val="22"/>
          <w:szCs w:val="22"/>
        </w:rPr>
      </w:pPr>
      <w:r>
        <w:rPr>
          <w:color w:val="000000"/>
          <w:sz w:val="22"/>
          <w:szCs w:val="22"/>
        </w:rPr>
        <w:t>G</w:t>
      </w:r>
      <w:r>
        <w:rPr>
          <w:color w:val="000000"/>
          <w:sz w:val="22"/>
          <w:szCs w:val="22"/>
        </w:rPr>
        <w:tab/>
        <w:t>Government Consumption;</w:t>
      </w:r>
    </w:p>
    <w:p w14:paraId="000000F5" w14:textId="77777777" w:rsidR="00F8269C" w:rsidRDefault="00450D2D">
      <w:pPr>
        <w:numPr>
          <w:ilvl w:val="0"/>
          <w:numId w:val="17"/>
        </w:numPr>
        <w:pBdr>
          <w:top w:val="nil"/>
          <w:left w:val="nil"/>
          <w:bottom w:val="nil"/>
          <w:right w:val="nil"/>
          <w:between w:val="nil"/>
        </w:pBdr>
        <w:spacing w:after="0"/>
        <w:jc w:val="both"/>
        <w:rPr>
          <w:color w:val="000000"/>
          <w:sz w:val="22"/>
          <w:szCs w:val="22"/>
        </w:rPr>
      </w:pPr>
      <w:r>
        <w:rPr>
          <w:color w:val="000000"/>
          <w:sz w:val="22"/>
          <w:szCs w:val="22"/>
        </w:rPr>
        <w:t>I</w:t>
      </w:r>
      <w:r>
        <w:rPr>
          <w:color w:val="000000"/>
          <w:sz w:val="22"/>
          <w:szCs w:val="22"/>
        </w:rPr>
        <w:tab/>
        <w:t>Investment;</w:t>
      </w:r>
    </w:p>
    <w:p w14:paraId="000000F6" w14:textId="77777777" w:rsidR="00F8269C" w:rsidRDefault="00450D2D">
      <w:pPr>
        <w:numPr>
          <w:ilvl w:val="0"/>
          <w:numId w:val="17"/>
        </w:numPr>
        <w:pBdr>
          <w:top w:val="nil"/>
          <w:left w:val="nil"/>
          <w:bottom w:val="nil"/>
          <w:right w:val="nil"/>
          <w:between w:val="nil"/>
        </w:pBdr>
        <w:jc w:val="both"/>
        <w:rPr>
          <w:color w:val="000000"/>
          <w:sz w:val="22"/>
          <w:szCs w:val="22"/>
        </w:rPr>
      </w:pPr>
      <w:r>
        <w:rPr>
          <w:color w:val="000000"/>
          <w:sz w:val="22"/>
          <w:szCs w:val="22"/>
        </w:rPr>
        <w:t>X</w:t>
      </w:r>
      <w:r>
        <w:rPr>
          <w:color w:val="000000"/>
          <w:sz w:val="22"/>
          <w:szCs w:val="22"/>
        </w:rPr>
        <w:tab/>
        <w:t>Exports</w:t>
      </w:r>
    </w:p>
    <w:p w14:paraId="000000F7" w14:textId="07E2A46E" w:rsidR="00F8269C" w:rsidRDefault="00450D2D">
      <w:pPr>
        <w:jc w:val="both"/>
        <w:rPr>
          <w:sz w:val="22"/>
          <w:szCs w:val="22"/>
        </w:rPr>
      </w:pPr>
      <w:r>
        <w:rPr>
          <w:sz w:val="22"/>
          <w:szCs w:val="22"/>
        </w:rPr>
        <w:t>CCI-IOs were compiled for each year using the appropriate data for each year from 1993 where possible. Unfortunately, comparable data were not always available before 2010 and therefore the findings from the analysis of the new C</w:t>
      </w:r>
      <w:r w:rsidR="00856A7B">
        <w:rPr>
          <w:sz w:val="22"/>
          <w:szCs w:val="22"/>
        </w:rPr>
        <w:t>C</w:t>
      </w:r>
      <w:r>
        <w:rPr>
          <w:sz w:val="22"/>
          <w:szCs w:val="22"/>
        </w:rPr>
        <w:t>I-IOs are reported below.</w:t>
      </w:r>
    </w:p>
    <w:p w14:paraId="000000F8" w14:textId="0035D8E4" w:rsidR="00F8269C" w:rsidRDefault="00450D2D" w:rsidP="009C0B6A">
      <w:pPr>
        <w:pStyle w:val="Heading3"/>
        <w:numPr>
          <w:ilvl w:val="2"/>
          <w:numId w:val="5"/>
        </w:numPr>
      </w:pPr>
      <w:bookmarkStart w:id="61" w:name="_Toc90191859"/>
      <w:bookmarkStart w:id="62" w:name="_Toc93842779"/>
      <w:bookmarkStart w:id="63" w:name="_Toc93842965"/>
      <w:bookmarkStart w:id="64" w:name="_Toc93843343"/>
      <w:r>
        <w:t>Social Accounting Matrix</w:t>
      </w:r>
      <w:bookmarkEnd w:id="61"/>
      <w:bookmarkEnd w:id="62"/>
      <w:bookmarkEnd w:id="63"/>
      <w:bookmarkEnd w:id="64"/>
    </w:p>
    <w:p w14:paraId="000000F9" w14:textId="4773909C" w:rsidR="00F8269C" w:rsidRDefault="00450D2D" w:rsidP="009D3DA2">
      <w:pPr>
        <w:pBdr>
          <w:top w:val="nil"/>
          <w:left w:val="nil"/>
          <w:bottom w:val="nil"/>
          <w:right w:val="nil"/>
          <w:between w:val="nil"/>
        </w:pBdr>
        <w:jc w:val="both"/>
        <w:rPr>
          <w:color w:val="000000"/>
          <w:sz w:val="22"/>
          <w:szCs w:val="22"/>
        </w:rPr>
      </w:pPr>
      <w:r w:rsidRPr="00316130">
        <w:rPr>
          <w:color w:val="000000"/>
          <w:sz w:val="22"/>
          <w:szCs w:val="22"/>
        </w:rPr>
        <w:t>Stats SA (200</w:t>
      </w:r>
      <w:r w:rsidR="00B95FCB">
        <w:rPr>
          <w:color w:val="000000"/>
          <w:sz w:val="22"/>
          <w:szCs w:val="22"/>
        </w:rPr>
        <w:t>9</w:t>
      </w:r>
      <w:r w:rsidRPr="00316130">
        <w:rPr>
          <w:color w:val="000000"/>
          <w:sz w:val="22"/>
          <w:szCs w:val="22"/>
        </w:rPr>
        <w:t xml:space="preserve">) contends that a </w:t>
      </w:r>
      <w:r w:rsidR="004914E3">
        <w:rPr>
          <w:color w:val="000000"/>
          <w:sz w:val="22"/>
          <w:szCs w:val="22"/>
        </w:rPr>
        <w:t>S</w:t>
      </w:r>
      <w:r w:rsidRPr="00316130">
        <w:rPr>
          <w:color w:val="000000"/>
          <w:sz w:val="22"/>
          <w:szCs w:val="22"/>
        </w:rPr>
        <w:t xml:space="preserve">ocial </w:t>
      </w:r>
      <w:r w:rsidR="004914E3">
        <w:rPr>
          <w:color w:val="000000"/>
          <w:sz w:val="22"/>
          <w:szCs w:val="22"/>
        </w:rPr>
        <w:t>A</w:t>
      </w:r>
      <w:r w:rsidRPr="00316130">
        <w:rPr>
          <w:color w:val="000000"/>
          <w:sz w:val="22"/>
          <w:szCs w:val="22"/>
        </w:rPr>
        <w:t xml:space="preserve">ccounting </w:t>
      </w:r>
      <w:r w:rsidR="004914E3">
        <w:rPr>
          <w:color w:val="000000"/>
          <w:sz w:val="22"/>
          <w:szCs w:val="22"/>
        </w:rPr>
        <w:t>M</w:t>
      </w:r>
      <w:r w:rsidRPr="00316130">
        <w:rPr>
          <w:color w:val="000000"/>
          <w:sz w:val="22"/>
          <w:szCs w:val="22"/>
        </w:rPr>
        <w:t>atrix (SAM) is one of the measurement tools that can be used in determining the success of government strategies and policies</w:t>
      </w:r>
      <w:r>
        <w:rPr>
          <w:color w:val="000000"/>
          <w:sz w:val="22"/>
          <w:szCs w:val="22"/>
        </w:rPr>
        <w:t xml:space="preserve">. A SAM represents flows of all economic transactions that take place within an economy. It can be extended to include other socioeconomic aspects as well. SAMs refer to a single period, usually a year, providing a static picture of the economy. Essentially, it is using the SNA in a matrix format, which elaborates on the linkages between Supply and Use tables (SU-tables) and institutional sector accounts. The SAM </w:t>
      </w:r>
      <w:r w:rsidR="00F82AD1">
        <w:rPr>
          <w:color w:val="000000"/>
          <w:sz w:val="22"/>
          <w:szCs w:val="22"/>
        </w:rPr>
        <w:t>“</w:t>
      </w:r>
      <w:r>
        <w:rPr>
          <w:color w:val="000000"/>
          <w:sz w:val="22"/>
          <w:szCs w:val="22"/>
        </w:rPr>
        <w:t xml:space="preserve">reflects the economic relationship between the sectors of the economy by identifying monetary transactions (expenditure and receipts) between them.” It therefore allows for a study of vital issues that are of a particular interest to </w:t>
      </w:r>
      <w:r w:rsidR="00A04421">
        <w:rPr>
          <w:noProof/>
          <w:sz w:val="22"/>
          <w:szCs w:val="22"/>
        </w:rPr>
        <w:lastRenderedPageBreak/>
        <mc:AlternateContent>
          <mc:Choice Requires="wps">
            <w:drawing>
              <wp:anchor distT="91440" distB="91440" distL="114300" distR="114300" simplePos="0" relativeHeight="251662336" behindDoc="0" locked="0" layoutInCell="1" hidden="0" allowOverlap="1" wp14:anchorId="2E13F19E" wp14:editId="033D7D64">
                <wp:simplePos x="0" y="0"/>
                <wp:positionH relativeFrom="page">
                  <wp:posOffset>3529263</wp:posOffset>
                </wp:positionH>
                <wp:positionV relativeFrom="page">
                  <wp:posOffset>737937</wp:posOffset>
                </wp:positionV>
                <wp:extent cx="3052725" cy="1548063"/>
                <wp:effectExtent l="0" t="0" r="0" b="0"/>
                <wp:wrapSquare wrapText="bothSides" distT="91440" distB="91440" distL="114300" distR="114300"/>
                <wp:docPr id="323" name="Rectangle 323"/>
                <wp:cNvGraphicFramePr/>
                <a:graphic xmlns:a="http://schemas.openxmlformats.org/drawingml/2006/main">
                  <a:graphicData uri="http://schemas.microsoft.com/office/word/2010/wordprocessingShape">
                    <wps:wsp>
                      <wps:cNvSpPr/>
                      <wps:spPr>
                        <a:xfrm>
                          <a:off x="0" y="0"/>
                          <a:ext cx="3052725" cy="1548063"/>
                        </a:xfrm>
                        <a:prstGeom prst="rect">
                          <a:avLst/>
                        </a:prstGeom>
                        <a:noFill/>
                        <a:ln>
                          <a:noFill/>
                        </a:ln>
                      </wps:spPr>
                      <wps:txbx>
                        <w:txbxContent>
                          <w:p w14:paraId="79F135EC" w14:textId="77777777" w:rsidR="00513E3A" w:rsidRDefault="00513E3A">
                            <w:pPr>
                              <w:spacing w:after="0" w:line="258" w:lineRule="auto"/>
                              <w:textDirection w:val="btLr"/>
                              <w:rPr>
                                <w:i/>
                                <w:color w:val="4472C4"/>
                              </w:rPr>
                            </w:pPr>
                          </w:p>
                          <w:p w14:paraId="113F9910" w14:textId="582E0E8E" w:rsidR="00513E3A" w:rsidRDefault="00513E3A">
                            <w:pPr>
                              <w:spacing w:after="0" w:line="258" w:lineRule="auto"/>
                              <w:textDirection w:val="btLr"/>
                            </w:pPr>
                            <w:r>
                              <w:rPr>
                                <w:i/>
                                <w:color w:val="4472C4"/>
                              </w:rPr>
                              <w:t>“Economies are dynamic, shifting and changing over time. New industries rise to dominance while others fade away, consumer tastes wax and wane, and new technologies replace the old. Rebasing and benchmarking exercises ensure that the tools used to measure the economy take these changes into account.”</w:t>
                            </w:r>
                          </w:p>
                          <w:p w14:paraId="4FDFA512" w14:textId="77777777" w:rsidR="00513E3A" w:rsidRDefault="00513E3A">
                            <w:pPr>
                              <w:spacing w:after="0" w:line="258" w:lineRule="auto"/>
                              <w:textDirection w:val="btLr"/>
                            </w:pPr>
                            <w:r>
                              <w:rPr>
                                <w:i/>
                                <w:color w:val="4472C4"/>
                              </w:rPr>
                              <w:t>Statistics South Africa</w:t>
                            </w:r>
                            <w:r>
                              <w:rPr>
                                <w:i/>
                                <w:color w:val="4472C4"/>
                                <w:vertAlign w:val="superscript"/>
                              </w:rPr>
                              <w:t>1</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E13F19E" id="Rectangle 323" o:spid="_x0000_s1060" style="position:absolute;left:0;text-align:left;margin-left:277.9pt;margin-top:58.1pt;width:240.35pt;height:121.9pt;z-index:251662336;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" filled="f" stroked="f">
                <v:textbox inset="2.53958mm,1.2694mm,2.53958mm,1.2694mm">
                  <w:txbxContent>
                    <w:p w14:paraId="79F135EC" w14:textId="77777777" w:rsidR="00513E3A" w:rsidRDefault="00513E3A">
                      <w:pPr>
                        <w:spacing w:after="0" w:line="258" w:lineRule="auto"/>
                        <w:textDirection w:val="btLr"/>
                        <w:rPr>
                          <w:i/>
                          <w:color w:val="4472C4"/>
                        </w:rPr>
                      </w:pPr>
                    </w:p>
                    <w:p w14:paraId="113F9910" w14:textId="582E0E8E" w:rsidR="00513E3A" w:rsidRDefault="00513E3A">
                      <w:pPr>
                        <w:spacing w:after="0" w:line="258" w:lineRule="auto"/>
                        <w:textDirection w:val="btLr"/>
                      </w:pPr>
                      <w:r>
                        <w:rPr>
                          <w:i/>
                          <w:color w:val="4472C4"/>
                        </w:rPr>
                        <w:t>“Economies are dynamic, shifting and changing over time. New industries rise to dominance while others fade away, consumer tastes wax and wane, and new technologies replace the old. Rebasing and benchmarking exercises ensure that the tools used to measure the economy take these changes into account.”</w:t>
                      </w:r>
                    </w:p>
                    <w:p w14:paraId="4FDFA512" w14:textId="77777777" w:rsidR="00513E3A" w:rsidRDefault="00513E3A">
                      <w:pPr>
                        <w:spacing w:after="0" w:line="258" w:lineRule="auto"/>
                        <w:textDirection w:val="btLr"/>
                      </w:pPr>
                      <w:r>
                        <w:rPr>
                          <w:i/>
                          <w:color w:val="4472C4"/>
                        </w:rPr>
                        <w:t>Statistics South Africa</w:t>
                      </w:r>
                      <w:r>
                        <w:rPr>
                          <w:i/>
                          <w:color w:val="4472C4"/>
                          <w:vertAlign w:val="superscript"/>
                        </w:rPr>
                        <w:t>1</w:t>
                      </w:r>
                    </w:p>
                  </w:txbxContent>
                </v:textbox>
                <w10:wrap type="square" anchorx="page" anchory="page"/>
              </v:rect>
            </w:pict>
          </mc:Fallback>
        </mc:AlternateContent>
      </w:r>
      <w:r>
        <w:rPr>
          <w:color w:val="000000"/>
          <w:sz w:val="22"/>
          <w:szCs w:val="22"/>
        </w:rPr>
        <w:t>a country, such as “an analysis of interrelationships between structural features of an economy and the distribution of income and expenditure among household groups” (Stats SA, 2009</w:t>
      </w:r>
      <w:r w:rsidR="00BA3A83">
        <w:rPr>
          <w:color w:val="000000"/>
          <w:sz w:val="22"/>
          <w:szCs w:val="22"/>
        </w:rPr>
        <w:t xml:space="preserve">, p. </w:t>
      </w:r>
      <w:r>
        <w:rPr>
          <w:color w:val="000000"/>
          <w:sz w:val="22"/>
          <w:szCs w:val="22"/>
        </w:rPr>
        <w:t>1).</w:t>
      </w:r>
    </w:p>
    <w:p w14:paraId="000000FA" w14:textId="77777777" w:rsidR="00F8269C" w:rsidRDefault="00450D2D">
      <w:pPr>
        <w:pBdr>
          <w:top w:val="nil"/>
          <w:left w:val="nil"/>
          <w:bottom w:val="nil"/>
          <w:right w:val="nil"/>
          <w:between w:val="nil"/>
        </w:pBdr>
        <w:spacing w:before="120" w:after="120" w:line="276" w:lineRule="auto"/>
        <w:jc w:val="both"/>
        <w:rPr>
          <w:color w:val="000000"/>
          <w:sz w:val="22"/>
          <w:szCs w:val="22"/>
        </w:rPr>
      </w:pPr>
      <w:r>
        <w:rPr>
          <w:color w:val="000000"/>
          <w:sz w:val="22"/>
          <w:szCs w:val="22"/>
        </w:rPr>
        <w:t>It plays an important role in linking data from both social and economic origins. Therefore, the interdependence between a wide spectrum of economic sectors and industries, as well as a wide variety of information about employment, capital, households and population groups is illustrated in the SAM.</w:t>
      </w:r>
    </w:p>
    <w:p w14:paraId="000000FB" w14:textId="0B2112F0" w:rsidR="00F8269C" w:rsidRDefault="00450D2D">
      <w:pPr>
        <w:pBdr>
          <w:top w:val="nil"/>
          <w:left w:val="nil"/>
          <w:bottom w:val="nil"/>
          <w:right w:val="nil"/>
          <w:between w:val="nil"/>
        </w:pBdr>
        <w:spacing w:before="120" w:after="120" w:line="276" w:lineRule="auto"/>
        <w:jc w:val="both"/>
        <w:rPr>
          <w:color w:val="000000"/>
          <w:sz w:val="22"/>
          <w:szCs w:val="22"/>
        </w:rPr>
      </w:pPr>
      <w:r>
        <w:rPr>
          <w:color w:val="000000"/>
          <w:sz w:val="22"/>
          <w:szCs w:val="22"/>
        </w:rPr>
        <w:t xml:space="preserve">In conclusion, a SAM is a square matrix that shows the linkages between the Supply and Use table and the institutional sectors in the economy. </w:t>
      </w:r>
      <w:r w:rsidR="006F234F" w:rsidRPr="006F234F">
        <w:rPr>
          <w:color w:val="000000"/>
          <w:sz w:val="22"/>
          <w:szCs w:val="22"/>
        </w:rPr>
        <w:t>It states the circular flow in the economy from commodities produced by producers through their activities with the available production factors to the linkages with households, enterprises, the government and the rest of the world.</w:t>
      </w:r>
    </w:p>
    <w:p w14:paraId="000000FC" w14:textId="77777777" w:rsidR="00F8269C" w:rsidRDefault="00450D2D">
      <w:pPr>
        <w:pBdr>
          <w:top w:val="nil"/>
          <w:left w:val="nil"/>
          <w:bottom w:val="nil"/>
          <w:right w:val="nil"/>
          <w:between w:val="nil"/>
        </w:pBdr>
        <w:spacing w:before="120" w:after="120" w:line="276" w:lineRule="auto"/>
        <w:jc w:val="both"/>
        <w:rPr>
          <w:color w:val="000000"/>
          <w:sz w:val="22"/>
          <w:szCs w:val="22"/>
        </w:rPr>
      </w:pPr>
      <w:r>
        <w:rPr>
          <w:color w:val="000000"/>
          <w:sz w:val="22"/>
          <w:szCs w:val="22"/>
        </w:rPr>
        <w:t xml:space="preserve">The SAM is </w:t>
      </w:r>
      <w:r>
        <w:rPr>
          <w:i/>
          <w:color w:val="000000"/>
          <w:sz w:val="22"/>
          <w:szCs w:val="22"/>
        </w:rPr>
        <w:t>inter alia</w:t>
      </w:r>
      <w:r>
        <w:rPr>
          <w:color w:val="000000"/>
          <w:sz w:val="22"/>
          <w:szCs w:val="22"/>
        </w:rPr>
        <w:t xml:space="preserve"> updated using the following data sources:</w:t>
      </w:r>
    </w:p>
    <w:p w14:paraId="000000FD" w14:textId="77777777" w:rsidR="00F8269C" w:rsidRDefault="00450D2D">
      <w:pPr>
        <w:numPr>
          <w:ilvl w:val="0"/>
          <w:numId w:val="2"/>
        </w:numPr>
        <w:pBdr>
          <w:top w:val="nil"/>
          <w:left w:val="nil"/>
          <w:bottom w:val="nil"/>
          <w:right w:val="nil"/>
          <w:between w:val="nil"/>
        </w:pBdr>
        <w:tabs>
          <w:tab w:val="left" w:pos="3660"/>
        </w:tabs>
        <w:spacing w:after="0"/>
        <w:jc w:val="both"/>
        <w:rPr>
          <w:color w:val="000000"/>
          <w:sz w:val="22"/>
          <w:szCs w:val="22"/>
        </w:rPr>
      </w:pPr>
      <w:r>
        <w:rPr>
          <w:color w:val="000000"/>
          <w:sz w:val="22"/>
          <w:szCs w:val="22"/>
        </w:rPr>
        <w:t>AFS (Stats SA)</w:t>
      </w:r>
    </w:p>
    <w:p w14:paraId="000000FE" w14:textId="77777777" w:rsidR="00F8269C" w:rsidRDefault="00450D2D">
      <w:pPr>
        <w:numPr>
          <w:ilvl w:val="0"/>
          <w:numId w:val="2"/>
        </w:numPr>
        <w:pBdr>
          <w:top w:val="nil"/>
          <w:left w:val="nil"/>
          <w:bottom w:val="nil"/>
          <w:right w:val="nil"/>
          <w:between w:val="nil"/>
        </w:pBdr>
        <w:tabs>
          <w:tab w:val="left" w:pos="4111"/>
        </w:tabs>
        <w:spacing w:after="0"/>
        <w:jc w:val="both"/>
        <w:rPr>
          <w:color w:val="000000"/>
          <w:sz w:val="22"/>
          <w:szCs w:val="22"/>
        </w:rPr>
      </w:pPr>
      <w:r>
        <w:rPr>
          <w:color w:val="000000"/>
          <w:sz w:val="22"/>
          <w:szCs w:val="22"/>
        </w:rPr>
        <w:t>GDP for detailed industries (Annual; Stats SA)</w:t>
      </w:r>
    </w:p>
    <w:p w14:paraId="000000FF" w14:textId="77777777" w:rsidR="00F8269C" w:rsidRDefault="00450D2D">
      <w:pPr>
        <w:numPr>
          <w:ilvl w:val="0"/>
          <w:numId w:val="2"/>
        </w:numPr>
        <w:pBdr>
          <w:top w:val="nil"/>
          <w:left w:val="nil"/>
          <w:bottom w:val="nil"/>
          <w:right w:val="nil"/>
          <w:between w:val="nil"/>
        </w:pBdr>
        <w:tabs>
          <w:tab w:val="left" w:pos="4111"/>
        </w:tabs>
        <w:spacing w:after="0"/>
        <w:jc w:val="both"/>
        <w:rPr>
          <w:color w:val="000000"/>
          <w:sz w:val="22"/>
          <w:szCs w:val="22"/>
        </w:rPr>
      </w:pPr>
      <w:r>
        <w:rPr>
          <w:color w:val="000000"/>
          <w:sz w:val="22"/>
          <w:szCs w:val="22"/>
        </w:rPr>
        <w:t>GDP / national accounts (Annual;</w:t>
      </w:r>
      <w:r>
        <w:rPr>
          <w:color w:val="000000"/>
          <w:sz w:val="22"/>
          <w:szCs w:val="22"/>
        </w:rPr>
        <w:tab/>
        <w:t>Stats SA, SARB)</w:t>
      </w:r>
    </w:p>
    <w:p w14:paraId="00000100" w14:textId="3CA98EE9" w:rsidR="00F8269C" w:rsidRDefault="00450D2D">
      <w:pPr>
        <w:numPr>
          <w:ilvl w:val="0"/>
          <w:numId w:val="2"/>
        </w:numPr>
        <w:pBdr>
          <w:top w:val="nil"/>
          <w:left w:val="nil"/>
          <w:bottom w:val="nil"/>
          <w:right w:val="nil"/>
          <w:between w:val="nil"/>
        </w:pBdr>
        <w:tabs>
          <w:tab w:val="left" w:pos="4111"/>
        </w:tabs>
        <w:spacing w:after="0"/>
        <w:jc w:val="both"/>
        <w:rPr>
          <w:color w:val="000000"/>
          <w:sz w:val="22"/>
          <w:szCs w:val="22"/>
        </w:rPr>
      </w:pPr>
      <w:r>
        <w:rPr>
          <w:color w:val="000000"/>
          <w:sz w:val="22"/>
          <w:szCs w:val="22"/>
        </w:rPr>
        <w:t>GDP / national accounts (Quarterly; Stats SA, SARB)</w:t>
      </w:r>
    </w:p>
    <w:p w14:paraId="00000101" w14:textId="77777777" w:rsidR="00F8269C" w:rsidRDefault="00450D2D">
      <w:pPr>
        <w:numPr>
          <w:ilvl w:val="0"/>
          <w:numId w:val="2"/>
        </w:numPr>
        <w:pBdr>
          <w:top w:val="nil"/>
          <w:left w:val="nil"/>
          <w:bottom w:val="nil"/>
          <w:right w:val="nil"/>
          <w:between w:val="nil"/>
        </w:pBdr>
        <w:tabs>
          <w:tab w:val="left" w:pos="4111"/>
        </w:tabs>
        <w:spacing w:after="0"/>
        <w:jc w:val="both"/>
        <w:rPr>
          <w:color w:val="000000"/>
          <w:sz w:val="22"/>
          <w:szCs w:val="22"/>
        </w:rPr>
      </w:pPr>
      <w:r>
        <w:rPr>
          <w:color w:val="000000"/>
          <w:sz w:val="22"/>
          <w:szCs w:val="22"/>
        </w:rPr>
        <w:t>Quarterly Employment Statistics (Stats SA)</w:t>
      </w:r>
    </w:p>
    <w:p w14:paraId="00000102" w14:textId="77777777" w:rsidR="00F8269C" w:rsidRDefault="00450D2D">
      <w:pPr>
        <w:numPr>
          <w:ilvl w:val="0"/>
          <w:numId w:val="2"/>
        </w:numPr>
        <w:pBdr>
          <w:top w:val="nil"/>
          <w:left w:val="nil"/>
          <w:bottom w:val="nil"/>
          <w:right w:val="nil"/>
          <w:between w:val="nil"/>
        </w:pBdr>
        <w:tabs>
          <w:tab w:val="left" w:pos="4111"/>
        </w:tabs>
        <w:spacing w:after="0"/>
        <w:jc w:val="both"/>
        <w:rPr>
          <w:color w:val="000000"/>
          <w:sz w:val="22"/>
          <w:szCs w:val="22"/>
        </w:rPr>
      </w:pPr>
      <w:r>
        <w:rPr>
          <w:color w:val="000000"/>
          <w:sz w:val="22"/>
          <w:szCs w:val="22"/>
        </w:rPr>
        <w:t>Quarterly Financial Statistics (Stats SA)</w:t>
      </w:r>
    </w:p>
    <w:p w14:paraId="00000103" w14:textId="77777777" w:rsidR="00F8269C" w:rsidRDefault="00450D2D">
      <w:pPr>
        <w:numPr>
          <w:ilvl w:val="0"/>
          <w:numId w:val="2"/>
        </w:numPr>
        <w:pBdr>
          <w:top w:val="nil"/>
          <w:left w:val="nil"/>
          <w:bottom w:val="nil"/>
          <w:right w:val="nil"/>
          <w:between w:val="nil"/>
        </w:pBdr>
        <w:tabs>
          <w:tab w:val="left" w:pos="4111"/>
        </w:tabs>
        <w:jc w:val="both"/>
        <w:rPr>
          <w:color w:val="000000"/>
          <w:sz w:val="22"/>
          <w:szCs w:val="22"/>
        </w:rPr>
      </w:pPr>
      <w:r>
        <w:rPr>
          <w:color w:val="000000"/>
          <w:sz w:val="22"/>
          <w:szCs w:val="22"/>
        </w:rPr>
        <w:t>Quarterly Labour Force Survey (Stats SA)</w:t>
      </w:r>
    </w:p>
    <w:p w14:paraId="00000104" w14:textId="77777777" w:rsidR="00F8269C" w:rsidRDefault="00450D2D">
      <w:pPr>
        <w:pStyle w:val="Heading2"/>
        <w:numPr>
          <w:ilvl w:val="1"/>
          <w:numId w:val="5"/>
        </w:numPr>
      </w:pPr>
      <w:bookmarkStart w:id="65" w:name="_Toc90191860"/>
      <w:bookmarkStart w:id="66" w:name="_Toc93842780"/>
      <w:bookmarkStart w:id="67" w:name="_Toc93842966"/>
      <w:bookmarkStart w:id="68" w:name="_Toc93843344"/>
      <w:r>
        <w:t>Rebasing of the GDP</w:t>
      </w:r>
      <w:bookmarkEnd w:id="65"/>
      <w:bookmarkEnd w:id="66"/>
      <w:bookmarkEnd w:id="67"/>
      <w:bookmarkEnd w:id="68"/>
    </w:p>
    <w:p w14:paraId="00000105" w14:textId="77777777" w:rsidR="00F8269C" w:rsidRDefault="00450D2D">
      <w:pPr>
        <w:jc w:val="both"/>
        <w:rPr>
          <w:sz w:val="22"/>
          <w:szCs w:val="22"/>
        </w:rPr>
      </w:pPr>
      <w:r>
        <w:rPr>
          <w:sz w:val="22"/>
          <w:szCs w:val="22"/>
        </w:rPr>
        <w:t>The GDP measures the aggregation of the market value of final goods and services produced within a geographic area in a specified period of time. The structure of economies changes over time. Governments validate GDP calculations by rebasing periodically</w:t>
      </w:r>
      <w:r>
        <w:rPr>
          <w:sz w:val="22"/>
          <w:szCs w:val="22"/>
          <w:vertAlign w:val="superscript"/>
        </w:rPr>
        <w:footnoteReference w:id="3"/>
      </w:r>
      <w:r>
        <w:rPr>
          <w:sz w:val="22"/>
          <w:szCs w:val="22"/>
        </w:rPr>
        <w:t>, to reflect these structural changes. The change means that the weight of particular sectors changes in the measurement of GDP.</w:t>
      </w:r>
    </w:p>
    <w:p w14:paraId="00000106" w14:textId="5785E630" w:rsidR="00F8269C" w:rsidRDefault="00450D2D">
      <w:pPr>
        <w:jc w:val="both"/>
        <w:rPr>
          <w:sz w:val="22"/>
          <w:szCs w:val="22"/>
        </w:rPr>
      </w:pPr>
      <w:r>
        <w:rPr>
          <w:sz w:val="22"/>
          <w:szCs w:val="22"/>
        </w:rPr>
        <w:t>Generally, rebasing is the process of replacing</w:t>
      </w:r>
      <w:r w:rsidR="00163C1E">
        <w:rPr>
          <w:sz w:val="22"/>
          <w:szCs w:val="22"/>
        </w:rPr>
        <w:t xml:space="preserve"> the</w:t>
      </w:r>
      <w:r>
        <w:rPr>
          <w:sz w:val="22"/>
          <w:szCs w:val="22"/>
        </w:rPr>
        <w:t xml:space="preserve"> </w:t>
      </w:r>
      <w:sdt>
        <w:sdtPr>
          <w:tag w:val="goog_rdk_37"/>
          <w:id w:val="76402962"/>
        </w:sdtPr>
        <w:sdtEndPr/>
        <w:sdtContent/>
      </w:sdt>
      <w:r>
        <w:rPr>
          <w:sz w:val="22"/>
          <w:szCs w:val="22"/>
        </w:rPr>
        <w:t>present price structure (base year) to compile volume measures of GDP with a new (more recent) base year. If general prices are increasing inflation has to be taken into account and fast technological progress affects prices and compensation. Prices also change because of changes in quality.</w:t>
      </w:r>
    </w:p>
    <w:p w14:paraId="00000107" w14:textId="36EE0BBD" w:rsidR="00F8269C" w:rsidRDefault="00291D28">
      <w:pPr>
        <w:jc w:val="both"/>
        <w:rPr>
          <w:sz w:val="22"/>
          <w:szCs w:val="22"/>
        </w:rPr>
      </w:pPr>
      <w:r>
        <w:rPr>
          <w:sz w:val="22"/>
          <w:szCs w:val="22"/>
        </w:rPr>
        <w:t xml:space="preserve">In </w:t>
      </w:r>
      <w:r w:rsidR="00450D2D">
        <w:rPr>
          <w:sz w:val="22"/>
          <w:szCs w:val="22"/>
        </w:rPr>
        <w:t xml:space="preserve">line with international standards and best practice, </w:t>
      </w:r>
      <w:r>
        <w:rPr>
          <w:sz w:val="22"/>
          <w:szCs w:val="22"/>
        </w:rPr>
        <w:t xml:space="preserve">Stats SA </w:t>
      </w:r>
      <w:r w:rsidR="00450D2D">
        <w:rPr>
          <w:sz w:val="22"/>
          <w:szCs w:val="22"/>
        </w:rPr>
        <w:t xml:space="preserve">rebased and benchmarked the GDP </w:t>
      </w:r>
      <w:r>
        <w:rPr>
          <w:sz w:val="22"/>
          <w:szCs w:val="22"/>
        </w:rPr>
        <w:t xml:space="preserve">in 2021, using 2015 as the base year, </w:t>
      </w:r>
      <w:r w:rsidR="00450D2D">
        <w:rPr>
          <w:sz w:val="22"/>
          <w:szCs w:val="22"/>
        </w:rPr>
        <w:t xml:space="preserve">to ensure that the measurement of the GDP remains reflective of the South African economy and </w:t>
      </w:r>
      <w:r>
        <w:rPr>
          <w:sz w:val="22"/>
          <w:szCs w:val="22"/>
        </w:rPr>
        <w:t xml:space="preserve">is </w:t>
      </w:r>
      <w:r w:rsidR="00450D2D">
        <w:rPr>
          <w:sz w:val="22"/>
          <w:szCs w:val="22"/>
        </w:rPr>
        <w:t>relevant, given structural changes that occur in the economy over time</w:t>
      </w:r>
      <w:r>
        <w:rPr>
          <w:sz w:val="22"/>
          <w:szCs w:val="22"/>
        </w:rPr>
        <w:t xml:space="preserve">. </w:t>
      </w:r>
      <w:r w:rsidR="00450D2D">
        <w:rPr>
          <w:sz w:val="22"/>
          <w:szCs w:val="22"/>
        </w:rPr>
        <w:t>Before the latest rebasing, Stats SA and other agencies were using 2010 prices to get the real South African GDP.</w:t>
      </w:r>
    </w:p>
    <w:p w14:paraId="00000108" w14:textId="77777777" w:rsidR="00F8269C" w:rsidRDefault="00450D2D">
      <w:pPr>
        <w:jc w:val="both"/>
        <w:rPr>
          <w:sz w:val="22"/>
          <w:szCs w:val="22"/>
        </w:rPr>
      </w:pPr>
      <w:r>
        <w:rPr>
          <w:sz w:val="22"/>
          <w:szCs w:val="22"/>
        </w:rPr>
        <w:t xml:space="preserve">The rebasing provided an opportunity to incorporate new data sources and to refine the methodologies used, including an improved method of classifying economic activity on both the production (supply) and expenditure (demand) sides of the economy. As a result of the rebasing, the revised GDP at current prices the economy is 11.0% larger in 2020 than previously estimated. In the 10 years between 2011 and 2020, the percentage difference </w:t>
      </w:r>
      <w:r>
        <w:rPr>
          <w:sz w:val="22"/>
          <w:szCs w:val="22"/>
        </w:rPr>
        <w:lastRenderedPageBreak/>
        <w:t>between the previous and revised levels averaged 9.6%, and ranged between 8.6% in 2014 and 11.0% in 2020 (Stats SA, 2021). The annual growth rate for 2020 was revised from -7.0% to -6.4%.</w:t>
      </w:r>
    </w:p>
    <w:p w14:paraId="00000109" w14:textId="7FACF551" w:rsidR="00F8269C" w:rsidRDefault="00450D2D">
      <w:pPr>
        <w:jc w:val="both"/>
        <w:rPr>
          <w:sz w:val="22"/>
          <w:szCs w:val="22"/>
        </w:rPr>
      </w:pPr>
      <w:r>
        <w:rPr>
          <w:sz w:val="22"/>
          <w:szCs w:val="22"/>
        </w:rPr>
        <w:t xml:space="preserve">As a result of the rebasing, Personal Services, that includes many CCI subsectors, has shown a dramatic increase </w:t>
      </w:r>
      <w:r w:rsidR="00AF19EE">
        <w:rPr>
          <w:sz w:val="22"/>
          <w:szCs w:val="22"/>
        </w:rPr>
        <w:t xml:space="preserve">as </w:t>
      </w:r>
      <w:r>
        <w:rPr>
          <w:sz w:val="22"/>
          <w:szCs w:val="22"/>
        </w:rPr>
        <w:t>shown in Figure 5.</w:t>
      </w:r>
    </w:p>
    <w:p w14:paraId="0000010A" w14:textId="77777777" w:rsidR="00F8269C" w:rsidRDefault="00450D2D">
      <w:pPr>
        <w:keepNext/>
      </w:pPr>
      <w:r>
        <w:rPr>
          <w:noProof/>
        </w:rPr>
        <w:drawing>
          <wp:inline distT="0" distB="0" distL="0" distR="0" wp14:anchorId="178A4A63" wp14:editId="2F5487C4">
            <wp:extent cx="5731510" cy="2710180"/>
            <wp:effectExtent l="0" t="0" r="0" b="0"/>
            <wp:docPr id="33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731510" cy="2710180"/>
                    </a:xfrm>
                    <a:prstGeom prst="rect">
                      <a:avLst/>
                    </a:prstGeom>
                    <a:ln/>
                  </pic:spPr>
                </pic:pic>
              </a:graphicData>
            </a:graphic>
          </wp:inline>
        </w:drawing>
      </w:r>
    </w:p>
    <w:p w14:paraId="0000010B" w14:textId="77777777" w:rsidR="00F8269C" w:rsidRDefault="00450D2D">
      <w:pPr>
        <w:pBdr>
          <w:top w:val="nil"/>
          <w:left w:val="nil"/>
          <w:bottom w:val="nil"/>
          <w:right w:val="nil"/>
          <w:between w:val="nil"/>
        </w:pBdr>
        <w:spacing w:after="200" w:line="240" w:lineRule="auto"/>
        <w:rPr>
          <w:i/>
          <w:color w:val="44546A"/>
          <w:sz w:val="18"/>
          <w:szCs w:val="18"/>
        </w:rPr>
      </w:pPr>
      <w:r>
        <w:rPr>
          <w:i/>
          <w:color w:val="44546A"/>
          <w:sz w:val="18"/>
          <w:szCs w:val="18"/>
        </w:rPr>
        <w:t>Figure 5: Components of value added in 2015 base year</w:t>
      </w:r>
    </w:p>
    <w:p w14:paraId="0000010C" w14:textId="77777777" w:rsidR="00F8269C" w:rsidRPr="009D3DA2" w:rsidRDefault="00450D2D">
      <w:pPr>
        <w:rPr>
          <w:sz w:val="18"/>
          <w:szCs w:val="18"/>
        </w:rPr>
      </w:pPr>
      <w:r w:rsidRPr="009D3DA2">
        <w:rPr>
          <w:sz w:val="18"/>
          <w:szCs w:val="18"/>
        </w:rPr>
        <w:t>Source: Stats SA (2021)</w:t>
      </w:r>
    </w:p>
    <w:p w14:paraId="0000010D" w14:textId="77777777" w:rsidR="00F8269C" w:rsidRPr="009D3DA2" w:rsidRDefault="00450D2D" w:rsidP="00316130">
      <w:pPr>
        <w:jc w:val="both"/>
        <w:rPr>
          <w:sz w:val="22"/>
          <w:szCs w:val="22"/>
        </w:rPr>
      </w:pPr>
      <w:r w:rsidRPr="00316130">
        <w:rPr>
          <w:sz w:val="22"/>
          <w:szCs w:val="22"/>
        </w:rPr>
        <w:t xml:space="preserve">Clearly, the </w:t>
      </w:r>
      <w:r w:rsidRPr="009D3DA2">
        <w:rPr>
          <w:sz w:val="22"/>
          <w:szCs w:val="22"/>
        </w:rPr>
        <w:t xml:space="preserve">changes in the production of GDP expenditure on GDP (supply side) must reflect the expenditure (demand) side. The most noteworthy revision in the 2015 base year is household final consumption expenditure. Household final consumption expenditure is estimated to be 16% higher. According to </w:t>
      </w:r>
      <w:r w:rsidRPr="00316130">
        <w:rPr>
          <w:sz w:val="22"/>
          <w:szCs w:val="22"/>
        </w:rPr>
        <w:t>Stats SA (2021) “[t]</w:t>
      </w:r>
      <w:r w:rsidRPr="009D3DA2">
        <w:rPr>
          <w:sz w:val="22"/>
          <w:szCs w:val="22"/>
        </w:rPr>
        <w:t>he three categories of household expenditure contributing the most to this increase are recreation and culture; restaurants and hotels; and miscellaneous goods and services.”</w:t>
      </w:r>
    </w:p>
    <w:p w14:paraId="0000010E" w14:textId="77777777" w:rsidR="00F8269C" w:rsidRDefault="00450D2D">
      <w:pPr>
        <w:pStyle w:val="Heading1"/>
        <w:numPr>
          <w:ilvl w:val="0"/>
          <w:numId w:val="5"/>
        </w:numPr>
      </w:pPr>
      <w:bookmarkStart w:id="69" w:name="_Hlk92291179"/>
      <w:bookmarkStart w:id="70" w:name="_Toc93842781"/>
      <w:bookmarkStart w:id="71" w:name="_Toc93842967"/>
      <w:bookmarkStart w:id="72" w:name="_Toc93843345"/>
      <w:r>
        <w:t>The Magnitude of the Cultural and Creative Industries</w:t>
      </w:r>
      <w:bookmarkEnd w:id="69"/>
      <w:r>
        <w:rPr>
          <w:vertAlign w:val="superscript"/>
        </w:rPr>
        <w:footnoteReference w:id="4"/>
      </w:r>
      <w:bookmarkEnd w:id="70"/>
      <w:bookmarkEnd w:id="71"/>
      <w:bookmarkEnd w:id="72"/>
    </w:p>
    <w:p w14:paraId="0000010F" w14:textId="5A7FF5A0" w:rsidR="00F8269C" w:rsidRDefault="00450D2D">
      <w:pPr>
        <w:rPr>
          <w:sz w:val="22"/>
          <w:szCs w:val="22"/>
        </w:rPr>
      </w:pPr>
      <w:bookmarkStart w:id="73" w:name="_Hlk92351843"/>
      <w:r>
        <w:rPr>
          <w:sz w:val="22"/>
          <w:szCs w:val="22"/>
        </w:rPr>
        <w:t>Using the SAM and CCI</w:t>
      </w:r>
      <w:r w:rsidR="00452E55">
        <w:rPr>
          <w:sz w:val="22"/>
          <w:szCs w:val="22"/>
        </w:rPr>
        <w:t xml:space="preserve"> </w:t>
      </w:r>
      <w:r>
        <w:rPr>
          <w:sz w:val="22"/>
          <w:szCs w:val="22"/>
        </w:rPr>
        <w:t>IO the following CCI variable</w:t>
      </w:r>
      <w:r w:rsidR="003C59F8">
        <w:rPr>
          <w:sz w:val="22"/>
          <w:szCs w:val="22"/>
        </w:rPr>
        <w:t>s</w:t>
      </w:r>
      <w:r>
        <w:rPr>
          <w:sz w:val="22"/>
          <w:szCs w:val="22"/>
        </w:rPr>
        <w:t xml:space="preserve"> were estimated:</w:t>
      </w:r>
    </w:p>
    <w:p w14:paraId="00000110" w14:textId="77777777" w:rsidR="00F8269C" w:rsidRDefault="00450D2D" w:rsidP="009D3DA2">
      <w:pPr>
        <w:pStyle w:val="Numberlist"/>
        <w:numPr>
          <w:ilvl w:val="0"/>
          <w:numId w:val="20"/>
        </w:numPr>
        <w:rPr>
          <w:color w:val="000000"/>
          <w:sz w:val="22"/>
          <w:szCs w:val="22"/>
        </w:rPr>
      </w:pPr>
      <w:r>
        <w:rPr>
          <w:color w:val="000000"/>
          <w:sz w:val="22"/>
          <w:szCs w:val="22"/>
        </w:rPr>
        <w:t>GVA of CCIs;</w:t>
      </w:r>
    </w:p>
    <w:p w14:paraId="00000111" w14:textId="77777777" w:rsidR="00F8269C" w:rsidRDefault="00450D2D" w:rsidP="009D3DA2">
      <w:pPr>
        <w:pStyle w:val="Numberlist"/>
        <w:numPr>
          <w:ilvl w:val="0"/>
          <w:numId w:val="20"/>
        </w:numPr>
        <w:rPr>
          <w:color w:val="000000"/>
          <w:sz w:val="22"/>
          <w:szCs w:val="22"/>
        </w:rPr>
      </w:pPr>
      <w:r>
        <w:rPr>
          <w:color w:val="000000"/>
          <w:sz w:val="22"/>
          <w:szCs w:val="22"/>
        </w:rPr>
        <w:t>Size of the CCI domains;</w:t>
      </w:r>
    </w:p>
    <w:p w14:paraId="00000112" w14:textId="093E1606" w:rsidR="00F8269C" w:rsidRDefault="00450D2D" w:rsidP="009D3DA2">
      <w:pPr>
        <w:pStyle w:val="Numberlist"/>
        <w:numPr>
          <w:ilvl w:val="0"/>
          <w:numId w:val="20"/>
        </w:numPr>
        <w:rPr>
          <w:color w:val="000000"/>
          <w:sz w:val="22"/>
          <w:szCs w:val="22"/>
        </w:rPr>
      </w:pPr>
      <w:r>
        <w:rPr>
          <w:color w:val="000000"/>
          <w:sz w:val="22"/>
          <w:szCs w:val="22"/>
        </w:rPr>
        <w:t>Historic performance of CCI domains</w:t>
      </w:r>
      <w:r w:rsidR="00DE2590">
        <w:rPr>
          <w:color w:val="000000"/>
          <w:sz w:val="22"/>
          <w:szCs w:val="22"/>
        </w:rPr>
        <w:t>;</w:t>
      </w:r>
    </w:p>
    <w:p w14:paraId="00000113" w14:textId="22FDA61A" w:rsidR="00F8269C" w:rsidRDefault="00450D2D" w:rsidP="009D3DA2">
      <w:pPr>
        <w:pStyle w:val="Numberlist"/>
        <w:numPr>
          <w:ilvl w:val="0"/>
          <w:numId w:val="20"/>
        </w:numPr>
        <w:rPr>
          <w:color w:val="000000"/>
          <w:sz w:val="22"/>
          <w:szCs w:val="22"/>
        </w:rPr>
      </w:pPr>
      <w:r>
        <w:rPr>
          <w:color w:val="000000"/>
          <w:sz w:val="22"/>
          <w:szCs w:val="22"/>
        </w:rPr>
        <w:t>Total output or sales (intermediate output + final output) of CCIs at basic prices</w:t>
      </w:r>
      <w:r w:rsidR="00DE2590">
        <w:rPr>
          <w:color w:val="000000"/>
          <w:sz w:val="22"/>
          <w:szCs w:val="22"/>
        </w:rPr>
        <w:t>;</w:t>
      </w:r>
    </w:p>
    <w:p w14:paraId="00000114" w14:textId="77777777" w:rsidR="00F8269C" w:rsidRDefault="00450D2D" w:rsidP="009D3DA2">
      <w:pPr>
        <w:pStyle w:val="Numberlist"/>
        <w:numPr>
          <w:ilvl w:val="0"/>
          <w:numId w:val="20"/>
        </w:numPr>
        <w:rPr>
          <w:color w:val="000000"/>
          <w:sz w:val="22"/>
          <w:szCs w:val="22"/>
        </w:rPr>
      </w:pPr>
      <w:r>
        <w:rPr>
          <w:color w:val="000000"/>
          <w:sz w:val="22"/>
          <w:szCs w:val="22"/>
        </w:rPr>
        <w:t>Factors of production – Capital;</w:t>
      </w:r>
    </w:p>
    <w:p w14:paraId="00000115" w14:textId="20514BA7" w:rsidR="00F8269C" w:rsidRDefault="00450D2D" w:rsidP="009D3DA2">
      <w:pPr>
        <w:pStyle w:val="Numberlist"/>
        <w:numPr>
          <w:ilvl w:val="0"/>
          <w:numId w:val="20"/>
        </w:numPr>
        <w:rPr>
          <w:color w:val="000000"/>
          <w:sz w:val="22"/>
          <w:szCs w:val="22"/>
        </w:rPr>
      </w:pPr>
      <w:r>
        <w:rPr>
          <w:color w:val="000000"/>
          <w:sz w:val="22"/>
          <w:szCs w:val="22"/>
        </w:rPr>
        <w:t xml:space="preserve">Factors of production </w:t>
      </w:r>
      <w:r w:rsidR="00DE2590">
        <w:rPr>
          <w:color w:val="000000"/>
          <w:sz w:val="22"/>
          <w:szCs w:val="22"/>
        </w:rPr>
        <w:t>–</w:t>
      </w:r>
      <w:r>
        <w:rPr>
          <w:color w:val="000000"/>
          <w:sz w:val="22"/>
          <w:szCs w:val="22"/>
        </w:rPr>
        <w:t xml:space="preserve"> Labour;</w:t>
      </w:r>
    </w:p>
    <w:p w14:paraId="00000116" w14:textId="2AF7DBC5" w:rsidR="00F8269C" w:rsidRDefault="00450D2D" w:rsidP="009D3DA2">
      <w:pPr>
        <w:pStyle w:val="Numberlist"/>
        <w:numPr>
          <w:ilvl w:val="0"/>
          <w:numId w:val="20"/>
        </w:numPr>
        <w:rPr>
          <w:color w:val="000000"/>
          <w:sz w:val="22"/>
          <w:szCs w:val="22"/>
        </w:rPr>
      </w:pPr>
      <w:r>
        <w:rPr>
          <w:color w:val="000000"/>
          <w:sz w:val="22"/>
          <w:szCs w:val="22"/>
        </w:rPr>
        <w:t>Gini Coefficient;</w:t>
      </w:r>
      <w:r w:rsidR="00DE2590">
        <w:rPr>
          <w:color w:val="000000"/>
          <w:sz w:val="22"/>
          <w:szCs w:val="22"/>
        </w:rPr>
        <w:t xml:space="preserve"> and</w:t>
      </w:r>
    </w:p>
    <w:p w14:paraId="00000117" w14:textId="5A29F59A" w:rsidR="00F8269C" w:rsidRDefault="00450D2D" w:rsidP="009D3DA2">
      <w:pPr>
        <w:pStyle w:val="Numberlist"/>
        <w:numPr>
          <w:ilvl w:val="0"/>
          <w:numId w:val="20"/>
        </w:numPr>
        <w:rPr>
          <w:color w:val="000000"/>
          <w:sz w:val="22"/>
          <w:szCs w:val="22"/>
        </w:rPr>
      </w:pPr>
      <w:r>
        <w:rPr>
          <w:color w:val="000000"/>
          <w:sz w:val="22"/>
          <w:szCs w:val="22"/>
        </w:rPr>
        <w:t>Multipliers</w:t>
      </w:r>
      <w:r w:rsidR="00DE2590">
        <w:rPr>
          <w:color w:val="000000"/>
          <w:sz w:val="22"/>
          <w:szCs w:val="22"/>
        </w:rPr>
        <w:t>.</w:t>
      </w:r>
    </w:p>
    <w:p w14:paraId="00000118" w14:textId="77777777" w:rsidR="00F8269C" w:rsidRDefault="00450D2D">
      <w:pPr>
        <w:pStyle w:val="Heading2"/>
        <w:numPr>
          <w:ilvl w:val="1"/>
          <w:numId w:val="5"/>
        </w:numPr>
      </w:pPr>
      <w:bookmarkStart w:id="74" w:name="_Toc93842782"/>
      <w:bookmarkStart w:id="75" w:name="_Toc93842968"/>
      <w:bookmarkStart w:id="76" w:name="_Toc93843346"/>
      <w:bookmarkEnd w:id="73"/>
      <w:r>
        <w:lastRenderedPageBreak/>
        <w:t>Gross Value Added</w:t>
      </w:r>
      <w:bookmarkEnd w:id="74"/>
      <w:bookmarkEnd w:id="75"/>
      <w:bookmarkEnd w:id="76"/>
    </w:p>
    <w:p w14:paraId="00000119" w14:textId="3C0689F0" w:rsidR="00F8269C" w:rsidRDefault="00450D2D" w:rsidP="009D3DA2">
      <w:pPr>
        <w:pBdr>
          <w:top w:val="nil"/>
          <w:left w:val="nil"/>
          <w:bottom w:val="nil"/>
          <w:right w:val="nil"/>
          <w:between w:val="nil"/>
        </w:pBdr>
        <w:jc w:val="both"/>
        <w:rPr>
          <w:color w:val="000000"/>
          <w:sz w:val="22"/>
          <w:szCs w:val="22"/>
        </w:rPr>
      </w:pPr>
      <w:r>
        <w:rPr>
          <w:color w:val="000000"/>
          <w:sz w:val="22"/>
          <w:szCs w:val="22"/>
        </w:rPr>
        <w:t xml:space="preserve">This current study has determined that in 2020 (using the new 2015 rebasing prices discussed above), </w:t>
      </w:r>
      <w:r w:rsidRPr="004B7F36">
        <w:rPr>
          <w:color w:val="000000"/>
          <w:sz w:val="22"/>
          <w:szCs w:val="22"/>
        </w:rPr>
        <w:t>the total GVA</w:t>
      </w:r>
      <w:r w:rsidRPr="004B7F36">
        <w:rPr>
          <w:color w:val="000000"/>
          <w:sz w:val="22"/>
          <w:szCs w:val="22"/>
          <w:vertAlign w:val="superscript"/>
        </w:rPr>
        <w:footnoteReference w:id="5"/>
      </w:r>
      <w:r w:rsidRPr="004B7F36">
        <w:rPr>
          <w:color w:val="000000"/>
          <w:sz w:val="22"/>
          <w:szCs w:val="22"/>
        </w:rPr>
        <w:t xml:space="preserve"> at real (2015=100) Basic Prices</w:t>
      </w:r>
      <w:r w:rsidRPr="004B7F36">
        <w:rPr>
          <w:color w:val="000000"/>
          <w:sz w:val="22"/>
          <w:szCs w:val="22"/>
          <w:vertAlign w:val="superscript"/>
        </w:rPr>
        <w:footnoteReference w:id="6"/>
      </w:r>
      <w:r w:rsidRPr="004B7F36">
        <w:rPr>
          <w:color w:val="000000"/>
          <w:sz w:val="22"/>
          <w:szCs w:val="22"/>
        </w:rPr>
        <w:t xml:space="preserve"> of the CCI is R119 billion (or R161 billion if measured in nominal terms).</w:t>
      </w:r>
      <w:r>
        <w:rPr>
          <w:color w:val="000000"/>
          <w:sz w:val="22"/>
          <w:szCs w:val="22"/>
        </w:rPr>
        <w:t xml:space="preserve"> This represents just under 3% of South Africa’s total GVA in 2020. This is approximately the same size </w:t>
      </w:r>
      <w:r w:rsidR="001B154E">
        <w:rPr>
          <w:color w:val="000000"/>
          <w:sz w:val="22"/>
          <w:szCs w:val="22"/>
        </w:rPr>
        <w:t xml:space="preserve">as </w:t>
      </w:r>
      <w:r>
        <w:rPr>
          <w:color w:val="000000"/>
          <w:sz w:val="22"/>
          <w:szCs w:val="22"/>
        </w:rPr>
        <w:t>agriculture</w:t>
      </w:r>
      <w:r>
        <w:rPr>
          <w:color w:val="000000"/>
          <w:sz w:val="22"/>
          <w:szCs w:val="22"/>
          <w:vertAlign w:val="superscript"/>
        </w:rPr>
        <w:footnoteReference w:id="7"/>
      </w:r>
      <w:r>
        <w:rPr>
          <w:color w:val="000000"/>
          <w:sz w:val="22"/>
          <w:szCs w:val="22"/>
        </w:rPr>
        <w:t>.</w:t>
      </w:r>
    </w:p>
    <w:p w14:paraId="0000011A" w14:textId="6762D75E" w:rsidR="00F8269C" w:rsidRDefault="00450D2D" w:rsidP="009D3DA2">
      <w:pPr>
        <w:pBdr>
          <w:top w:val="nil"/>
          <w:left w:val="nil"/>
          <w:bottom w:val="nil"/>
          <w:right w:val="nil"/>
          <w:between w:val="nil"/>
        </w:pBdr>
        <w:jc w:val="both"/>
        <w:rPr>
          <w:color w:val="000000"/>
          <w:sz w:val="22"/>
          <w:szCs w:val="22"/>
        </w:rPr>
      </w:pPr>
      <w:r>
        <w:rPr>
          <w:color w:val="000000"/>
          <w:sz w:val="22"/>
          <w:szCs w:val="22"/>
        </w:rPr>
        <w:t xml:space="preserve">SACO’s 2020 Mapping Study estimated the CCI contribution to the South African economy at </w:t>
      </w:r>
      <w:bookmarkStart w:id="77" w:name="_Hlk92292022"/>
      <w:r>
        <w:rPr>
          <w:color w:val="000000"/>
          <w:sz w:val="22"/>
          <w:szCs w:val="22"/>
        </w:rPr>
        <w:t>R74</w:t>
      </w:r>
      <w:r w:rsidR="004B7F36">
        <w:rPr>
          <w:color w:val="000000"/>
          <w:sz w:val="22"/>
          <w:szCs w:val="22"/>
        </w:rPr>
        <w:t>.</w:t>
      </w:r>
      <w:r>
        <w:rPr>
          <w:color w:val="000000"/>
          <w:sz w:val="22"/>
          <w:szCs w:val="22"/>
        </w:rPr>
        <w:t xml:space="preserve">4 billion </w:t>
      </w:r>
      <w:bookmarkEnd w:id="77"/>
      <w:r>
        <w:rPr>
          <w:color w:val="000000"/>
          <w:sz w:val="22"/>
          <w:szCs w:val="22"/>
        </w:rPr>
        <w:t xml:space="preserve">(at 2018 prices). However, in 2021, Stats SA and the SARB rebased the economy from 2010 to 2015 prices (which is done every 5 years). During this exercise, not only was the economy estimated to be larger than previously thought </w:t>
      </w:r>
      <w:r w:rsidR="00DE2590">
        <w:rPr>
          <w:color w:val="000000"/>
          <w:sz w:val="22"/>
          <w:szCs w:val="22"/>
        </w:rPr>
        <w:t>(</w:t>
      </w:r>
      <w:r>
        <w:rPr>
          <w:color w:val="000000"/>
          <w:sz w:val="22"/>
          <w:szCs w:val="22"/>
        </w:rPr>
        <w:t xml:space="preserve">by 11%), but the size of the various sectors were re-estimated. The Personal Services Sector, </w:t>
      </w:r>
      <w:r w:rsidR="00163C1E">
        <w:rPr>
          <w:color w:val="000000"/>
          <w:sz w:val="22"/>
          <w:szCs w:val="22"/>
        </w:rPr>
        <w:t>which</w:t>
      </w:r>
      <w:r>
        <w:rPr>
          <w:color w:val="000000"/>
          <w:sz w:val="22"/>
          <w:szCs w:val="22"/>
        </w:rPr>
        <w:t xml:space="preserve"> includes many of the CCI domains, grew by R439 billion. The recreation subsector grew by an additional R25 million. It is therefore not unexpected that the new estimates are substantially higher than those estimated in the previous studies.</w:t>
      </w:r>
    </w:p>
    <w:p w14:paraId="0000011B" w14:textId="55ED2C1B" w:rsidR="00F8269C" w:rsidRDefault="00450D2D" w:rsidP="009D3DA2">
      <w:pPr>
        <w:pBdr>
          <w:top w:val="nil"/>
          <w:left w:val="nil"/>
          <w:bottom w:val="nil"/>
          <w:right w:val="nil"/>
          <w:between w:val="nil"/>
        </w:pBdr>
        <w:jc w:val="both"/>
        <w:rPr>
          <w:color w:val="000000"/>
          <w:sz w:val="22"/>
          <w:szCs w:val="22"/>
        </w:rPr>
      </w:pPr>
      <w:r>
        <w:rPr>
          <w:color w:val="000000"/>
          <w:sz w:val="22"/>
          <w:szCs w:val="22"/>
        </w:rPr>
        <w:t>Based on both the CCI SAM and the CCI IO</w:t>
      </w:r>
      <w:r w:rsidR="00DE2590">
        <w:rPr>
          <w:color w:val="000000"/>
          <w:sz w:val="22"/>
          <w:szCs w:val="22"/>
        </w:rPr>
        <w:t>,</w:t>
      </w:r>
      <w:r>
        <w:rPr>
          <w:color w:val="000000"/>
          <w:sz w:val="22"/>
          <w:szCs w:val="22"/>
        </w:rPr>
        <w:t xml:space="preserve"> as well as using the average wages paid per sector per skill level</w:t>
      </w:r>
      <w:r w:rsidR="00DE2590">
        <w:rPr>
          <w:color w:val="000000"/>
          <w:sz w:val="22"/>
          <w:szCs w:val="22"/>
        </w:rPr>
        <w:t>,</w:t>
      </w:r>
      <w:r>
        <w:rPr>
          <w:color w:val="000000"/>
          <w:sz w:val="22"/>
          <w:szCs w:val="22"/>
        </w:rPr>
        <w:t xml:space="preserve"> an estimated 573 000 people (including formal and informal jobs) were employed directly in the CCIs, constituting about </w:t>
      </w:r>
      <w:bookmarkStart w:id="78" w:name="_Hlk92292039"/>
      <w:r>
        <w:rPr>
          <w:color w:val="000000"/>
          <w:sz w:val="22"/>
          <w:szCs w:val="22"/>
        </w:rPr>
        <w:t xml:space="preserve">3.95% </w:t>
      </w:r>
      <w:bookmarkEnd w:id="78"/>
      <w:r>
        <w:rPr>
          <w:color w:val="000000"/>
          <w:sz w:val="22"/>
          <w:szCs w:val="22"/>
        </w:rPr>
        <w:t xml:space="preserve">of total employment in South Africa in 2020. This does not include employees in creative occupations </w:t>
      </w:r>
      <w:r w:rsidR="001B154E">
        <w:rPr>
          <w:color w:val="000000"/>
          <w:sz w:val="22"/>
          <w:szCs w:val="22"/>
        </w:rPr>
        <w:t xml:space="preserve">who </w:t>
      </w:r>
      <w:r>
        <w:rPr>
          <w:color w:val="000000"/>
          <w:sz w:val="22"/>
          <w:szCs w:val="22"/>
        </w:rPr>
        <w:t>work in other industries. The breakdown per skill level is included in Table 1.</w:t>
      </w:r>
    </w:p>
    <w:p w14:paraId="0000011C" w14:textId="77777777" w:rsidR="00F8269C" w:rsidRDefault="00450D2D">
      <w:pPr>
        <w:keepNext/>
        <w:pBdr>
          <w:top w:val="nil"/>
          <w:left w:val="nil"/>
          <w:bottom w:val="nil"/>
          <w:right w:val="nil"/>
          <w:between w:val="nil"/>
        </w:pBdr>
        <w:spacing w:after="200" w:line="240" w:lineRule="auto"/>
        <w:rPr>
          <w:i/>
          <w:color w:val="44546A"/>
          <w:sz w:val="18"/>
          <w:szCs w:val="18"/>
        </w:rPr>
      </w:pPr>
      <w:r>
        <w:rPr>
          <w:i/>
          <w:color w:val="44546A"/>
          <w:sz w:val="18"/>
          <w:szCs w:val="18"/>
        </w:rPr>
        <w:t>Table 1: Wages and employment numbers in 2020 at current prices</w:t>
      </w:r>
    </w:p>
    <w:tbl>
      <w:tblPr>
        <w:tblStyle w:val="a0"/>
        <w:tblW w:w="609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E0" w:firstRow="1" w:lastRow="1" w:firstColumn="1" w:lastColumn="0" w:noHBand="0" w:noVBand="1"/>
      </w:tblPr>
      <w:tblGrid>
        <w:gridCol w:w="1879"/>
        <w:gridCol w:w="2084"/>
        <w:gridCol w:w="2127"/>
      </w:tblGrid>
      <w:tr w:rsidR="00F8269C" w14:paraId="3DDD67D5" w14:textId="77777777" w:rsidTr="00F8269C">
        <w:trPr>
          <w:cnfStyle w:val="100000000000" w:firstRow="1" w:lastRow="0" w:firstColumn="0" w:lastColumn="0" w:oddVBand="0" w:evenVBand="0" w:oddHBand="0"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1880" w:type="dxa"/>
          </w:tcPr>
          <w:p w14:paraId="0000011D" w14:textId="77777777" w:rsidR="00F8269C" w:rsidRDefault="00F8269C" w:rsidP="009D3DA2">
            <w:pPr>
              <w:spacing w:before="60" w:after="60"/>
              <w:rPr>
                <w:sz w:val="18"/>
                <w:szCs w:val="18"/>
              </w:rPr>
            </w:pPr>
          </w:p>
        </w:tc>
        <w:tc>
          <w:tcPr>
            <w:tcW w:w="2084" w:type="dxa"/>
          </w:tcPr>
          <w:p w14:paraId="0000011E" w14:textId="77777777" w:rsidR="00F8269C"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Total CCI wages earned per skill level (Rand million: Current prices)</w:t>
            </w:r>
          </w:p>
        </w:tc>
        <w:tc>
          <w:tcPr>
            <w:tcW w:w="2127" w:type="dxa"/>
          </w:tcPr>
          <w:p w14:paraId="0000011F" w14:textId="34955E2B" w:rsidR="00F8269C"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Estimate</w:t>
            </w:r>
            <w:r w:rsidR="0017295B">
              <w:rPr>
                <w:sz w:val="18"/>
                <w:szCs w:val="18"/>
              </w:rPr>
              <w:t>d</w:t>
            </w:r>
            <w:r>
              <w:rPr>
                <w:sz w:val="18"/>
                <w:szCs w:val="18"/>
              </w:rPr>
              <w:t xml:space="preserve"> number of workers per skill level in CCI domains</w:t>
            </w:r>
          </w:p>
        </w:tc>
      </w:tr>
      <w:tr w:rsidR="00F8269C" w14:paraId="71E52055" w14:textId="77777777" w:rsidTr="009D3DA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120" w14:textId="77777777" w:rsidR="00F8269C" w:rsidRDefault="00450D2D" w:rsidP="009D3DA2">
            <w:pPr>
              <w:spacing w:before="60" w:after="60"/>
              <w:rPr>
                <w:sz w:val="18"/>
                <w:szCs w:val="18"/>
              </w:rPr>
            </w:pPr>
            <w:r>
              <w:rPr>
                <w:sz w:val="18"/>
                <w:szCs w:val="18"/>
              </w:rPr>
              <w:t>High-skilled labour</w:t>
            </w:r>
          </w:p>
        </w:tc>
        <w:tc>
          <w:tcPr>
            <w:tcW w:w="0" w:type="dxa"/>
            <w:noWrap/>
            <w:tcMar>
              <w:right w:w="794" w:type="dxa"/>
            </w:tcMar>
            <w:vAlign w:val="center"/>
          </w:tcPr>
          <w:p w14:paraId="00000121"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8"/>
                <w:szCs w:val="18"/>
              </w:rPr>
            </w:pPr>
            <w:r>
              <w:rPr>
                <w:sz w:val="18"/>
                <w:szCs w:val="18"/>
              </w:rPr>
              <w:t xml:space="preserve"> R31 000 </w:t>
            </w:r>
          </w:p>
        </w:tc>
        <w:tc>
          <w:tcPr>
            <w:tcW w:w="0" w:type="dxa"/>
            <w:tcMar>
              <w:right w:w="794" w:type="dxa"/>
            </w:tcMar>
            <w:vAlign w:val="center"/>
          </w:tcPr>
          <w:p w14:paraId="00000122"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8"/>
                <w:szCs w:val="18"/>
              </w:rPr>
            </w:pPr>
            <w:r>
              <w:rPr>
                <w:sz w:val="18"/>
                <w:szCs w:val="18"/>
              </w:rPr>
              <w:t xml:space="preserve"> 189 000</w:t>
            </w:r>
          </w:p>
        </w:tc>
      </w:tr>
      <w:tr w:rsidR="00F8269C" w14:paraId="7E16416E" w14:textId="77777777" w:rsidTr="009D3DA2">
        <w:trPr>
          <w:trHeight w:val="318"/>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123" w14:textId="77777777" w:rsidR="00F8269C" w:rsidRDefault="00450D2D" w:rsidP="009D3DA2">
            <w:pPr>
              <w:spacing w:before="60" w:after="60"/>
              <w:rPr>
                <w:sz w:val="18"/>
                <w:szCs w:val="18"/>
              </w:rPr>
            </w:pPr>
            <w:r>
              <w:rPr>
                <w:sz w:val="18"/>
                <w:szCs w:val="18"/>
              </w:rPr>
              <w:t>Skilled labour</w:t>
            </w:r>
          </w:p>
        </w:tc>
        <w:tc>
          <w:tcPr>
            <w:tcW w:w="0" w:type="dxa"/>
            <w:noWrap/>
            <w:tcMar>
              <w:right w:w="794" w:type="dxa"/>
            </w:tcMar>
            <w:vAlign w:val="center"/>
          </w:tcPr>
          <w:p w14:paraId="00000124"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sz w:val="18"/>
                <w:szCs w:val="18"/>
              </w:rPr>
              <w:t xml:space="preserve"> R20 000 </w:t>
            </w:r>
          </w:p>
        </w:tc>
        <w:tc>
          <w:tcPr>
            <w:tcW w:w="0" w:type="dxa"/>
            <w:tcMar>
              <w:right w:w="794" w:type="dxa"/>
            </w:tcMar>
            <w:vAlign w:val="center"/>
          </w:tcPr>
          <w:p w14:paraId="00000125"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sz w:val="18"/>
                <w:szCs w:val="18"/>
              </w:rPr>
              <w:t xml:space="preserve"> 208 000</w:t>
            </w:r>
          </w:p>
        </w:tc>
      </w:tr>
      <w:tr w:rsidR="00F8269C" w14:paraId="36D9102C" w14:textId="77777777" w:rsidTr="009D3DA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126" w14:textId="77777777" w:rsidR="00F8269C" w:rsidRDefault="00450D2D" w:rsidP="009D3DA2">
            <w:pPr>
              <w:spacing w:before="60" w:after="60"/>
              <w:rPr>
                <w:sz w:val="18"/>
                <w:szCs w:val="18"/>
              </w:rPr>
            </w:pPr>
            <w:r>
              <w:rPr>
                <w:sz w:val="18"/>
                <w:szCs w:val="18"/>
              </w:rPr>
              <w:t>Low-skilled labour</w:t>
            </w:r>
          </w:p>
        </w:tc>
        <w:tc>
          <w:tcPr>
            <w:tcW w:w="0" w:type="dxa"/>
            <w:noWrap/>
            <w:tcMar>
              <w:right w:w="794" w:type="dxa"/>
            </w:tcMar>
            <w:vAlign w:val="center"/>
          </w:tcPr>
          <w:p w14:paraId="00000127"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8"/>
                <w:szCs w:val="18"/>
              </w:rPr>
            </w:pPr>
            <w:r>
              <w:rPr>
                <w:sz w:val="18"/>
                <w:szCs w:val="18"/>
              </w:rPr>
              <w:t xml:space="preserve"> R4 500 </w:t>
            </w:r>
          </w:p>
        </w:tc>
        <w:tc>
          <w:tcPr>
            <w:tcW w:w="0" w:type="dxa"/>
            <w:tcMar>
              <w:right w:w="794" w:type="dxa"/>
            </w:tcMar>
            <w:vAlign w:val="center"/>
          </w:tcPr>
          <w:p w14:paraId="00000128"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8"/>
                <w:szCs w:val="18"/>
              </w:rPr>
            </w:pPr>
            <w:r>
              <w:rPr>
                <w:sz w:val="18"/>
                <w:szCs w:val="18"/>
              </w:rPr>
              <w:t xml:space="preserve"> 62 000 </w:t>
            </w:r>
          </w:p>
        </w:tc>
      </w:tr>
      <w:tr w:rsidR="00F8269C" w14:paraId="404E4186" w14:textId="77777777" w:rsidTr="009D3DA2">
        <w:trPr>
          <w:trHeight w:val="318"/>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129" w14:textId="77777777" w:rsidR="00F8269C" w:rsidRDefault="00450D2D" w:rsidP="009D3DA2">
            <w:pPr>
              <w:spacing w:before="60" w:after="60"/>
              <w:rPr>
                <w:sz w:val="18"/>
                <w:szCs w:val="18"/>
              </w:rPr>
            </w:pPr>
            <w:r>
              <w:rPr>
                <w:sz w:val="18"/>
                <w:szCs w:val="18"/>
              </w:rPr>
              <w:t>Informal labour</w:t>
            </w:r>
          </w:p>
        </w:tc>
        <w:tc>
          <w:tcPr>
            <w:tcW w:w="0" w:type="dxa"/>
            <w:noWrap/>
            <w:tcMar>
              <w:right w:w="794" w:type="dxa"/>
            </w:tcMar>
            <w:vAlign w:val="center"/>
          </w:tcPr>
          <w:p w14:paraId="0000012A"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sz w:val="18"/>
                <w:szCs w:val="18"/>
              </w:rPr>
              <w:t xml:space="preserve"> R4 000 </w:t>
            </w:r>
          </w:p>
        </w:tc>
        <w:tc>
          <w:tcPr>
            <w:tcW w:w="0" w:type="dxa"/>
            <w:tcMar>
              <w:right w:w="794" w:type="dxa"/>
            </w:tcMar>
            <w:vAlign w:val="center"/>
          </w:tcPr>
          <w:p w14:paraId="0000012B"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sz w:val="18"/>
                <w:szCs w:val="18"/>
              </w:rPr>
              <w:t xml:space="preserve"> 114 000 </w:t>
            </w:r>
          </w:p>
        </w:tc>
      </w:tr>
      <w:tr w:rsidR="00F8269C" w14:paraId="15348DD8" w14:textId="77777777" w:rsidTr="009D3DA2">
        <w:trPr>
          <w:cnfStyle w:val="010000000000" w:firstRow="0" w:lastRow="1"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12C" w14:textId="77777777" w:rsidR="00F8269C" w:rsidRDefault="00F8269C" w:rsidP="009D3DA2">
            <w:pPr>
              <w:spacing w:before="60" w:after="60"/>
              <w:rPr>
                <w:color w:val="000000"/>
                <w:sz w:val="18"/>
                <w:szCs w:val="18"/>
              </w:rPr>
            </w:pPr>
          </w:p>
        </w:tc>
        <w:tc>
          <w:tcPr>
            <w:tcW w:w="0" w:type="dxa"/>
            <w:noWrap/>
            <w:tcMar>
              <w:right w:w="794" w:type="dxa"/>
            </w:tcMar>
            <w:vAlign w:val="center"/>
          </w:tcPr>
          <w:p w14:paraId="0000012D" w14:textId="06C1E46C" w:rsidR="00F8269C" w:rsidRDefault="00450D2D" w:rsidP="009D3DA2">
            <w:pPr>
              <w:spacing w:before="60" w:after="60"/>
              <w:jc w:val="right"/>
              <w:cnfStyle w:val="010000000000" w:firstRow="0" w:lastRow="1" w:firstColumn="0" w:lastColumn="0" w:oddVBand="0" w:evenVBand="0" w:oddHBand="0" w:evenHBand="0" w:firstRowFirstColumn="0" w:firstRowLastColumn="0" w:lastRowFirstColumn="0" w:lastRowLastColumn="0"/>
              <w:rPr>
                <w:sz w:val="18"/>
                <w:szCs w:val="18"/>
              </w:rPr>
            </w:pPr>
            <w:r>
              <w:rPr>
                <w:sz w:val="18"/>
                <w:szCs w:val="18"/>
              </w:rPr>
              <w:t xml:space="preserve"> R59 500</w:t>
            </w:r>
          </w:p>
        </w:tc>
        <w:tc>
          <w:tcPr>
            <w:tcW w:w="0" w:type="dxa"/>
            <w:tcMar>
              <w:right w:w="794" w:type="dxa"/>
            </w:tcMar>
            <w:vAlign w:val="center"/>
          </w:tcPr>
          <w:p w14:paraId="0000012E" w14:textId="736A6DCF" w:rsidR="00F8269C" w:rsidRDefault="00450D2D" w:rsidP="009D3DA2">
            <w:pPr>
              <w:spacing w:before="60" w:after="60"/>
              <w:jc w:val="right"/>
              <w:cnfStyle w:val="010000000000" w:firstRow="0" w:lastRow="1" w:firstColumn="0" w:lastColumn="0" w:oddVBand="0" w:evenVBand="0" w:oddHBand="0" w:evenHBand="0" w:firstRowFirstColumn="0" w:firstRowLastColumn="0" w:lastRowFirstColumn="0" w:lastRowLastColumn="0"/>
              <w:rPr>
                <w:sz w:val="18"/>
                <w:szCs w:val="18"/>
              </w:rPr>
            </w:pPr>
            <w:r>
              <w:rPr>
                <w:sz w:val="18"/>
                <w:szCs w:val="18"/>
              </w:rPr>
              <w:t xml:space="preserve">  573 000</w:t>
            </w:r>
          </w:p>
        </w:tc>
      </w:tr>
    </w:tbl>
    <w:p w14:paraId="0000012F" w14:textId="028570C5" w:rsidR="00F8269C" w:rsidRDefault="00450D2D">
      <w:pPr>
        <w:pBdr>
          <w:top w:val="nil"/>
          <w:left w:val="nil"/>
          <w:bottom w:val="nil"/>
          <w:right w:val="nil"/>
          <w:between w:val="nil"/>
        </w:pBdr>
        <w:spacing w:before="120" w:after="120" w:line="276" w:lineRule="auto"/>
        <w:jc w:val="both"/>
        <w:rPr>
          <w:color w:val="000000"/>
          <w:sz w:val="22"/>
          <w:szCs w:val="22"/>
        </w:rPr>
      </w:pPr>
      <w:r>
        <w:rPr>
          <w:color w:val="000000"/>
          <w:sz w:val="22"/>
          <w:szCs w:val="22"/>
        </w:rPr>
        <w:t>Highly skilled workers make up approximately a third of CCI employment. Although it is always difficult to estimate the number of informal workers, the CCI SAM and the CCI IO estimate that there were 14 000</w:t>
      </w:r>
      <w:r w:rsidR="001B154E">
        <w:rPr>
          <w:color w:val="000000"/>
          <w:sz w:val="22"/>
          <w:szCs w:val="22"/>
        </w:rPr>
        <w:t>,</w:t>
      </w:r>
      <w:r>
        <w:rPr>
          <w:color w:val="000000"/>
          <w:sz w:val="22"/>
          <w:szCs w:val="22"/>
        </w:rPr>
        <w:t xml:space="preserve"> which makes up approximately 20% of the CCI workforce.</w:t>
      </w:r>
    </w:p>
    <w:p w14:paraId="00000130" w14:textId="77777777" w:rsidR="00F8269C" w:rsidRDefault="00450D2D">
      <w:pPr>
        <w:keepNext/>
        <w:pBdr>
          <w:top w:val="nil"/>
          <w:left w:val="nil"/>
          <w:bottom w:val="nil"/>
          <w:right w:val="nil"/>
          <w:between w:val="nil"/>
        </w:pBdr>
        <w:spacing w:before="120" w:after="120" w:line="276" w:lineRule="auto"/>
        <w:jc w:val="both"/>
        <w:rPr>
          <w:color w:val="000000"/>
        </w:rPr>
      </w:pPr>
      <w:r>
        <w:rPr>
          <w:noProof/>
          <w:color w:val="000000"/>
        </w:rPr>
        <w:lastRenderedPageBreak/>
        <w:drawing>
          <wp:inline distT="0" distB="0" distL="0" distR="0" wp14:anchorId="58E92ED6" wp14:editId="04B6B045">
            <wp:extent cx="6650375" cy="3765100"/>
            <wp:effectExtent l="0" t="0" r="0" b="0"/>
            <wp:docPr id="33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6650375" cy="3765100"/>
                    </a:xfrm>
                    <a:prstGeom prst="rect">
                      <a:avLst/>
                    </a:prstGeom>
                    <a:ln/>
                  </pic:spPr>
                </pic:pic>
              </a:graphicData>
            </a:graphic>
          </wp:inline>
        </w:drawing>
      </w:r>
    </w:p>
    <w:p w14:paraId="00000131" w14:textId="5764CA31" w:rsidR="00F8269C" w:rsidRDefault="00450D2D">
      <w:pPr>
        <w:pBdr>
          <w:top w:val="nil"/>
          <w:left w:val="nil"/>
          <w:bottom w:val="nil"/>
          <w:right w:val="nil"/>
          <w:between w:val="nil"/>
        </w:pBdr>
        <w:spacing w:after="200" w:line="240" w:lineRule="auto"/>
        <w:jc w:val="both"/>
        <w:rPr>
          <w:i/>
          <w:color w:val="44546A"/>
          <w:sz w:val="18"/>
          <w:szCs w:val="18"/>
        </w:rPr>
      </w:pPr>
      <w:r>
        <w:rPr>
          <w:i/>
          <w:color w:val="44546A"/>
          <w:sz w:val="18"/>
          <w:szCs w:val="18"/>
        </w:rPr>
        <w:t>Figure 6: GVA Contribution per CCI Domain (at current 2020 prices)</w:t>
      </w:r>
    </w:p>
    <w:p w14:paraId="00000133" w14:textId="61E6A10A" w:rsidR="00F8269C" w:rsidRDefault="00450D2D" w:rsidP="009D3DA2">
      <w:pPr>
        <w:keepNext/>
        <w:pBdr>
          <w:top w:val="nil"/>
          <w:left w:val="nil"/>
          <w:bottom w:val="nil"/>
          <w:right w:val="nil"/>
          <w:between w:val="nil"/>
        </w:pBdr>
        <w:jc w:val="both"/>
        <w:rPr>
          <w:color w:val="000000"/>
          <w:sz w:val="22"/>
          <w:szCs w:val="22"/>
        </w:rPr>
      </w:pPr>
      <w:r>
        <w:rPr>
          <w:color w:val="000000"/>
          <w:sz w:val="22"/>
          <w:szCs w:val="22"/>
        </w:rPr>
        <w:t>As found in previous mapping studies, the largest domains in terms of contribution to GDP are Design and Creative Services (R51 billion in 2020, 32% of the contribution to GDP), and Audio-Visual and Interactive Media (</w:t>
      </w:r>
      <w:bookmarkStart w:id="79" w:name="_Hlk92292103"/>
      <w:r>
        <w:rPr>
          <w:color w:val="000000"/>
          <w:sz w:val="22"/>
          <w:szCs w:val="22"/>
        </w:rPr>
        <w:t xml:space="preserve">R48.4 billion </w:t>
      </w:r>
      <w:bookmarkEnd w:id="79"/>
      <w:r>
        <w:rPr>
          <w:color w:val="000000"/>
          <w:sz w:val="22"/>
          <w:szCs w:val="22"/>
        </w:rPr>
        <w:t>in 2020, 30% of the contribution to GDP). The dominance of these domains</w:t>
      </w:r>
      <w:r w:rsidR="00163C1E">
        <w:rPr>
          <w:color w:val="000000"/>
          <w:sz w:val="22"/>
          <w:szCs w:val="22"/>
        </w:rPr>
        <w:t xml:space="preserve"> is</w:t>
      </w:r>
      <w:r>
        <w:rPr>
          <w:color w:val="000000"/>
          <w:sz w:val="22"/>
          <w:szCs w:val="22"/>
        </w:rPr>
        <w:t xml:space="preserve"> </w:t>
      </w:r>
      <w:sdt>
        <w:sdtPr>
          <w:tag w:val="goog_rdk_40"/>
          <w:id w:val="435021436"/>
        </w:sdtPr>
        <w:sdtEndPr/>
        <w:sdtContent/>
      </w:sdt>
      <w:r>
        <w:rPr>
          <w:color w:val="000000"/>
          <w:sz w:val="22"/>
          <w:szCs w:val="22"/>
        </w:rPr>
        <w:t>expected, since they involve the commercial application of cultural and creative content, such as in film and television, video games, fashion design, architecture and advertising.</w:t>
      </w:r>
    </w:p>
    <w:p w14:paraId="00000134" w14:textId="77777777" w:rsidR="00F8269C" w:rsidRDefault="00450D2D" w:rsidP="009D3DA2">
      <w:pPr>
        <w:keepNext/>
        <w:pBdr>
          <w:top w:val="nil"/>
          <w:left w:val="nil"/>
          <w:bottom w:val="nil"/>
          <w:right w:val="nil"/>
          <w:between w:val="nil"/>
        </w:pBdr>
        <w:jc w:val="both"/>
        <w:rPr>
          <w:color w:val="000000"/>
          <w:sz w:val="22"/>
          <w:szCs w:val="22"/>
        </w:rPr>
      </w:pPr>
      <w:r>
        <w:rPr>
          <w:color w:val="000000"/>
          <w:sz w:val="22"/>
          <w:szCs w:val="22"/>
        </w:rPr>
        <w:t>The next largest domain is Visual Arts and Crafts (R23.4 billion in 2020, 15% of the contribution to GDP), and Books and Press (R21.5 billion in 2020, 13% of the contribution to GDP). These are followed by the smaller domains of Performance and Celebration (6%) and Cultural and Natural Heritage (4%).</w:t>
      </w:r>
    </w:p>
    <w:p w14:paraId="00000135" w14:textId="67BCE934" w:rsidR="00F8269C" w:rsidRDefault="00450D2D" w:rsidP="009D3DA2">
      <w:pPr>
        <w:keepNext/>
        <w:pBdr>
          <w:top w:val="nil"/>
          <w:left w:val="nil"/>
          <w:bottom w:val="nil"/>
          <w:right w:val="nil"/>
          <w:between w:val="nil"/>
        </w:pBdr>
        <w:jc w:val="both"/>
        <w:rPr>
          <w:color w:val="000000"/>
          <w:sz w:val="22"/>
          <w:szCs w:val="22"/>
        </w:rPr>
      </w:pPr>
      <w:r>
        <w:rPr>
          <w:color w:val="000000"/>
          <w:sz w:val="22"/>
          <w:szCs w:val="22"/>
        </w:rPr>
        <w:t xml:space="preserve">Looking at the growth rates between 2018 and 2020, the impact of the slowdown in the economy during 2019 and the COVID-19 lockdowns have resulted in all sectors showing some decline. Of concern is that the most </w:t>
      </w:r>
      <w:r w:rsidR="0017295B">
        <w:rPr>
          <w:color w:val="000000"/>
          <w:sz w:val="22"/>
          <w:szCs w:val="22"/>
        </w:rPr>
        <w:t xml:space="preserve">negatively </w:t>
      </w:r>
      <w:r>
        <w:rPr>
          <w:color w:val="000000"/>
          <w:sz w:val="22"/>
          <w:szCs w:val="22"/>
        </w:rPr>
        <w:t>impacted are the Visual Arts and Crafts (</w:t>
      </w:r>
      <w:r w:rsidR="00877A09">
        <w:rPr>
          <w:color w:val="000000"/>
          <w:sz w:val="22"/>
          <w:szCs w:val="22"/>
        </w:rPr>
        <w:noBreakHyphen/>
      </w:r>
      <w:r>
        <w:rPr>
          <w:color w:val="000000"/>
          <w:sz w:val="22"/>
          <w:szCs w:val="22"/>
        </w:rPr>
        <w:t>2.13%), and Books and Press (-1.81%) domains, which together account for nearly a third of CCI output.</w:t>
      </w:r>
    </w:p>
    <w:p w14:paraId="00000136" w14:textId="77777777" w:rsidR="00F8269C" w:rsidRDefault="00450D2D">
      <w:pPr>
        <w:rPr>
          <w:rFonts w:ascii="Calibri" w:eastAsia="Calibri" w:hAnsi="Calibri" w:cs="Calibri"/>
          <w:color w:val="2F5496"/>
          <w:sz w:val="26"/>
          <w:szCs w:val="26"/>
        </w:rPr>
      </w:pPr>
      <w:bookmarkStart w:id="80" w:name="_heading=h.23ckvvd" w:colFirst="0" w:colLast="0"/>
      <w:bookmarkEnd w:id="80"/>
      <w:r>
        <w:br w:type="page"/>
      </w:r>
    </w:p>
    <w:p w14:paraId="00000137" w14:textId="77777777" w:rsidR="00F8269C" w:rsidRDefault="00450D2D">
      <w:pPr>
        <w:pStyle w:val="Heading2"/>
        <w:numPr>
          <w:ilvl w:val="1"/>
          <w:numId w:val="5"/>
        </w:numPr>
      </w:pPr>
      <w:bookmarkStart w:id="81" w:name="_Toc93842783"/>
      <w:bookmarkStart w:id="82" w:name="_Toc93842969"/>
      <w:bookmarkStart w:id="83" w:name="_Toc93843347"/>
      <w:r>
        <w:lastRenderedPageBreak/>
        <w:t>Size of the Domains</w:t>
      </w:r>
      <w:bookmarkEnd w:id="81"/>
      <w:bookmarkEnd w:id="82"/>
      <w:bookmarkEnd w:id="83"/>
    </w:p>
    <w:p w14:paraId="00000138" w14:textId="77777777" w:rsidR="00F8269C" w:rsidRDefault="00F8269C">
      <w:pPr>
        <w:keepNext/>
        <w:pBdr>
          <w:top w:val="nil"/>
          <w:left w:val="nil"/>
          <w:bottom w:val="nil"/>
          <w:right w:val="nil"/>
          <w:between w:val="nil"/>
        </w:pBdr>
        <w:spacing w:after="200" w:line="240" w:lineRule="auto"/>
        <w:rPr>
          <w:i/>
          <w:color w:val="44546A"/>
          <w:sz w:val="18"/>
          <w:szCs w:val="18"/>
        </w:rPr>
      </w:pPr>
    </w:p>
    <w:p w14:paraId="00000139" w14:textId="55038DC4" w:rsidR="00F8269C" w:rsidRDefault="00450D2D">
      <w:pPr>
        <w:keepNext/>
        <w:pBdr>
          <w:top w:val="nil"/>
          <w:left w:val="nil"/>
          <w:bottom w:val="nil"/>
          <w:right w:val="nil"/>
          <w:between w:val="nil"/>
        </w:pBdr>
        <w:spacing w:after="200" w:line="240" w:lineRule="auto"/>
        <w:rPr>
          <w:i/>
          <w:color w:val="44546A"/>
          <w:sz w:val="18"/>
          <w:szCs w:val="18"/>
        </w:rPr>
      </w:pPr>
      <w:r>
        <w:rPr>
          <w:i/>
          <w:color w:val="44546A"/>
          <w:sz w:val="18"/>
          <w:szCs w:val="18"/>
        </w:rPr>
        <w:t>Table 2: CCI domain</w:t>
      </w:r>
      <w:r w:rsidR="009E494B">
        <w:rPr>
          <w:i/>
          <w:color w:val="44546A"/>
          <w:sz w:val="18"/>
          <w:szCs w:val="18"/>
        </w:rPr>
        <w:t xml:space="preserve"> size</w:t>
      </w:r>
      <w:r>
        <w:rPr>
          <w:i/>
          <w:color w:val="44546A"/>
          <w:sz w:val="18"/>
          <w:szCs w:val="18"/>
        </w:rPr>
        <w:t>s and elements that contribute to their size (Rm in base year (2015) prices)</w:t>
      </w:r>
    </w:p>
    <w:tbl>
      <w:tblPr>
        <w:tblStyle w:val="a1"/>
        <w:tblW w:w="9016"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left w:w="28" w:type="dxa"/>
          <w:right w:w="28" w:type="dxa"/>
        </w:tblCellMar>
        <w:tblLook w:val="04A0" w:firstRow="1" w:lastRow="0" w:firstColumn="1" w:lastColumn="0" w:noHBand="0" w:noVBand="1"/>
      </w:tblPr>
      <w:tblGrid>
        <w:gridCol w:w="1271"/>
        <w:gridCol w:w="1106"/>
        <w:gridCol w:w="1106"/>
        <w:gridCol w:w="1107"/>
        <w:gridCol w:w="1106"/>
        <w:gridCol w:w="1107"/>
        <w:gridCol w:w="1106"/>
        <w:gridCol w:w="1107"/>
      </w:tblGrid>
      <w:tr w:rsidR="00F8269C" w14:paraId="51406EDD" w14:textId="77777777" w:rsidTr="009D3D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000013A" w14:textId="77777777" w:rsidR="00F8269C" w:rsidRPr="009D3DA2" w:rsidRDefault="00F8269C" w:rsidP="009D3DA2">
            <w:pPr>
              <w:pBdr>
                <w:top w:val="nil"/>
                <w:left w:val="nil"/>
                <w:bottom w:val="nil"/>
                <w:right w:val="nil"/>
                <w:between w:val="nil"/>
              </w:pBdr>
              <w:spacing w:before="60" w:after="60"/>
              <w:jc w:val="both"/>
              <w:rPr>
                <w:color w:val="000000"/>
                <w:sz w:val="16"/>
                <w:szCs w:val="16"/>
              </w:rPr>
            </w:pPr>
          </w:p>
        </w:tc>
        <w:tc>
          <w:tcPr>
            <w:tcW w:w="1106" w:type="dxa"/>
          </w:tcPr>
          <w:p w14:paraId="0000013B" w14:textId="134D2286" w:rsidR="00F8269C" w:rsidRPr="009D3DA2" w:rsidRDefault="00450D2D" w:rsidP="009D3DA2">
            <w:pPr>
              <w:pBdr>
                <w:top w:val="nil"/>
                <w:left w:val="nil"/>
                <w:bottom w:val="nil"/>
                <w:right w:val="nil"/>
                <w:between w:val="nil"/>
              </w:pBdr>
              <w:spacing w:before="60" w:after="60"/>
              <w:jc w:val="center"/>
              <w:cnfStyle w:val="100000000000" w:firstRow="1"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A: </w:t>
            </w:r>
            <w:r w:rsidR="00BE22F5">
              <w:rPr>
                <w:b w:val="0"/>
                <w:color w:val="000000"/>
                <w:sz w:val="16"/>
                <w:szCs w:val="16"/>
              </w:rPr>
              <w:br/>
            </w:r>
            <w:r w:rsidRPr="009D3DA2">
              <w:rPr>
                <w:color w:val="000000"/>
                <w:sz w:val="16"/>
                <w:szCs w:val="16"/>
              </w:rPr>
              <w:t>Cultural and natural heritage</w:t>
            </w:r>
          </w:p>
        </w:tc>
        <w:tc>
          <w:tcPr>
            <w:tcW w:w="1106" w:type="dxa"/>
          </w:tcPr>
          <w:p w14:paraId="0000013C" w14:textId="77777777" w:rsidR="00F8269C" w:rsidRPr="009D3DA2" w:rsidRDefault="00450D2D" w:rsidP="009D3DA2">
            <w:pPr>
              <w:pBdr>
                <w:top w:val="nil"/>
                <w:left w:val="nil"/>
                <w:bottom w:val="nil"/>
                <w:right w:val="nil"/>
                <w:between w:val="nil"/>
              </w:pBdr>
              <w:spacing w:before="60" w:after="60"/>
              <w:jc w:val="center"/>
              <w:cnfStyle w:val="100000000000" w:firstRow="1"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B: Performance and celebration</w:t>
            </w:r>
          </w:p>
        </w:tc>
        <w:tc>
          <w:tcPr>
            <w:tcW w:w="1107" w:type="dxa"/>
          </w:tcPr>
          <w:p w14:paraId="0000013D" w14:textId="0CF6837F" w:rsidR="00F8269C" w:rsidRPr="009D3DA2" w:rsidRDefault="00450D2D" w:rsidP="009D3DA2">
            <w:pPr>
              <w:pBdr>
                <w:top w:val="nil"/>
                <w:left w:val="nil"/>
                <w:bottom w:val="nil"/>
                <w:right w:val="nil"/>
                <w:between w:val="nil"/>
              </w:pBdr>
              <w:spacing w:before="60" w:after="60"/>
              <w:jc w:val="center"/>
              <w:cnfStyle w:val="100000000000" w:firstRow="1"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C: </w:t>
            </w:r>
            <w:r w:rsidR="00BE22F5">
              <w:rPr>
                <w:b w:val="0"/>
                <w:color w:val="000000"/>
                <w:sz w:val="16"/>
                <w:szCs w:val="16"/>
              </w:rPr>
              <w:br/>
            </w:r>
            <w:r w:rsidRPr="009D3DA2">
              <w:rPr>
                <w:color w:val="000000"/>
                <w:sz w:val="16"/>
                <w:szCs w:val="16"/>
              </w:rPr>
              <w:t>Visual art and crafts</w:t>
            </w:r>
          </w:p>
        </w:tc>
        <w:tc>
          <w:tcPr>
            <w:tcW w:w="1106" w:type="dxa"/>
          </w:tcPr>
          <w:p w14:paraId="0000013E" w14:textId="60FB16C7" w:rsidR="00F8269C" w:rsidRPr="009D3DA2" w:rsidRDefault="00450D2D" w:rsidP="009D3DA2">
            <w:pPr>
              <w:pBdr>
                <w:top w:val="nil"/>
                <w:left w:val="nil"/>
                <w:bottom w:val="nil"/>
                <w:right w:val="nil"/>
                <w:between w:val="nil"/>
              </w:pBdr>
              <w:spacing w:before="60" w:after="60"/>
              <w:jc w:val="center"/>
              <w:cnfStyle w:val="100000000000" w:firstRow="1"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D: </w:t>
            </w:r>
            <w:r w:rsidR="00BE22F5">
              <w:rPr>
                <w:b w:val="0"/>
                <w:color w:val="000000"/>
                <w:sz w:val="16"/>
                <w:szCs w:val="16"/>
              </w:rPr>
              <w:br/>
            </w:r>
            <w:r w:rsidRPr="009D3DA2">
              <w:rPr>
                <w:color w:val="000000"/>
                <w:sz w:val="16"/>
                <w:szCs w:val="16"/>
              </w:rPr>
              <w:t>Books and Press</w:t>
            </w:r>
          </w:p>
        </w:tc>
        <w:tc>
          <w:tcPr>
            <w:tcW w:w="1107" w:type="dxa"/>
          </w:tcPr>
          <w:p w14:paraId="0000013F" w14:textId="3DCF7A7D" w:rsidR="00F8269C" w:rsidRPr="009D3DA2" w:rsidRDefault="00450D2D" w:rsidP="009D3DA2">
            <w:pPr>
              <w:pBdr>
                <w:top w:val="nil"/>
                <w:left w:val="nil"/>
                <w:bottom w:val="nil"/>
                <w:right w:val="nil"/>
                <w:between w:val="nil"/>
              </w:pBdr>
              <w:spacing w:before="60" w:after="60"/>
              <w:jc w:val="center"/>
              <w:cnfStyle w:val="100000000000" w:firstRow="1"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E: </w:t>
            </w:r>
            <w:r w:rsidR="00BE22F5">
              <w:rPr>
                <w:b w:val="0"/>
                <w:color w:val="000000"/>
                <w:sz w:val="16"/>
                <w:szCs w:val="16"/>
              </w:rPr>
              <w:br/>
            </w:r>
            <w:r w:rsidRPr="009D3DA2">
              <w:rPr>
                <w:color w:val="000000"/>
                <w:sz w:val="16"/>
                <w:szCs w:val="16"/>
              </w:rPr>
              <w:t>Audio-visual and interactive media</w:t>
            </w:r>
          </w:p>
        </w:tc>
        <w:tc>
          <w:tcPr>
            <w:tcW w:w="1106" w:type="dxa"/>
          </w:tcPr>
          <w:p w14:paraId="00000140" w14:textId="345CBF97" w:rsidR="00F8269C" w:rsidRPr="009D3DA2" w:rsidRDefault="00450D2D" w:rsidP="009D3DA2">
            <w:pPr>
              <w:pBdr>
                <w:top w:val="nil"/>
                <w:left w:val="nil"/>
                <w:bottom w:val="nil"/>
                <w:right w:val="nil"/>
                <w:between w:val="nil"/>
              </w:pBdr>
              <w:spacing w:before="60" w:after="60"/>
              <w:jc w:val="center"/>
              <w:cnfStyle w:val="100000000000" w:firstRow="1"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F: </w:t>
            </w:r>
            <w:r w:rsidR="00BE22F5">
              <w:rPr>
                <w:b w:val="0"/>
                <w:color w:val="000000"/>
                <w:sz w:val="16"/>
                <w:szCs w:val="16"/>
              </w:rPr>
              <w:br/>
            </w:r>
            <w:r w:rsidRPr="009D3DA2">
              <w:rPr>
                <w:color w:val="000000"/>
                <w:sz w:val="16"/>
                <w:szCs w:val="16"/>
              </w:rPr>
              <w:t>Design and creative services</w:t>
            </w:r>
          </w:p>
        </w:tc>
        <w:tc>
          <w:tcPr>
            <w:tcW w:w="1107" w:type="dxa"/>
          </w:tcPr>
          <w:p w14:paraId="7649B075" w14:textId="77777777" w:rsidR="003770D8" w:rsidRDefault="003770D8" w:rsidP="009D3DA2">
            <w:pPr>
              <w:pBdr>
                <w:top w:val="nil"/>
                <w:left w:val="nil"/>
                <w:bottom w:val="nil"/>
                <w:right w:val="nil"/>
                <w:between w:val="nil"/>
              </w:pBdr>
              <w:spacing w:before="60" w:after="60"/>
              <w:jc w:val="center"/>
              <w:cnfStyle w:val="100000000000" w:firstRow="1" w:lastRow="0" w:firstColumn="0" w:lastColumn="0" w:oddVBand="0" w:evenVBand="0" w:oddHBand="0" w:evenHBand="0" w:firstRowFirstColumn="0" w:firstRowLastColumn="0" w:lastRowFirstColumn="0" w:lastRowLastColumn="0"/>
              <w:rPr>
                <w:b w:val="0"/>
                <w:color w:val="000000"/>
                <w:sz w:val="16"/>
                <w:szCs w:val="16"/>
              </w:rPr>
            </w:pPr>
          </w:p>
          <w:p w14:paraId="00000141" w14:textId="1BF08C79" w:rsidR="00F8269C" w:rsidRPr="009D3DA2" w:rsidRDefault="00450D2D" w:rsidP="009D3DA2">
            <w:pPr>
              <w:pBdr>
                <w:top w:val="nil"/>
                <w:left w:val="nil"/>
                <w:bottom w:val="nil"/>
                <w:right w:val="nil"/>
                <w:between w:val="nil"/>
              </w:pBdr>
              <w:spacing w:before="60" w:after="60"/>
              <w:jc w:val="center"/>
              <w:cnfStyle w:val="100000000000" w:firstRow="1"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Total CCI domains</w:t>
            </w:r>
          </w:p>
        </w:tc>
      </w:tr>
      <w:tr w:rsidR="00F8269C" w14:paraId="2FE9EEF3" w14:textId="77777777" w:rsidTr="009D3D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0000142" w14:textId="77777777" w:rsidR="00F8269C" w:rsidRPr="009D3DA2" w:rsidRDefault="00450D2D" w:rsidP="009D3DA2">
            <w:pPr>
              <w:pBdr>
                <w:top w:val="nil"/>
                <w:left w:val="nil"/>
                <w:bottom w:val="nil"/>
                <w:right w:val="nil"/>
                <w:between w:val="nil"/>
              </w:pBdr>
              <w:spacing w:before="60" w:after="60"/>
              <w:rPr>
                <w:color w:val="000000"/>
                <w:sz w:val="16"/>
                <w:szCs w:val="16"/>
              </w:rPr>
            </w:pPr>
            <w:r w:rsidRPr="009D3DA2">
              <w:rPr>
                <w:color w:val="000000"/>
                <w:sz w:val="16"/>
                <w:szCs w:val="16"/>
              </w:rPr>
              <w:t>Compensation of employees</w:t>
            </w:r>
          </w:p>
        </w:tc>
        <w:tc>
          <w:tcPr>
            <w:tcW w:w="1106" w:type="dxa"/>
            <w:tcMar>
              <w:left w:w="85" w:type="dxa"/>
              <w:right w:w="85" w:type="dxa"/>
            </w:tcMar>
          </w:tcPr>
          <w:p w14:paraId="00000143"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R1 991 </w:t>
            </w:r>
          </w:p>
        </w:tc>
        <w:tc>
          <w:tcPr>
            <w:tcW w:w="1106" w:type="dxa"/>
            <w:tcMar>
              <w:left w:w="85" w:type="dxa"/>
              <w:right w:w="85" w:type="dxa"/>
            </w:tcMar>
          </w:tcPr>
          <w:p w14:paraId="00000144"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R2 865 </w:t>
            </w:r>
          </w:p>
        </w:tc>
        <w:tc>
          <w:tcPr>
            <w:tcW w:w="1107" w:type="dxa"/>
            <w:tcMar>
              <w:left w:w="85" w:type="dxa"/>
              <w:right w:w="85" w:type="dxa"/>
            </w:tcMar>
          </w:tcPr>
          <w:p w14:paraId="00000145"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R6 103 </w:t>
            </w:r>
          </w:p>
        </w:tc>
        <w:tc>
          <w:tcPr>
            <w:tcW w:w="1106" w:type="dxa"/>
            <w:tcMar>
              <w:left w:w="85" w:type="dxa"/>
              <w:right w:w="85" w:type="dxa"/>
            </w:tcMar>
          </w:tcPr>
          <w:p w14:paraId="00000146"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R10 400 </w:t>
            </w:r>
          </w:p>
        </w:tc>
        <w:tc>
          <w:tcPr>
            <w:tcW w:w="1107" w:type="dxa"/>
            <w:tcMar>
              <w:left w:w="85" w:type="dxa"/>
              <w:right w:w="85" w:type="dxa"/>
            </w:tcMar>
          </w:tcPr>
          <w:p w14:paraId="00000147"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R16 018 </w:t>
            </w:r>
          </w:p>
        </w:tc>
        <w:tc>
          <w:tcPr>
            <w:tcW w:w="1106" w:type="dxa"/>
            <w:tcMar>
              <w:left w:w="85" w:type="dxa"/>
              <w:right w:w="85" w:type="dxa"/>
            </w:tcMar>
          </w:tcPr>
          <w:p w14:paraId="00000148"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R21 766 </w:t>
            </w:r>
          </w:p>
        </w:tc>
        <w:tc>
          <w:tcPr>
            <w:tcW w:w="1107" w:type="dxa"/>
            <w:tcMar>
              <w:left w:w="85" w:type="dxa"/>
              <w:right w:w="85" w:type="dxa"/>
            </w:tcMar>
          </w:tcPr>
          <w:p w14:paraId="00000149" w14:textId="77777777" w:rsidR="00F8269C" w:rsidRDefault="00F8269C"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8"/>
                <w:szCs w:val="18"/>
              </w:rPr>
            </w:pPr>
          </w:p>
        </w:tc>
      </w:tr>
      <w:tr w:rsidR="00F8269C" w14:paraId="3C80B1E0" w14:textId="77777777" w:rsidTr="009D3DA2">
        <w:tc>
          <w:tcPr>
            <w:cnfStyle w:val="001000000000" w:firstRow="0" w:lastRow="0" w:firstColumn="1" w:lastColumn="0" w:oddVBand="0" w:evenVBand="0" w:oddHBand="0" w:evenHBand="0" w:firstRowFirstColumn="0" w:firstRowLastColumn="0" w:lastRowFirstColumn="0" w:lastRowLastColumn="0"/>
            <w:tcW w:w="1271" w:type="dxa"/>
          </w:tcPr>
          <w:p w14:paraId="0000014A" w14:textId="77777777" w:rsidR="00F8269C" w:rsidRPr="009D3DA2" w:rsidRDefault="00450D2D" w:rsidP="009D3DA2">
            <w:pPr>
              <w:pBdr>
                <w:top w:val="nil"/>
                <w:left w:val="nil"/>
                <w:bottom w:val="nil"/>
                <w:right w:val="nil"/>
                <w:between w:val="nil"/>
              </w:pBdr>
              <w:spacing w:before="60" w:after="60"/>
              <w:rPr>
                <w:color w:val="000000"/>
                <w:sz w:val="16"/>
                <w:szCs w:val="16"/>
              </w:rPr>
            </w:pPr>
            <w:r w:rsidRPr="009D3DA2">
              <w:rPr>
                <w:color w:val="000000"/>
                <w:sz w:val="16"/>
                <w:szCs w:val="16"/>
              </w:rPr>
              <w:t>Gross operating surplus: Net operating surplus (NOS)</w:t>
            </w:r>
          </w:p>
        </w:tc>
        <w:tc>
          <w:tcPr>
            <w:tcW w:w="1106" w:type="dxa"/>
            <w:tcMar>
              <w:left w:w="85" w:type="dxa"/>
              <w:right w:w="85" w:type="dxa"/>
            </w:tcMar>
          </w:tcPr>
          <w:p w14:paraId="0000014B"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R2 084 </w:t>
            </w:r>
          </w:p>
        </w:tc>
        <w:tc>
          <w:tcPr>
            <w:tcW w:w="1106" w:type="dxa"/>
            <w:tcMar>
              <w:left w:w="85" w:type="dxa"/>
              <w:right w:w="85" w:type="dxa"/>
            </w:tcMar>
          </w:tcPr>
          <w:p w14:paraId="0000014C"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R3 208 </w:t>
            </w:r>
          </w:p>
        </w:tc>
        <w:tc>
          <w:tcPr>
            <w:tcW w:w="1107" w:type="dxa"/>
            <w:tcMar>
              <w:left w:w="85" w:type="dxa"/>
              <w:right w:w="85" w:type="dxa"/>
            </w:tcMar>
          </w:tcPr>
          <w:p w14:paraId="0000014D"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R7 463 </w:t>
            </w:r>
          </w:p>
        </w:tc>
        <w:tc>
          <w:tcPr>
            <w:tcW w:w="1106" w:type="dxa"/>
            <w:tcMar>
              <w:left w:w="85" w:type="dxa"/>
              <w:right w:w="85" w:type="dxa"/>
            </w:tcMar>
          </w:tcPr>
          <w:p w14:paraId="0000014E"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R4 181 </w:t>
            </w:r>
          </w:p>
        </w:tc>
        <w:tc>
          <w:tcPr>
            <w:tcW w:w="1107" w:type="dxa"/>
            <w:tcMar>
              <w:left w:w="85" w:type="dxa"/>
              <w:right w:w="85" w:type="dxa"/>
            </w:tcMar>
          </w:tcPr>
          <w:p w14:paraId="0000014F"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R13 754 </w:t>
            </w:r>
          </w:p>
        </w:tc>
        <w:tc>
          <w:tcPr>
            <w:tcW w:w="1106" w:type="dxa"/>
            <w:tcMar>
              <w:left w:w="85" w:type="dxa"/>
              <w:right w:w="85" w:type="dxa"/>
            </w:tcMar>
          </w:tcPr>
          <w:p w14:paraId="00000150"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R12 945 </w:t>
            </w:r>
          </w:p>
        </w:tc>
        <w:tc>
          <w:tcPr>
            <w:tcW w:w="1107" w:type="dxa"/>
            <w:tcMar>
              <w:left w:w="85" w:type="dxa"/>
              <w:right w:w="85" w:type="dxa"/>
            </w:tcMar>
          </w:tcPr>
          <w:p w14:paraId="00000151" w14:textId="77777777" w:rsidR="00F8269C" w:rsidRDefault="00F8269C"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8"/>
                <w:szCs w:val="18"/>
              </w:rPr>
            </w:pPr>
          </w:p>
        </w:tc>
      </w:tr>
      <w:tr w:rsidR="00F8269C" w14:paraId="3034B0CC" w14:textId="77777777" w:rsidTr="009D3D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0000152" w14:textId="77777777" w:rsidR="00F8269C" w:rsidRPr="009D3DA2" w:rsidRDefault="00450D2D" w:rsidP="009D3DA2">
            <w:pPr>
              <w:pBdr>
                <w:top w:val="nil"/>
                <w:left w:val="nil"/>
                <w:bottom w:val="nil"/>
                <w:right w:val="nil"/>
                <w:between w:val="nil"/>
              </w:pBdr>
              <w:spacing w:before="60" w:after="60"/>
              <w:rPr>
                <w:color w:val="000000"/>
                <w:sz w:val="16"/>
                <w:szCs w:val="16"/>
              </w:rPr>
            </w:pPr>
            <w:r w:rsidRPr="009D3DA2">
              <w:rPr>
                <w:color w:val="000000"/>
                <w:sz w:val="16"/>
                <w:szCs w:val="16"/>
              </w:rPr>
              <w:t>Gross operating surplus: Consumption (depreciation) of fixed capital</w:t>
            </w:r>
          </w:p>
        </w:tc>
        <w:tc>
          <w:tcPr>
            <w:tcW w:w="1106" w:type="dxa"/>
            <w:tcMar>
              <w:left w:w="85" w:type="dxa"/>
              <w:right w:w="85" w:type="dxa"/>
            </w:tcMar>
          </w:tcPr>
          <w:p w14:paraId="00000153"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R473 </w:t>
            </w:r>
          </w:p>
        </w:tc>
        <w:tc>
          <w:tcPr>
            <w:tcW w:w="1106" w:type="dxa"/>
            <w:tcMar>
              <w:left w:w="85" w:type="dxa"/>
              <w:right w:w="85" w:type="dxa"/>
            </w:tcMar>
          </w:tcPr>
          <w:p w14:paraId="00000154"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R676 </w:t>
            </w:r>
          </w:p>
        </w:tc>
        <w:tc>
          <w:tcPr>
            <w:tcW w:w="1107" w:type="dxa"/>
            <w:tcMar>
              <w:left w:w="85" w:type="dxa"/>
              <w:right w:w="85" w:type="dxa"/>
            </w:tcMar>
          </w:tcPr>
          <w:p w14:paraId="00000155"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R2 194 </w:t>
            </w:r>
          </w:p>
        </w:tc>
        <w:tc>
          <w:tcPr>
            <w:tcW w:w="1106" w:type="dxa"/>
            <w:tcMar>
              <w:left w:w="85" w:type="dxa"/>
              <w:right w:w="85" w:type="dxa"/>
            </w:tcMar>
          </w:tcPr>
          <w:p w14:paraId="00000156"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R2 819 </w:t>
            </w:r>
          </w:p>
        </w:tc>
        <w:tc>
          <w:tcPr>
            <w:tcW w:w="1107" w:type="dxa"/>
            <w:tcMar>
              <w:left w:w="85" w:type="dxa"/>
              <w:right w:w="85" w:type="dxa"/>
            </w:tcMar>
          </w:tcPr>
          <w:p w14:paraId="00000157"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R1 401 </w:t>
            </w:r>
          </w:p>
        </w:tc>
        <w:tc>
          <w:tcPr>
            <w:tcW w:w="1106" w:type="dxa"/>
            <w:tcMar>
              <w:left w:w="85" w:type="dxa"/>
              <w:right w:w="85" w:type="dxa"/>
            </w:tcMar>
          </w:tcPr>
          <w:p w14:paraId="00000158"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R1 807 </w:t>
            </w:r>
          </w:p>
        </w:tc>
        <w:tc>
          <w:tcPr>
            <w:tcW w:w="1107" w:type="dxa"/>
            <w:tcMar>
              <w:left w:w="85" w:type="dxa"/>
              <w:right w:w="85" w:type="dxa"/>
            </w:tcMar>
          </w:tcPr>
          <w:p w14:paraId="00000159" w14:textId="77777777" w:rsidR="00F8269C" w:rsidRDefault="00F8269C"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8"/>
                <w:szCs w:val="18"/>
              </w:rPr>
            </w:pPr>
          </w:p>
        </w:tc>
      </w:tr>
      <w:tr w:rsidR="00F8269C" w14:paraId="706F5474" w14:textId="77777777" w:rsidTr="009D3DA2">
        <w:tc>
          <w:tcPr>
            <w:cnfStyle w:val="001000000000" w:firstRow="0" w:lastRow="0" w:firstColumn="1" w:lastColumn="0" w:oddVBand="0" w:evenVBand="0" w:oddHBand="0" w:evenHBand="0" w:firstRowFirstColumn="0" w:firstRowLastColumn="0" w:lastRowFirstColumn="0" w:lastRowLastColumn="0"/>
            <w:tcW w:w="1271" w:type="dxa"/>
          </w:tcPr>
          <w:p w14:paraId="0000015A" w14:textId="5686B415" w:rsidR="00F8269C" w:rsidRDefault="00450D2D" w:rsidP="009D3DA2">
            <w:pPr>
              <w:pBdr>
                <w:top w:val="nil"/>
                <w:left w:val="nil"/>
                <w:bottom w:val="nil"/>
                <w:right w:val="nil"/>
                <w:between w:val="nil"/>
              </w:pBdr>
              <w:spacing w:before="60" w:after="60"/>
              <w:rPr>
                <w:color w:val="000000"/>
                <w:sz w:val="12"/>
                <w:szCs w:val="12"/>
              </w:rPr>
            </w:pPr>
            <w:r>
              <w:rPr>
                <w:b w:val="0"/>
                <w:color w:val="000000"/>
                <w:sz w:val="18"/>
                <w:szCs w:val="18"/>
              </w:rPr>
              <w:t xml:space="preserve">GVA at Factor </w:t>
            </w:r>
            <w:r w:rsidR="001B154E">
              <w:rPr>
                <w:b w:val="0"/>
                <w:color w:val="000000"/>
                <w:sz w:val="18"/>
                <w:szCs w:val="18"/>
              </w:rPr>
              <w:t>Prices</w:t>
            </w:r>
          </w:p>
        </w:tc>
        <w:tc>
          <w:tcPr>
            <w:tcW w:w="1106" w:type="dxa"/>
            <w:tcMar>
              <w:left w:w="85" w:type="dxa"/>
              <w:right w:w="85" w:type="dxa"/>
            </w:tcMar>
          </w:tcPr>
          <w:p w14:paraId="0000015B"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b/>
                <w:color w:val="000000"/>
                <w:sz w:val="16"/>
                <w:szCs w:val="16"/>
              </w:rPr>
            </w:pPr>
            <w:r w:rsidRPr="009D3DA2">
              <w:rPr>
                <w:b/>
                <w:color w:val="000000"/>
                <w:sz w:val="16"/>
                <w:szCs w:val="16"/>
              </w:rPr>
              <w:t xml:space="preserve"> R4 548 </w:t>
            </w:r>
          </w:p>
        </w:tc>
        <w:tc>
          <w:tcPr>
            <w:tcW w:w="1106" w:type="dxa"/>
            <w:tcMar>
              <w:left w:w="85" w:type="dxa"/>
              <w:right w:w="85" w:type="dxa"/>
            </w:tcMar>
          </w:tcPr>
          <w:p w14:paraId="0000015C"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b/>
                <w:color w:val="000000"/>
                <w:sz w:val="16"/>
                <w:szCs w:val="16"/>
              </w:rPr>
            </w:pPr>
            <w:r w:rsidRPr="009D3DA2">
              <w:rPr>
                <w:b/>
                <w:color w:val="000000"/>
                <w:sz w:val="16"/>
                <w:szCs w:val="16"/>
              </w:rPr>
              <w:t xml:space="preserve"> R6 748 </w:t>
            </w:r>
          </w:p>
        </w:tc>
        <w:tc>
          <w:tcPr>
            <w:tcW w:w="1107" w:type="dxa"/>
            <w:tcMar>
              <w:left w:w="85" w:type="dxa"/>
              <w:right w:w="85" w:type="dxa"/>
            </w:tcMar>
          </w:tcPr>
          <w:p w14:paraId="0000015D"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b/>
                <w:color w:val="000000"/>
                <w:sz w:val="16"/>
                <w:szCs w:val="16"/>
              </w:rPr>
            </w:pPr>
            <w:r w:rsidRPr="009D3DA2">
              <w:rPr>
                <w:b/>
                <w:color w:val="000000"/>
                <w:sz w:val="16"/>
                <w:szCs w:val="16"/>
              </w:rPr>
              <w:t xml:space="preserve"> R15 759 </w:t>
            </w:r>
          </w:p>
        </w:tc>
        <w:tc>
          <w:tcPr>
            <w:tcW w:w="1106" w:type="dxa"/>
            <w:tcMar>
              <w:left w:w="85" w:type="dxa"/>
              <w:right w:w="85" w:type="dxa"/>
            </w:tcMar>
          </w:tcPr>
          <w:p w14:paraId="0000015E"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b/>
                <w:color w:val="000000"/>
                <w:sz w:val="16"/>
                <w:szCs w:val="16"/>
              </w:rPr>
            </w:pPr>
            <w:r w:rsidRPr="009D3DA2">
              <w:rPr>
                <w:b/>
                <w:color w:val="000000"/>
                <w:sz w:val="16"/>
                <w:szCs w:val="16"/>
              </w:rPr>
              <w:t xml:space="preserve"> R17 400 </w:t>
            </w:r>
          </w:p>
        </w:tc>
        <w:tc>
          <w:tcPr>
            <w:tcW w:w="1107" w:type="dxa"/>
            <w:tcMar>
              <w:left w:w="85" w:type="dxa"/>
              <w:right w:w="85" w:type="dxa"/>
            </w:tcMar>
          </w:tcPr>
          <w:p w14:paraId="0000015F"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b/>
                <w:color w:val="000000"/>
                <w:sz w:val="16"/>
                <w:szCs w:val="16"/>
              </w:rPr>
            </w:pPr>
            <w:r w:rsidRPr="009D3DA2">
              <w:rPr>
                <w:b/>
                <w:color w:val="000000"/>
                <w:sz w:val="16"/>
                <w:szCs w:val="16"/>
              </w:rPr>
              <w:t xml:space="preserve"> R31 173 </w:t>
            </w:r>
          </w:p>
        </w:tc>
        <w:tc>
          <w:tcPr>
            <w:tcW w:w="1106" w:type="dxa"/>
            <w:tcMar>
              <w:left w:w="85" w:type="dxa"/>
              <w:right w:w="85" w:type="dxa"/>
            </w:tcMar>
          </w:tcPr>
          <w:p w14:paraId="00000160"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b/>
                <w:color w:val="000000"/>
                <w:sz w:val="16"/>
                <w:szCs w:val="16"/>
              </w:rPr>
            </w:pPr>
            <w:r w:rsidRPr="009D3DA2">
              <w:rPr>
                <w:b/>
                <w:color w:val="000000"/>
                <w:sz w:val="16"/>
                <w:szCs w:val="16"/>
              </w:rPr>
              <w:t xml:space="preserve"> R36 517 </w:t>
            </w:r>
          </w:p>
        </w:tc>
        <w:tc>
          <w:tcPr>
            <w:tcW w:w="1107" w:type="dxa"/>
            <w:tcMar>
              <w:left w:w="85" w:type="dxa"/>
              <w:right w:w="85" w:type="dxa"/>
            </w:tcMar>
          </w:tcPr>
          <w:p w14:paraId="00000161" w14:textId="77777777" w:rsidR="00F8269C"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rFonts w:ascii="Arial Bold" w:eastAsia="Arial Bold" w:hAnsi="Arial Bold" w:cs="Arial Bold"/>
                <w:b/>
                <w:color w:val="000000"/>
                <w:sz w:val="18"/>
                <w:szCs w:val="18"/>
              </w:rPr>
            </w:pPr>
            <w:r w:rsidRPr="00163C1E">
              <w:rPr>
                <w:rFonts w:ascii="Arial Bold" w:eastAsia="Arial Bold" w:hAnsi="Arial Bold" w:cs="Arial Bold"/>
                <w:b/>
                <w:color w:val="000000"/>
                <w:sz w:val="16"/>
                <w:szCs w:val="16"/>
              </w:rPr>
              <w:t xml:space="preserve"> R112 146 </w:t>
            </w:r>
          </w:p>
        </w:tc>
      </w:tr>
      <w:tr w:rsidR="00F8269C" w14:paraId="7A07D7E1" w14:textId="77777777" w:rsidTr="009D3D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0000162" w14:textId="77777777" w:rsidR="00F8269C" w:rsidRPr="009D3DA2" w:rsidRDefault="00450D2D" w:rsidP="009D3DA2">
            <w:pPr>
              <w:pBdr>
                <w:top w:val="nil"/>
                <w:left w:val="nil"/>
                <w:bottom w:val="nil"/>
                <w:right w:val="nil"/>
                <w:between w:val="nil"/>
              </w:pBdr>
              <w:spacing w:before="60" w:after="60"/>
              <w:rPr>
                <w:color w:val="000000"/>
                <w:sz w:val="16"/>
                <w:szCs w:val="16"/>
              </w:rPr>
            </w:pPr>
            <w:r w:rsidRPr="009D3DA2">
              <w:rPr>
                <w:color w:val="000000"/>
                <w:sz w:val="16"/>
                <w:szCs w:val="16"/>
              </w:rPr>
              <w:t>Other taxes on production</w:t>
            </w:r>
          </w:p>
        </w:tc>
        <w:tc>
          <w:tcPr>
            <w:tcW w:w="1106" w:type="dxa"/>
            <w:tcMar>
              <w:left w:w="85" w:type="dxa"/>
              <w:right w:w="85" w:type="dxa"/>
            </w:tcMar>
          </w:tcPr>
          <w:p w14:paraId="00000163"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R77 </w:t>
            </w:r>
          </w:p>
        </w:tc>
        <w:tc>
          <w:tcPr>
            <w:tcW w:w="1106" w:type="dxa"/>
            <w:tcMar>
              <w:left w:w="85" w:type="dxa"/>
              <w:right w:w="85" w:type="dxa"/>
            </w:tcMar>
          </w:tcPr>
          <w:p w14:paraId="00000164"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R120 </w:t>
            </w:r>
          </w:p>
        </w:tc>
        <w:tc>
          <w:tcPr>
            <w:tcW w:w="1107" w:type="dxa"/>
            <w:tcMar>
              <w:left w:w="85" w:type="dxa"/>
              <w:right w:w="85" w:type="dxa"/>
            </w:tcMar>
          </w:tcPr>
          <w:p w14:paraId="00000165"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R104 </w:t>
            </w:r>
          </w:p>
        </w:tc>
        <w:tc>
          <w:tcPr>
            <w:tcW w:w="1106" w:type="dxa"/>
            <w:tcMar>
              <w:left w:w="85" w:type="dxa"/>
              <w:right w:w="85" w:type="dxa"/>
            </w:tcMar>
          </w:tcPr>
          <w:p w14:paraId="00000166"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R262 </w:t>
            </w:r>
          </w:p>
        </w:tc>
        <w:tc>
          <w:tcPr>
            <w:tcW w:w="1107" w:type="dxa"/>
            <w:tcMar>
              <w:left w:w="85" w:type="dxa"/>
              <w:right w:w="85" w:type="dxa"/>
            </w:tcMar>
          </w:tcPr>
          <w:p w14:paraId="00000167"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R373 </w:t>
            </w:r>
          </w:p>
        </w:tc>
        <w:tc>
          <w:tcPr>
            <w:tcW w:w="1106" w:type="dxa"/>
            <w:tcMar>
              <w:left w:w="85" w:type="dxa"/>
              <w:right w:w="85" w:type="dxa"/>
            </w:tcMar>
          </w:tcPr>
          <w:p w14:paraId="00000168"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R387 </w:t>
            </w:r>
          </w:p>
        </w:tc>
        <w:tc>
          <w:tcPr>
            <w:tcW w:w="1107" w:type="dxa"/>
            <w:tcMar>
              <w:left w:w="85" w:type="dxa"/>
              <w:right w:w="85" w:type="dxa"/>
            </w:tcMar>
          </w:tcPr>
          <w:p w14:paraId="00000169" w14:textId="77777777" w:rsidR="00F8269C" w:rsidRDefault="00F8269C"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rFonts w:ascii="Arial Bold" w:eastAsia="Arial Bold" w:hAnsi="Arial Bold" w:cs="Arial Bold"/>
                <w:color w:val="000000"/>
                <w:sz w:val="18"/>
                <w:szCs w:val="18"/>
              </w:rPr>
            </w:pPr>
          </w:p>
        </w:tc>
      </w:tr>
      <w:tr w:rsidR="00F8269C" w14:paraId="19F1C8C1" w14:textId="77777777" w:rsidTr="009D3DA2">
        <w:tc>
          <w:tcPr>
            <w:cnfStyle w:val="001000000000" w:firstRow="0" w:lastRow="0" w:firstColumn="1" w:lastColumn="0" w:oddVBand="0" w:evenVBand="0" w:oddHBand="0" w:evenHBand="0" w:firstRowFirstColumn="0" w:firstRowLastColumn="0" w:lastRowFirstColumn="0" w:lastRowLastColumn="0"/>
            <w:tcW w:w="1271" w:type="dxa"/>
          </w:tcPr>
          <w:p w14:paraId="0000016A" w14:textId="77777777" w:rsidR="00F8269C" w:rsidRPr="009D3DA2" w:rsidRDefault="00450D2D" w:rsidP="009D3DA2">
            <w:pPr>
              <w:pBdr>
                <w:top w:val="nil"/>
                <w:left w:val="nil"/>
                <w:bottom w:val="nil"/>
                <w:right w:val="nil"/>
                <w:between w:val="nil"/>
              </w:pBdr>
              <w:spacing w:before="60" w:after="60"/>
              <w:rPr>
                <w:color w:val="000000"/>
                <w:sz w:val="16"/>
                <w:szCs w:val="16"/>
              </w:rPr>
            </w:pPr>
            <w:r w:rsidRPr="009D3DA2">
              <w:rPr>
                <w:color w:val="000000"/>
                <w:sz w:val="16"/>
                <w:szCs w:val="16"/>
              </w:rPr>
              <w:t>Other subsidies on production</w:t>
            </w:r>
          </w:p>
        </w:tc>
        <w:tc>
          <w:tcPr>
            <w:tcW w:w="1106" w:type="dxa"/>
            <w:tcMar>
              <w:left w:w="85" w:type="dxa"/>
              <w:right w:w="85" w:type="dxa"/>
            </w:tcMar>
          </w:tcPr>
          <w:p w14:paraId="0000016B"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-R14 </w:t>
            </w:r>
          </w:p>
        </w:tc>
        <w:tc>
          <w:tcPr>
            <w:tcW w:w="1106" w:type="dxa"/>
            <w:tcMar>
              <w:left w:w="85" w:type="dxa"/>
              <w:right w:w="85" w:type="dxa"/>
            </w:tcMar>
          </w:tcPr>
          <w:p w14:paraId="0000016C"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-R25 </w:t>
            </w:r>
          </w:p>
        </w:tc>
        <w:tc>
          <w:tcPr>
            <w:tcW w:w="1107" w:type="dxa"/>
            <w:tcMar>
              <w:left w:w="85" w:type="dxa"/>
              <w:right w:w="85" w:type="dxa"/>
            </w:tcMar>
          </w:tcPr>
          <w:p w14:paraId="0000016D"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-R21 </w:t>
            </w:r>
          </w:p>
        </w:tc>
        <w:tc>
          <w:tcPr>
            <w:tcW w:w="1106" w:type="dxa"/>
            <w:tcMar>
              <w:left w:w="85" w:type="dxa"/>
              <w:right w:w="85" w:type="dxa"/>
            </w:tcMar>
          </w:tcPr>
          <w:p w14:paraId="0000016E"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-R46 </w:t>
            </w:r>
          </w:p>
        </w:tc>
        <w:tc>
          <w:tcPr>
            <w:tcW w:w="1107" w:type="dxa"/>
            <w:tcMar>
              <w:left w:w="85" w:type="dxa"/>
              <w:right w:w="85" w:type="dxa"/>
            </w:tcMar>
          </w:tcPr>
          <w:p w14:paraId="0000016F"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-R33 </w:t>
            </w:r>
          </w:p>
        </w:tc>
        <w:tc>
          <w:tcPr>
            <w:tcW w:w="1106" w:type="dxa"/>
            <w:tcMar>
              <w:left w:w="85" w:type="dxa"/>
              <w:right w:w="85" w:type="dxa"/>
            </w:tcMar>
          </w:tcPr>
          <w:p w14:paraId="00000170"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-R79 </w:t>
            </w:r>
          </w:p>
        </w:tc>
        <w:tc>
          <w:tcPr>
            <w:tcW w:w="1107" w:type="dxa"/>
            <w:tcMar>
              <w:left w:w="85" w:type="dxa"/>
              <w:right w:w="85" w:type="dxa"/>
            </w:tcMar>
          </w:tcPr>
          <w:p w14:paraId="00000171" w14:textId="77777777" w:rsidR="00F8269C" w:rsidRDefault="00F8269C"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rFonts w:ascii="Arial Bold" w:eastAsia="Arial Bold" w:hAnsi="Arial Bold" w:cs="Arial Bold"/>
                <w:color w:val="000000"/>
                <w:sz w:val="18"/>
                <w:szCs w:val="18"/>
              </w:rPr>
            </w:pPr>
          </w:p>
        </w:tc>
      </w:tr>
      <w:tr w:rsidR="00F8269C" w14:paraId="6BAF4AE2" w14:textId="77777777" w:rsidTr="009D3D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0000172" w14:textId="77777777" w:rsidR="00F8269C" w:rsidRDefault="00450D2D" w:rsidP="009D3DA2">
            <w:pPr>
              <w:pBdr>
                <w:top w:val="nil"/>
                <w:left w:val="nil"/>
                <w:bottom w:val="nil"/>
                <w:right w:val="nil"/>
                <w:between w:val="nil"/>
              </w:pBdr>
              <w:spacing w:before="60" w:after="60"/>
              <w:rPr>
                <w:color w:val="000000"/>
                <w:sz w:val="12"/>
                <w:szCs w:val="12"/>
              </w:rPr>
            </w:pPr>
            <w:r>
              <w:rPr>
                <w:b w:val="0"/>
                <w:color w:val="000000"/>
                <w:sz w:val="18"/>
                <w:szCs w:val="18"/>
              </w:rPr>
              <w:t>GVA at Basic Prices</w:t>
            </w:r>
          </w:p>
        </w:tc>
        <w:tc>
          <w:tcPr>
            <w:tcW w:w="1106" w:type="dxa"/>
            <w:tcMar>
              <w:left w:w="85" w:type="dxa"/>
              <w:right w:w="85" w:type="dxa"/>
            </w:tcMar>
          </w:tcPr>
          <w:p w14:paraId="00000173"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b/>
                <w:color w:val="000000"/>
                <w:sz w:val="16"/>
                <w:szCs w:val="16"/>
              </w:rPr>
            </w:pPr>
            <w:r w:rsidRPr="009D3DA2">
              <w:rPr>
                <w:b/>
                <w:color w:val="000000"/>
                <w:sz w:val="16"/>
                <w:szCs w:val="16"/>
              </w:rPr>
              <w:t xml:space="preserve"> R4 612 </w:t>
            </w:r>
          </w:p>
        </w:tc>
        <w:tc>
          <w:tcPr>
            <w:tcW w:w="1106" w:type="dxa"/>
            <w:tcMar>
              <w:left w:w="85" w:type="dxa"/>
              <w:right w:w="85" w:type="dxa"/>
            </w:tcMar>
          </w:tcPr>
          <w:p w14:paraId="00000174"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b/>
                <w:color w:val="000000"/>
                <w:sz w:val="16"/>
                <w:szCs w:val="16"/>
              </w:rPr>
            </w:pPr>
            <w:r w:rsidRPr="009D3DA2">
              <w:rPr>
                <w:b/>
                <w:color w:val="000000"/>
                <w:sz w:val="16"/>
                <w:szCs w:val="16"/>
              </w:rPr>
              <w:t xml:space="preserve"> R6 843 </w:t>
            </w:r>
          </w:p>
        </w:tc>
        <w:tc>
          <w:tcPr>
            <w:tcW w:w="1107" w:type="dxa"/>
            <w:tcMar>
              <w:left w:w="85" w:type="dxa"/>
              <w:right w:w="85" w:type="dxa"/>
            </w:tcMar>
          </w:tcPr>
          <w:p w14:paraId="00000175"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b/>
                <w:color w:val="000000"/>
                <w:sz w:val="16"/>
                <w:szCs w:val="16"/>
              </w:rPr>
            </w:pPr>
            <w:r w:rsidRPr="009D3DA2">
              <w:rPr>
                <w:b/>
                <w:color w:val="000000"/>
                <w:sz w:val="16"/>
                <w:szCs w:val="16"/>
              </w:rPr>
              <w:t xml:space="preserve"> R15 842 </w:t>
            </w:r>
          </w:p>
        </w:tc>
        <w:tc>
          <w:tcPr>
            <w:tcW w:w="1106" w:type="dxa"/>
            <w:tcMar>
              <w:left w:w="85" w:type="dxa"/>
              <w:right w:w="85" w:type="dxa"/>
            </w:tcMar>
          </w:tcPr>
          <w:p w14:paraId="00000176"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b/>
                <w:color w:val="000000"/>
                <w:sz w:val="16"/>
                <w:szCs w:val="16"/>
              </w:rPr>
            </w:pPr>
            <w:r w:rsidRPr="009D3DA2">
              <w:rPr>
                <w:b/>
                <w:color w:val="000000"/>
                <w:sz w:val="16"/>
                <w:szCs w:val="16"/>
              </w:rPr>
              <w:t xml:space="preserve"> R17 616 </w:t>
            </w:r>
          </w:p>
        </w:tc>
        <w:tc>
          <w:tcPr>
            <w:tcW w:w="1107" w:type="dxa"/>
            <w:tcMar>
              <w:left w:w="85" w:type="dxa"/>
              <w:right w:w="85" w:type="dxa"/>
            </w:tcMar>
          </w:tcPr>
          <w:p w14:paraId="00000177"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b/>
                <w:color w:val="000000"/>
                <w:sz w:val="16"/>
                <w:szCs w:val="16"/>
              </w:rPr>
            </w:pPr>
            <w:r w:rsidRPr="009D3DA2">
              <w:rPr>
                <w:b/>
                <w:color w:val="000000"/>
                <w:sz w:val="16"/>
                <w:szCs w:val="16"/>
              </w:rPr>
              <w:t xml:space="preserve"> R31 512 </w:t>
            </w:r>
          </w:p>
        </w:tc>
        <w:tc>
          <w:tcPr>
            <w:tcW w:w="1106" w:type="dxa"/>
            <w:tcMar>
              <w:left w:w="85" w:type="dxa"/>
              <w:right w:w="85" w:type="dxa"/>
            </w:tcMar>
          </w:tcPr>
          <w:p w14:paraId="00000178"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b/>
                <w:color w:val="000000"/>
                <w:sz w:val="16"/>
                <w:szCs w:val="16"/>
              </w:rPr>
            </w:pPr>
            <w:r w:rsidRPr="009D3DA2">
              <w:rPr>
                <w:b/>
                <w:color w:val="000000"/>
                <w:sz w:val="16"/>
                <w:szCs w:val="16"/>
              </w:rPr>
              <w:t xml:space="preserve"> R36 826 </w:t>
            </w:r>
          </w:p>
        </w:tc>
        <w:tc>
          <w:tcPr>
            <w:tcW w:w="1107" w:type="dxa"/>
            <w:tcMar>
              <w:left w:w="85" w:type="dxa"/>
              <w:right w:w="85" w:type="dxa"/>
            </w:tcMar>
          </w:tcPr>
          <w:p w14:paraId="00000179" w14:textId="77777777" w:rsidR="00F8269C" w:rsidRPr="00163C1E"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rFonts w:ascii="Arial Bold" w:eastAsia="Arial Bold" w:hAnsi="Arial Bold" w:cs="Arial Bold"/>
                <w:b/>
                <w:color w:val="000000"/>
                <w:sz w:val="16"/>
                <w:szCs w:val="16"/>
              </w:rPr>
            </w:pPr>
            <w:r w:rsidRPr="00163C1E">
              <w:rPr>
                <w:rFonts w:ascii="Arial Bold" w:eastAsia="Arial Bold" w:hAnsi="Arial Bold" w:cs="Arial Bold"/>
                <w:b/>
                <w:color w:val="000000"/>
                <w:sz w:val="16"/>
                <w:szCs w:val="16"/>
              </w:rPr>
              <w:t xml:space="preserve"> R113 250 </w:t>
            </w:r>
          </w:p>
        </w:tc>
      </w:tr>
      <w:tr w:rsidR="00F8269C" w14:paraId="3ED8B7D6" w14:textId="77777777" w:rsidTr="009D3DA2">
        <w:tc>
          <w:tcPr>
            <w:cnfStyle w:val="001000000000" w:firstRow="0" w:lastRow="0" w:firstColumn="1" w:lastColumn="0" w:oddVBand="0" w:evenVBand="0" w:oddHBand="0" w:evenHBand="0" w:firstRowFirstColumn="0" w:firstRowLastColumn="0" w:lastRowFirstColumn="0" w:lastRowLastColumn="0"/>
            <w:tcW w:w="1271" w:type="dxa"/>
          </w:tcPr>
          <w:p w14:paraId="0000017A" w14:textId="77777777" w:rsidR="00F8269C" w:rsidRPr="009D3DA2" w:rsidRDefault="00450D2D" w:rsidP="009D3DA2">
            <w:pPr>
              <w:pBdr>
                <w:top w:val="nil"/>
                <w:left w:val="nil"/>
                <w:bottom w:val="nil"/>
                <w:right w:val="nil"/>
                <w:between w:val="nil"/>
              </w:pBdr>
              <w:spacing w:before="60" w:after="60"/>
              <w:rPr>
                <w:color w:val="000000"/>
                <w:sz w:val="16"/>
                <w:szCs w:val="16"/>
              </w:rPr>
            </w:pPr>
            <w:r w:rsidRPr="009D3DA2">
              <w:rPr>
                <w:color w:val="000000"/>
                <w:sz w:val="16"/>
                <w:szCs w:val="16"/>
              </w:rPr>
              <w:t>Product taxes: Value added tax (VAT)</w:t>
            </w:r>
          </w:p>
        </w:tc>
        <w:tc>
          <w:tcPr>
            <w:tcW w:w="1106" w:type="dxa"/>
            <w:tcMar>
              <w:left w:w="85" w:type="dxa"/>
              <w:right w:w="85" w:type="dxa"/>
            </w:tcMar>
          </w:tcPr>
          <w:p w14:paraId="0000017B"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R145 </w:t>
            </w:r>
          </w:p>
        </w:tc>
        <w:tc>
          <w:tcPr>
            <w:tcW w:w="1106" w:type="dxa"/>
            <w:tcMar>
              <w:left w:w="85" w:type="dxa"/>
              <w:right w:w="85" w:type="dxa"/>
            </w:tcMar>
          </w:tcPr>
          <w:p w14:paraId="0000017C"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R233 </w:t>
            </w:r>
          </w:p>
        </w:tc>
        <w:tc>
          <w:tcPr>
            <w:tcW w:w="1107" w:type="dxa"/>
            <w:tcMar>
              <w:left w:w="85" w:type="dxa"/>
              <w:right w:w="85" w:type="dxa"/>
            </w:tcMar>
          </w:tcPr>
          <w:p w14:paraId="0000017D"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R530 </w:t>
            </w:r>
          </w:p>
        </w:tc>
        <w:tc>
          <w:tcPr>
            <w:tcW w:w="1106" w:type="dxa"/>
            <w:tcMar>
              <w:left w:w="85" w:type="dxa"/>
              <w:right w:w="85" w:type="dxa"/>
            </w:tcMar>
          </w:tcPr>
          <w:p w14:paraId="0000017E"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R1 181 </w:t>
            </w:r>
          </w:p>
        </w:tc>
        <w:tc>
          <w:tcPr>
            <w:tcW w:w="1107" w:type="dxa"/>
            <w:tcMar>
              <w:left w:w="85" w:type="dxa"/>
              <w:right w:w="85" w:type="dxa"/>
            </w:tcMar>
          </w:tcPr>
          <w:p w14:paraId="0000017F"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R1 263 </w:t>
            </w:r>
          </w:p>
        </w:tc>
        <w:tc>
          <w:tcPr>
            <w:tcW w:w="1106" w:type="dxa"/>
            <w:tcMar>
              <w:left w:w="85" w:type="dxa"/>
              <w:right w:w="85" w:type="dxa"/>
            </w:tcMar>
          </w:tcPr>
          <w:p w14:paraId="00000180"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R1 471 </w:t>
            </w:r>
          </w:p>
        </w:tc>
        <w:tc>
          <w:tcPr>
            <w:tcW w:w="1107" w:type="dxa"/>
            <w:tcMar>
              <w:left w:w="85" w:type="dxa"/>
              <w:right w:w="85" w:type="dxa"/>
            </w:tcMar>
          </w:tcPr>
          <w:p w14:paraId="00000181" w14:textId="77777777" w:rsidR="00F8269C" w:rsidRDefault="00F8269C"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rFonts w:ascii="Arial Bold" w:eastAsia="Arial Bold" w:hAnsi="Arial Bold" w:cs="Arial Bold"/>
                <w:color w:val="000000"/>
                <w:sz w:val="18"/>
                <w:szCs w:val="18"/>
              </w:rPr>
            </w:pPr>
          </w:p>
        </w:tc>
      </w:tr>
      <w:tr w:rsidR="00F8269C" w14:paraId="1B1170C6" w14:textId="77777777" w:rsidTr="009D3D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0000182" w14:textId="77777777" w:rsidR="00F8269C" w:rsidRPr="009D3DA2" w:rsidRDefault="00450D2D" w:rsidP="009D3DA2">
            <w:pPr>
              <w:pBdr>
                <w:top w:val="nil"/>
                <w:left w:val="nil"/>
                <w:bottom w:val="nil"/>
                <w:right w:val="nil"/>
                <w:between w:val="nil"/>
              </w:pBdr>
              <w:spacing w:before="60" w:after="60"/>
              <w:rPr>
                <w:color w:val="000000"/>
                <w:sz w:val="16"/>
                <w:szCs w:val="16"/>
              </w:rPr>
            </w:pPr>
            <w:r w:rsidRPr="009D3DA2">
              <w:rPr>
                <w:color w:val="000000"/>
                <w:sz w:val="16"/>
                <w:szCs w:val="16"/>
              </w:rPr>
              <w:t>Product taxes: Custom duties</w:t>
            </w:r>
          </w:p>
        </w:tc>
        <w:tc>
          <w:tcPr>
            <w:tcW w:w="1106" w:type="dxa"/>
            <w:tcMar>
              <w:left w:w="85" w:type="dxa"/>
              <w:right w:w="85" w:type="dxa"/>
            </w:tcMar>
          </w:tcPr>
          <w:p w14:paraId="00000183"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R12 </w:t>
            </w:r>
          </w:p>
        </w:tc>
        <w:tc>
          <w:tcPr>
            <w:tcW w:w="1106" w:type="dxa"/>
            <w:tcMar>
              <w:left w:w="85" w:type="dxa"/>
              <w:right w:w="85" w:type="dxa"/>
            </w:tcMar>
          </w:tcPr>
          <w:p w14:paraId="00000184"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R22 </w:t>
            </w:r>
          </w:p>
        </w:tc>
        <w:tc>
          <w:tcPr>
            <w:tcW w:w="1107" w:type="dxa"/>
            <w:tcMar>
              <w:left w:w="85" w:type="dxa"/>
              <w:right w:w="85" w:type="dxa"/>
            </w:tcMar>
          </w:tcPr>
          <w:p w14:paraId="00000185"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R61 </w:t>
            </w:r>
          </w:p>
        </w:tc>
        <w:tc>
          <w:tcPr>
            <w:tcW w:w="1106" w:type="dxa"/>
            <w:tcMar>
              <w:left w:w="85" w:type="dxa"/>
              <w:right w:w="85" w:type="dxa"/>
            </w:tcMar>
          </w:tcPr>
          <w:p w14:paraId="00000186"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R89 </w:t>
            </w:r>
          </w:p>
        </w:tc>
        <w:tc>
          <w:tcPr>
            <w:tcW w:w="1107" w:type="dxa"/>
            <w:tcMar>
              <w:left w:w="85" w:type="dxa"/>
              <w:right w:w="85" w:type="dxa"/>
            </w:tcMar>
          </w:tcPr>
          <w:p w14:paraId="00000187"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R38 </w:t>
            </w:r>
          </w:p>
        </w:tc>
        <w:tc>
          <w:tcPr>
            <w:tcW w:w="1106" w:type="dxa"/>
            <w:tcMar>
              <w:left w:w="85" w:type="dxa"/>
              <w:right w:w="85" w:type="dxa"/>
            </w:tcMar>
          </w:tcPr>
          <w:p w14:paraId="00000188"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R21 </w:t>
            </w:r>
          </w:p>
        </w:tc>
        <w:tc>
          <w:tcPr>
            <w:tcW w:w="1107" w:type="dxa"/>
            <w:tcMar>
              <w:left w:w="85" w:type="dxa"/>
              <w:right w:w="85" w:type="dxa"/>
            </w:tcMar>
          </w:tcPr>
          <w:p w14:paraId="00000189" w14:textId="77777777" w:rsidR="00F8269C" w:rsidRDefault="00F8269C"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rFonts w:ascii="Arial Bold" w:eastAsia="Arial Bold" w:hAnsi="Arial Bold" w:cs="Arial Bold"/>
                <w:color w:val="000000"/>
                <w:sz w:val="18"/>
                <w:szCs w:val="18"/>
              </w:rPr>
            </w:pPr>
          </w:p>
        </w:tc>
      </w:tr>
      <w:tr w:rsidR="00F8269C" w14:paraId="07202237" w14:textId="77777777" w:rsidTr="009D3DA2">
        <w:tc>
          <w:tcPr>
            <w:cnfStyle w:val="001000000000" w:firstRow="0" w:lastRow="0" w:firstColumn="1" w:lastColumn="0" w:oddVBand="0" w:evenVBand="0" w:oddHBand="0" w:evenHBand="0" w:firstRowFirstColumn="0" w:firstRowLastColumn="0" w:lastRowFirstColumn="0" w:lastRowLastColumn="0"/>
            <w:tcW w:w="1271" w:type="dxa"/>
          </w:tcPr>
          <w:p w14:paraId="0000018A" w14:textId="77777777" w:rsidR="00F8269C" w:rsidRPr="009D3DA2" w:rsidRDefault="00450D2D" w:rsidP="009D3DA2">
            <w:pPr>
              <w:pBdr>
                <w:top w:val="nil"/>
                <w:left w:val="nil"/>
                <w:bottom w:val="nil"/>
                <w:right w:val="nil"/>
                <w:between w:val="nil"/>
              </w:pBdr>
              <w:spacing w:before="60" w:after="60"/>
              <w:rPr>
                <w:color w:val="000000"/>
                <w:sz w:val="16"/>
                <w:szCs w:val="16"/>
              </w:rPr>
            </w:pPr>
            <w:r w:rsidRPr="009D3DA2">
              <w:rPr>
                <w:color w:val="000000"/>
                <w:sz w:val="16"/>
                <w:szCs w:val="16"/>
              </w:rPr>
              <w:t>Product taxes: Excise duties</w:t>
            </w:r>
          </w:p>
        </w:tc>
        <w:tc>
          <w:tcPr>
            <w:tcW w:w="1106" w:type="dxa"/>
            <w:tcMar>
              <w:left w:w="85" w:type="dxa"/>
              <w:right w:w="85" w:type="dxa"/>
            </w:tcMar>
          </w:tcPr>
          <w:p w14:paraId="0000018B"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R8 </w:t>
            </w:r>
          </w:p>
        </w:tc>
        <w:tc>
          <w:tcPr>
            <w:tcW w:w="1106" w:type="dxa"/>
            <w:tcMar>
              <w:left w:w="85" w:type="dxa"/>
              <w:right w:w="85" w:type="dxa"/>
            </w:tcMar>
          </w:tcPr>
          <w:p w14:paraId="0000018C"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R13 </w:t>
            </w:r>
          </w:p>
        </w:tc>
        <w:tc>
          <w:tcPr>
            <w:tcW w:w="1107" w:type="dxa"/>
            <w:tcMar>
              <w:left w:w="85" w:type="dxa"/>
              <w:right w:w="85" w:type="dxa"/>
            </w:tcMar>
          </w:tcPr>
          <w:p w14:paraId="0000018D"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R5 </w:t>
            </w:r>
          </w:p>
        </w:tc>
        <w:tc>
          <w:tcPr>
            <w:tcW w:w="1106" w:type="dxa"/>
            <w:tcMar>
              <w:left w:w="85" w:type="dxa"/>
              <w:right w:w="85" w:type="dxa"/>
            </w:tcMar>
          </w:tcPr>
          <w:p w14:paraId="0000018E"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R8 </w:t>
            </w:r>
          </w:p>
        </w:tc>
        <w:tc>
          <w:tcPr>
            <w:tcW w:w="1107" w:type="dxa"/>
            <w:tcMar>
              <w:left w:w="85" w:type="dxa"/>
              <w:right w:w="85" w:type="dxa"/>
            </w:tcMar>
          </w:tcPr>
          <w:p w14:paraId="0000018F"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R18 </w:t>
            </w:r>
          </w:p>
        </w:tc>
        <w:tc>
          <w:tcPr>
            <w:tcW w:w="1106" w:type="dxa"/>
            <w:tcMar>
              <w:left w:w="85" w:type="dxa"/>
              <w:right w:w="85" w:type="dxa"/>
            </w:tcMar>
          </w:tcPr>
          <w:p w14:paraId="00000190"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R1 </w:t>
            </w:r>
          </w:p>
        </w:tc>
        <w:tc>
          <w:tcPr>
            <w:tcW w:w="1107" w:type="dxa"/>
            <w:tcMar>
              <w:left w:w="85" w:type="dxa"/>
              <w:right w:w="85" w:type="dxa"/>
            </w:tcMar>
          </w:tcPr>
          <w:p w14:paraId="00000191" w14:textId="77777777" w:rsidR="00F8269C" w:rsidRDefault="00F8269C"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rFonts w:ascii="Arial Bold" w:eastAsia="Arial Bold" w:hAnsi="Arial Bold" w:cs="Arial Bold"/>
                <w:color w:val="000000"/>
                <w:sz w:val="18"/>
                <w:szCs w:val="18"/>
              </w:rPr>
            </w:pPr>
          </w:p>
        </w:tc>
      </w:tr>
      <w:tr w:rsidR="00F8269C" w14:paraId="76CD59FD" w14:textId="77777777" w:rsidTr="009D3D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0000192" w14:textId="77777777" w:rsidR="00F8269C" w:rsidRPr="009D3DA2" w:rsidRDefault="00450D2D" w:rsidP="009D3DA2">
            <w:pPr>
              <w:pBdr>
                <w:top w:val="nil"/>
                <w:left w:val="nil"/>
                <w:bottom w:val="nil"/>
                <w:right w:val="nil"/>
                <w:between w:val="nil"/>
              </w:pBdr>
              <w:spacing w:before="60" w:after="60"/>
              <w:rPr>
                <w:color w:val="000000"/>
                <w:sz w:val="16"/>
                <w:szCs w:val="16"/>
              </w:rPr>
            </w:pPr>
            <w:r w:rsidRPr="009D3DA2">
              <w:rPr>
                <w:color w:val="000000"/>
                <w:sz w:val="16"/>
                <w:szCs w:val="16"/>
              </w:rPr>
              <w:t>Product taxes: Fuel levy</w:t>
            </w:r>
          </w:p>
        </w:tc>
        <w:tc>
          <w:tcPr>
            <w:tcW w:w="1106" w:type="dxa"/>
            <w:tcMar>
              <w:left w:w="85" w:type="dxa"/>
              <w:right w:w="85" w:type="dxa"/>
            </w:tcMar>
          </w:tcPr>
          <w:p w14:paraId="00000193"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R8 </w:t>
            </w:r>
          </w:p>
        </w:tc>
        <w:tc>
          <w:tcPr>
            <w:tcW w:w="1106" w:type="dxa"/>
            <w:tcMar>
              <w:left w:w="85" w:type="dxa"/>
              <w:right w:w="85" w:type="dxa"/>
            </w:tcMar>
          </w:tcPr>
          <w:p w14:paraId="00000194"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R9 </w:t>
            </w:r>
          </w:p>
        </w:tc>
        <w:tc>
          <w:tcPr>
            <w:tcW w:w="1107" w:type="dxa"/>
            <w:tcMar>
              <w:left w:w="85" w:type="dxa"/>
              <w:right w:w="85" w:type="dxa"/>
            </w:tcMar>
          </w:tcPr>
          <w:p w14:paraId="00000195"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R54 </w:t>
            </w:r>
          </w:p>
        </w:tc>
        <w:tc>
          <w:tcPr>
            <w:tcW w:w="1106" w:type="dxa"/>
            <w:tcMar>
              <w:left w:w="85" w:type="dxa"/>
              <w:right w:w="85" w:type="dxa"/>
            </w:tcMar>
          </w:tcPr>
          <w:p w14:paraId="00000196"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R48 </w:t>
            </w:r>
          </w:p>
        </w:tc>
        <w:tc>
          <w:tcPr>
            <w:tcW w:w="1107" w:type="dxa"/>
            <w:tcMar>
              <w:left w:w="85" w:type="dxa"/>
              <w:right w:w="85" w:type="dxa"/>
            </w:tcMar>
          </w:tcPr>
          <w:p w14:paraId="00000197"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R31 </w:t>
            </w:r>
          </w:p>
        </w:tc>
        <w:tc>
          <w:tcPr>
            <w:tcW w:w="1106" w:type="dxa"/>
            <w:tcMar>
              <w:left w:w="85" w:type="dxa"/>
              <w:right w:w="85" w:type="dxa"/>
            </w:tcMar>
          </w:tcPr>
          <w:p w14:paraId="00000198"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 R148 </w:t>
            </w:r>
          </w:p>
        </w:tc>
        <w:tc>
          <w:tcPr>
            <w:tcW w:w="1107" w:type="dxa"/>
            <w:tcMar>
              <w:left w:w="85" w:type="dxa"/>
              <w:right w:w="85" w:type="dxa"/>
            </w:tcMar>
          </w:tcPr>
          <w:p w14:paraId="00000199" w14:textId="77777777" w:rsidR="00F8269C" w:rsidRDefault="00F8269C"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rFonts w:ascii="Arial Bold" w:eastAsia="Arial Bold" w:hAnsi="Arial Bold" w:cs="Arial Bold"/>
                <w:color w:val="000000"/>
                <w:sz w:val="18"/>
                <w:szCs w:val="18"/>
              </w:rPr>
            </w:pPr>
          </w:p>
        </w:tc>
      </w:tr>
      <w:tr w:rsidR="00F8269C" w14:paraId="3F024016" w14:textId="77777777" w:rsidTr="009D3DA2">
        <w:tc>
          <w:tcPr>
            <w:cnfStyle w:val="001000000000" w:firstRow="0" w:lastRow="0" w:firstColumn="1" w:lastColumn="0" w:oddVBand="0" w:evenVBand="0" w:oddHBand="0" w:evenHBand="0" w:firstRowFirstColumn="0" w:firstRowLastColumn="0" w:lastRowFirstColumn="0" w:lastRowLastColumn="0"/>
            <w:tcW w:w="1271" w:type="dxa"/>
          </w:tcPr>
          <w:p w14:paraId="0000019A" w14:textId="77777777" w:rsidR="00F8269C" w:rsidRPr="009D3DA2" w:rsidRDefault="00450D2D" w:rsidP="009D3DA2">
            <w:pPr>
              <w:pBdr>
                <w:top w:val="nil"/>
                <w:left w:val="nil"/>
                <w:bottom w:val="nil"/>
                <w:right w:val="nil"/>
                <w:between w:val="nil"/>
              </w:pBdr>
              <w:spacing w:before="60" w:after="60"/>
              <w:rPr>
                <w:color w:val="000000"/>
                <w:sz w:val="16"/>
                <w:szCs w:val="16"/>
              </w:rPr>
            </w:pPr>
            <w:r w:rsidRPr="009D3DA2">
              <w:rPr>
                <w:color w:val="000000"/>
                <w:sz w:val="16"/>
                <w:szCs w:val="16"/>
              </w:rPr>
              <w:t>Product taxes: Other taxes on products</w:t>
            </w:r>
          </w:p>
        </w:tc>
        <w:tc>
          <w:tcPr>
            <w:tcW w:w="1106" w:type="dxa"/>
            <w:tcMar>
              <w:left w:w="85" w:type="dxa"/>
              <w:right w:w="85" w:type="dxa"/>
            </w:tcMar>
          </w:tcPr>
          <w:p w14:paraId="0000019B"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R17 </w:t>
            </w:r>
          </w:p>
        </w:tc>
        <w:tc>
          <w:tcPr>
            <w:tcW w:w="1106" w:type="dxa"/>
            <w:tcMar>
              <w:left w:w="85" w:type="dxa"/>
              <w:right w:w="85" w:type="dxa"/>
            </w:tcMar>
          </w:tcPr>
          <w:p w14:paraId="0000019C"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R25 </w:t>
            </w:r>
          </w:p>
        </w:tc>
        <w:tc>
          <w:tcPr>
            <w:tcW w:w="1107" w:type="dxa"/>
            <w:tcMar>
              <w:left w:w="85" w:type="dxa"/>
              <w:right w:w="85" w:type="dxa"/>
            </w:tcMar>
          </w:tcPr>
          <w:p w14:paraId="0000019D"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R84 </w:t>
            </w:r>
          </w:p>
        </w:tc>
        <w:tc>
          <w:tcPr>
            <w:tcW w:w="1106" w:type="dxa"/>
            <w:tcMar>
              <w:left w:w="85" w:type="dxa"/>
              <w:right w:w="85" w:type="dxa"/>
            </w:tcMar>
          </w:tcPr>
          <w:p w14:paraId="0000019E"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R104 </w:t>
            </w:r>
          </w:p>
        </w:tc>
        <w:tc>
          <w:tcPr>
            <w:tcW w:w="1107" w:type="dxa"/>
            <w:tcMar>
              <w:left w:w="85" w:type="dxa"/>
              <w:right w:w="85" w:type="dxa"/>
            </w:tcMar>
          </w:tcPr>
          <w:p w14:paraId="0000019F"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R139 </w:t>
            </w:r>
          </w:p>
        </w:tc>
        <w:tc>
          <w:tcPr>
            <w:tcW w:w="1106" w:type="dxa"/>
            <w:tcMar>
              <w:left w:w="85" w:type="dxa"/>
              <w:right w:w="85" w:type="dxa"/>
            </w:tcMar>
          </w:tcPr>
          <w:p w14:paraId="000001A0"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9D3DA2">
              <w:rPr>
                <w:color w:val="000000"/>
                <w:sz w:val="16"/>
                <w:szCs w:val="16"/>
              </w:rPr>
              <w:t xml:space="preserve"> R166 </w:t>
            </w:r>
          </w:p>
        </w:tc>
        <w:tc>
          <w:tcPr>
            <w:tcW w:w="1107" w:type="dxa"/>
            <w:tcMar>
              <w:left w:w="85" w:type="dxa"/>
              <w:right w:w="85" w:type="dxa"/>
            </w:tcMar>
          </w:tcPr>
          <w:p w14:paraId="000001A1" w14:textId="77777777" w:rsidR="00F8269C" w:rsidRDefault="00F8269C"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rFonts w:ascii="Arial Bold" w:eastAsia="Arial Bold" w:hAnsi="Arial Bold" w:cs="Arial Bold"/>
                <w:color w:val="000000"/>
                <w:sz w:val="18"/>
                <w:szCs w:val="18"/>
              </w:rPr>
            </w:pPr>
          </w:p>
        </w:tc>
      </w:tr>
      <w:tr w:rsidR="00F8269C" w14:paraId="54616B86" w14:textId="77777777" w:rsidTr="009D3D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00001A2" w14:textId="77777777" w:rsidR="00F8269C" w:rsidRPr="009D3DA2" w:rsidRDefault="00450D2D" w:rsidP="009D3DA2">
            <w:pPr>
              <w:pBdr>
                <w:top w:val="nil"/>
                <w:left w:val="nil"/>
                <w:bottom w:val="nil"/>
                <w:right w:val="nil"/>
                <w:between w:val="nil"/>
              </w:pBdr>
              <w:spacing w:before="60" w:after="60"/>
              <w:rPr>
                <w:color w:val="000000"/>
                <w:sz w:val="16"/>
                <w:szCs w:val="16"/>
              </w:rPr>
            </w:pPr>
            <w:r w:rsidRPr="009D3DA2">
              <w:rPr>
                <w:color w:val="000000"/>
                <w:sz w:val="16"/>
                <w:szCs w:val="16"/>
              </w:rPr>
              <w:t>Subsidies on products</w:t>
            </w:r>
          </w:p>
        </w:tc>
        <w:tc>
          <w:tcPr>
            <w:tcW w:w="1106" w:type="dxa"/>
            <w:tcMar>
              <w:left w:w="85" w:type="dxa"/>
              <w:right w:w="85" w:type="dxa"/>
            </w:tcMar>
          </w:tcPr>
          <w:p w14:paraId="000001A3"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-R3 </w:t>
            </w:r>
          </w:p>
        </w:tc>
        <w:tc>
          <w:tcPr>
            <w:tcW w:w="1106" w:type="dxa"/>
            <w:tcMar>
              <w:left w:w="85" w:type="dxa"/>
              <w:right w:w="85" w:type="dxa"/>
            </w:tcMar>
          </w:tcPr>
          <w:p w14:paraId="000001A4"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-R5 </w:t>
            </w:r>
          </w:p>
        </w:tc>
        <w:tc>
          <w:tcPr>
            <w:tcW w:w="1107" w:type="dxa"/>
            <w:tcMar>
              <w:left w:w="85" w:type="dxa"/>
              <w:right w:w="85" w:type="dxa"/>
            </w:tcMar>
          </w:tcPr>
          <w:p w14:paraId="000001A5"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-R23 </w:t>
            </w:r>
          </w:p>
        </w:tc>
        <w:tc>
          <w:tcPr>
            <w:tcW w:w="1106" w:type="dxa"/>
            <w:tcMar>
              <w:left w:w="85" w:type="dxa"/>
              <w:right w:w="85" w:type="dxa"/>
            </w:tcMar>
          </w:tcPr>
          <w:p w14:paraId="000001A6"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-R60 </w:t>
            </w:r>
          </w:p>
        </w:tc>
        <w:tc>
          <w:tcPr>
            <w:tcW w:w="1107" w:type="dxa"/>
            <w:tcMar>
              <w:left w:w="85" w:type="dxa"/>
              <w:right w:w="85" w:type="dxa"/>
            </w:tcMar>
          </w:tcPr>
          <w:p w14:paraId="000001A7"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-R21 </w:t>
            </w:r>
          </w:p>
        </w:tc>
        <w:tc>
          <w:tcPr>
            <w:tcW w:w="1106" w:type="dxa"/>
            <w:tcMar>
              <w:left w:w="85" w:type="dxa"/>
              <w:right w:w="85" w:type="dxa"/>
            </w:tcMar>
          </w:tcPr>
          <w:p w14:paraId="000001A8" w14:textId="77777777" w:rsidR="00F8269C" w:rsidRPr="009D3DA2" w:rsidRDefault="00450D2D"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9D3DA2">
              <w:rPr>
                <w:color w:val="000000"/>
                <w:sz w:val="16"/>
                <w:szCs w:val="16"/>
              </w:rPr>
              <w:t xml:space="preserve">-R31 </w:t>
            </w:r>
          </w:p>
        </w:tc>
        <w:tc>
          <w:tcPr>
            <w:tcW w:w="1107" w:type="dxa"/>
            <w:tcMar>
              <w:left w:w="85" w:type="dxa"/>
              <w:right w:w="85" w:type="dxa"/>
            </w:tcMar>
          </w:tcPr>
          <w:p w14:paraId="000001A9" w14:textId="77777777" w:rsidR="00F8269C" w:rsidRDefault="00F8269C" w:rsidP="009D3DA2">
            <w:pPr>
              <w:pBdr>
                <w:top w:val="nil"/>
                <w:left w:val="nil"/>
                <w:bottom w:val="nil"/>
                <w:right w:val="nil"/>
                <w:between w:val="nil"/>
              </w:pBdr>
              <w:spacing w:before="60" w:after="60"/>
              <w:jc w:val="right"/>
              <w:cnfStyle w:val="000000100000" w:firstRow="0" w:lastRow="0" w:firstColumn="0" w:lastColumn="0" w:oddVBand="0" w:evenVBand="0" w:oddHBand="1" w:evenHBand="0" w:firstRowFirstColumn="0" w:firstRowLastColumn="0" w:lastRowFirstColumn="0" w:lastRowLastColumn="0"/>
              <w:rPr>
                <w:rFonts w:ascii="Arial Bold" w:eastAsia="Arial Bold" w:hAnsi="Arial Bold" w:cs="Arial Bold"/>
                <w:color w:val="000000"/>
                <w:sz w:val="18"/>
                <w:szCs w:val="18"/>
              </w:rPr>
            </w:pPr>
          </w:p>
        </w:tc>
      </w:tr>
      <w:tr w:rsidR="00F8269C" w14:paraId="3866E439" w14:textId="77777777" w:rsidTr="009D3DA2">
        <w:tc>
          <w:tcPr>
            <w:cnfStyle w:val="001000000000" w:firstRow="0" w:lastRow="0" w:firstColumn="1" w:lastColumn="0" w:oddVBand="0" w:evenVBand="0" w:oddHBand="0" w:evenHBand="0" w:firstRowFirstColumn="0" w:firstRowLastColumn="0" w:lastRowFirstColumn="0" w:lastRowLastColumn="0"/>
            <w:tcW w:w="1271" w:type="dxa"/>
          </w:tcPr>
          <w:p w14:paraId="000001AA" w14:textId="00F3A74D" w:rsidR="00F8269C" w:rsidRDefault="00450D2D" w:rsidP="009D3DA2">
            <w:pPr>
              <w:pBdr>
                <w:top w:val="nil"/>
                <w:left w:val="nil"/>
                <w:bottom w:val="nil"/>
                <w:right w:val="nil"/>
                <w:between w:val="nil"/>
              </w:pBdr>
              <w:spacing w:before="60" w:after="60"/>
              <w:rPr>
                <w:color w:val="000000"/>
                <w:sz w:val="12"/>
                <w:szCs w:val="12"/>
              </w:rPr>
            </w:pPr>
            <w:r>
              <w:rPr>
                <w:b w:val="0"/>
                <w:color w:val="000000"/>
                <w:sz w:val="18"/>
                <w:szCs w:val="18"/>
              </w:rPr>
              <w:t xml:space="preserve">GDP at </w:t>
            </w:r>
            <w:r w:rsidR="001B154E">
              <w:rPr>
                <w:b w:val="0"/>
                <w:color w:val="000000"/>
                <w:sz w:val="18"/>
                <w:szCs w:val="18"/>
              </w:rPr>
              <w:t>Market Prices</w:t>
            </w:r>
          </w:p>
        </w:tc>
        <w:tc>
          <w:tcPr>
            <w:tcW w:w="1106" w:type="dxa"/>
            <w:tcMar>
              <w:left w:w="85" w:type="dxa"/>
              <w:right w:w="85" w:type="dxa"/>
            </w:tcMar>
          </w:tcPr>
          <w:p w14:paraId="000001AB"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b/>
                <w:color w:val="000000"/>
                <w:sz w:val="16"/>
                <w:szCs w:val="16"/>
              </w:rPr>
            </w:pPr>
            <w:r w:rsidRPr="009D3DA2">
              <w:rPr>
                <w:b/>
                <w:color w:val="000000"/>
                <w:sz w:val="16"/>
                <w:szCs w:val="16"/>
              </w:rPr>
              <w:t xml:space="preserve"> R4 798 </w:t>
            </w:r>
          </w:p>
        </w:tc>
        <w:tc>
          <w:tcPr>
            <w:tcW w:w="1106" w:type="dxa"/>
            <w:tcMar>
              <w:left w:w="85" w:type="dxa"/>
              <w:right w:w="85" w:type="dxa"/>
            </w:tcMar>
          </w:tcPr>
          <w:p w14:paraId="000001AC"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b/>
                <w:color w:val="000000"/>
                <w:sz w:val="16"/>
                <w:szCs w:val="16"/>
              </w:rPr>
            </w:pPr>
            <w:r w:rsidRPr="009D3DA2">
              <w:rPr>
                <w:b/>
                <w:color w:val="000000"/>
                <w:sz w:val="16"/>
                <w:szCs w:val="16"/>
              </w:rPr>
              <w:t xml:space="preserve"> R7 139 </w:t>
            </w:r>
          </w:p>
        </w:tc>
        <w:tc>
          <w:tcPr>
            <w:tcW w:w="1107" w:type="dxa"/>
            <w:tcMar>
              <w:left w:w="85" w:type="dxa"/>
              <w:right w:w="85" w:type="dxa"/>
            </w:tcMar>
          </w:tcPr>
          <w:p w14:paraId="000001AD"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b/>
                <w:color w:val="000000"/>
                <w:sz w:val="16"/>
                <w:szCs w:val="16"/>
              </w:rPr>
            </w:pPr>
            <w:r w:rsidRPr="009D3DA2">
              <w:rPr>
                <w:b/>
                <w:color w:val="000000"/>
                <w:sz w:val="16"/>
                <w:szCs w:val="16"/>
              </w:rPr>
              <w:t xml:space="preserve"> R16 554 </w:t>
            </w:r>
          </w:p>
        </w:tc>
        <w:tc>
          <w:tcPr>
            <w:tcW w:w="1106" w:type="dxa"/>
            <w:tcMar>
              <w:left w:w="85" w:type="dxa"/>
              <w:right w:w="85" w:type="dxa"/>
            </w:tcMar>
          </w:tcPr>
          <w:p w14:paraId="000001AE"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b/>
                <w:color w:val="000000"/>
                <w:sz w:val="16"/>
                <w:szCs w:val="16"/>
              </w:rPr>
            </w:pPr>
            <w:r w:rsidRPr="009D3DA2">
              <w:rPr>
                <w:b/>
                <w:color w:val="000000"/>
                <w:sz w:val="16"/>
                <w:szCs w:val="16"/>
              </w:rPr>
              <w:t xml:space="preserve"> R18 986 </w:t>
            </w:r>
          </w:p>
        </w:tc>
        <w:tc>
          <w:tcPr>
            <w:tcW w:w="1107" w:type="dxa"/>
            <w:tcMar>
              <w:left w:w="85" w:type="dxa"/>
              <w:right w:w="85" w:type="dxa"/>
            </w:tcMar>
          </w:tcPr>
          <w:p w14:paraId="000001AF"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b/>
                <w:color w:val="000000"/>
                <w:sz w:val="16"/>
                <w:szCs w:val="16"/>
              </w:rPr>
            </w:pPr>
            <w:r w:rsidRPr="009D3DA2">
              <w:rPr>
                <w:b/>
                <w:color w:val="000000"/>
                <w:sz w:val="16"/>
                <w:szCs w:val="16"/>
              </w:rPr>
              <w:t xml:space="preserve"> R32 982 </w:t>
            </w:r>
          </w:p>
        </w:tc>
        <w:tc>
          <w:tcPr>
            <w:tcW w:w="1106" w:type="dxa"/>
            <w:tcMar>
              <w:left w:w="85" w:type="dxa"/>
              <w:right w:w="85" w:type="dxa"/>
            </w:tcMar>
          </w:tcPr>
          <w:p w14:paraId="000001B0" w14:textId="77777777" w:rsidR="00F8269C" w:rsidRPr="009D3DA2"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b/>
                <w:color w:val="000000"/>
                <w:sz w:val="16"/>
                <w:szCs w:val="16"/>
              </w:rPr>
            </w:pPr>
            <w:r w:rsidRPr="009D3DA2">
              <w:rPr>
                <w:b/>
                <w:color w:val="000000"/>
                <w:sz w:val="16"/>
                <w:szCs w:val="16"/>
              </w:rPr>
              <w:t xml:space="preserve"> R38 602 </w:t>
            </w:r>
          </w:p>
        </w:tc>
        <w:tc>
          <w:tcPr>
            <w:tcW w:w="1107" w:type="dxa"/>
            <w:tcMar>
              <w:left w:w="85" w:type="dxa"/>
              <w:right w:w="85" w:type="dxa"/>
            </w:tcMar>
          </w:tcPr>
          <w:p w14:paraId="000001B1" w14:textId="77777777" w:rsidR="00F8269C" w:rsidRDefault="00450D2D" w:rsidP="009D3DA2">
            <w:pPr>
              <w:pBdr>
                <w:top w:val="nil"/>
                <w:left w:val="nil"/>
                <w:bottom w:val="nil"/>
                <w:right w:val="nil"/>
                <w:between w:val="nil"/>
              </w:pBdr>
              <w:spacing w:before="60" w:after="60"/>
              <w:jc w:val="right"/>
              <w:cnfStyle w:val="000000000000" w:firstRow="0" w:lastRow="0" w:firstColumn="0" w:lastColumn="0" w:oddVBand="0" w:evenVBand="0" w:oddHBand="0" w:evenHBand="0" w:firstRowFirstColumn="0" w:firstRowLastColumn="0" w:lastRowFirstColumn="0" w:lastRowLastColumn="0"/>
              <w:rPr>
                <w:rFonts w:ascii="Arial Bold" w:eastAsia="Arial Bold" w:hAnsi="Arial Bold" w:cs="Arial Bold"/>
                <w:b/>
                <w:color w:val="000000"/>
                <w:sz w:val="18"/>
                <w:szCs w:val="18"/>
              </w:rPr>
            </w:pPr>
            <w:r>
              <w:rPr>
                <w:rFonts w:ascii="Arial Bold" w:eastAsia="Arial Bold" w:hAnsi="Arial Bold" w:cs="Arial Bold"/>
                <w:b/>
                <w:color w:val="000000"/>
                <w:sz w:val="18"/>
                <w:szCs w:val="18"/>
              </w:rPr>
              <w:t xml:space="preserve"> </w:t>
            </w:r>
            <w:r w:rsidRPr="00163C1E">
              <w:rPr>
                <w:rFonts w:ascii="Arial Bold" w:eastAsia="Arial Bold" w:hAnsi="Arial Bold" w:cs="Arial Bold"/>
                <w:b/>
                <w:color w:val="000000"/>
                <w:sz w:val="16"/>
                <w:szCs w:val="16"/>
              </w:rPr>
              <w:t>R119 060</w:t>
            </w:r>
          </w:p>
        </w:tc>
      </w:tr>
    </w:tbl>
    <w:p w14:paraId="000001B2" w14:textId="77777777" w:rsidR="00F8269C" w:rsidRDefault="00F8269C"/>
    <w:p w14:paraId="000001B3" w14:textId="0AF2F255" w:rsidR="00F8269C" w:rsidRDefault="00450D2D" w:rsidP="004B7F36">
      <w:pPr>
        <w:jc w:val="both"/>
        <w:rPr>
          <w:sz w:val="22"/>
          <w:szCs w:val="22"/>
        </w:rPr>
      </w:pPr>
      <w:r>
        <w:rPr>
          <w:sz w:val="22"/>
          <w:szCs w:val="22"/>
        </w:rPr>
        <w:t>Table 2 shows the size of the various domains a</w:t>
      </w:r>
      <w:r w:rsidR="00915396">
        <w:rPr>
          <w:sz w:val="22"/>
          <w:szCs w:val="22"/>
        </w:rPr>
        <w:t>s</w:t>
      </w:r>
      <w:r>
        <w:rPr>
          <w:sz w:val="22"/>
          <w:szCs w:val="22"/>
        </w:rPr>
        <w:t xml:space="preserve"> GVA at factor prices</w:t>
      </w:r>
      <w:r w:rsidR="00915396">
        <w:rPr>
          <w:sz w:val="22"/>
          <w:szCs w:val="22"/>
        </w:rPr>
        <w:t>,</w:t>
      </w:r>
      <w:r>
        <w:rPr>
          <w:sz w:val="22"/>
          <w:szCs w:val="22"/>
        </w:rPr>
        <w:t xml:space="preserve"> GVA at basic prices </w:t>
      </w:r>
      <w:r w:rsidR="00915396">
        <w:rPr>
          <w:sz w:val="22"/>
          <w:szCs w:val="22"/>
        </w:rPr>
        <w:t>and</w:t>
      </w:r>
      <w:r>
        <w:rPr>
          <w:sz w:val="22"/>
          <w:szCs w:val="22"/>
        </w:rPr>
        <w:t xml:space="preserve"> GDP at market prices.</w:t>
      </w:r>
    </w:p>
    <w:p w14:paraId="000001B4" w14:textId="554B514C" w:rsidR="00F8269C" w:rsidRDefault="00450D2D" w:rsidP="004B7F36">
      <w:pPr>
        <w:jc w:val="both"/>
        <w:rPr>
          <w:sz w:val="22"/>
          <w:szCs w:val="22"/>
        </w:rPr>
      </w:pPr>
      <w:r>
        <w:rPr>
          <w:sz w:val="22"/>
          <w:szCs w:val="22"/>
        </w:rPr>
        <w:t xml:space="preserve">The table shows a detailed analysis of the compensation of employees (discussed in </w:t>
      </w:r>
      <w:r w:rsidR="00480053">
        <w:rPr>
          <w:sz w:val="22"/>
          <w:szCs w:val="22"/>
        </w:rPr>
        <w:t xml:space="preserve">Table </w:t>
      </w:r>
      <w:r>
        <w:rPr>
          <w:sz w:val="22"/>
          <w:szCs w:val="22"/>
        </w:rPr>
        <w:t xml:space="preserve">1 above as well as in Chapter 2 of this report). It also shows the gross operating surplus (that corresponds indirectly to the returns on the investment in the sector). </w:t>
      </w:r>
      <w:r w:rsidR="00480053">
        <w:rPr>
          <w:sz w:val="22"/>
          <w:szCs w:val="22"/>
        </w:rPr>
        <w:t xml:space="preserve">All </w:t>
      </w:r>
      <w:r>
        <w:rPr>
          <w:sz w:val="22"/>
          <w:szCs w:val="22"/>
        </w:rPr>
        <w:t>taxes and subsidies paid or received by the various domains are included to derive the macroeconomic indicators discussed above. The table can be used to estimate the net taxes (that is, taxes paid minus subsidies received) from the economic activity of each domain.</w:t>
      </w:r>
    </w:p>
    <w:p w14:paraId="000001B5" w14:textId="457AAF8B" w:rsidR="00F8269C" w:rsidRDefault="00450D2D" w:rsidP="004B7F36">
      <w:pPr>
        <w:jc w:val="both"/>
        <w:rPr>
          <w:sz w:val="22"/>
          <w:szCs w:val="22"/>
        </w:rPr>
      </w:pPr>
      <w:r>
        <w:rPr>
          <w:sz w:val="22"/>
          <w:szCs w:val="22"/>
        </w:rPr>
        <w:lastRenderedPageBreak/>
        <w:t xml:space="preserve">Figure 7 shows the relative sizes of the domains during 2016 (the outer band of the </w:t>
      </w:r>
      <w:r w:rsidR="008958DF">
        <w:rPr>
          <w:sz w:val="22"/>
          <w:szCs w:val="22"/>
        </w:rPr>
        <w:t>donut</w:t>
      </w:r>
      <w:r>
        <w:rPr>
          <w:sz w:val="22"/>
          <w:szCs w:val="22"/>
        </w:rPr>
        <w:t xml:space="preserve">), 2018 and 2020 (the inner band of the </w:t>
      </w:r>
      <w:r w:rsidR="008958DF">
        <w:rPr>
          <w:sz w:val="22"/>
          <w:szCs w:val="22"/>
        </w:rPr>
        <w:t>donut</w:t>
      </w:r>
      <w:r>
        <w:rPr>
          <w:sz w:val="22"/>
          <w:szCs w:val="22"/>
        </w:rPr>
        <w:t>).</w:t>
      </w:r>
    </w:p>
    <w:p w14:paraId="000001B6" w14:textId="77777777" w:rsidR="00F8269C" w:rsidRDefault="00450D2D">
      <w:pPr>
        <w:keepNext/>
        <w:pBdr>
          <w:top w:val="nil"/>
          <w:left w:val="nil"/>
          <w:bottom w:val="nil"/>
          <w:right w:val="nil"/>
          <w:between w:val="nil"/>
        </w:pBdr>
        <w:spacing w:before="120" w:after="120" w:line="276" w:lineRule="auto"/>
        <w:jc w:val="both"/>
        <w:rPr>
          <w:color w:val="000000"/>
        </w:rPr>
      </w:pPr>
      <w:r>
        <w:rPr>
          <w:noProof/>
          <w:color w:val="000000"/>
        </w:rPr>
        <w:drawing>
          <wp:inline distT="0" distB="0" distL="0" distR="0" wp14:anchorId="6F950973" wp14:editId="43987E6F">
            <wp:extent cx="5731510" cy="4162425"/>
            <wp:effectExtent l="0" t="0" r="0" b="0"/>
            <wp:docPr id="309" name="Chart 30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00001B7" w14:textId="0E4AD525" w:rsidR="00F8269C" w:rsidRDefault="00450D2D">
      <w:pPr>
        <w:pBdr>
          <w:top w:val="nil"/>
          <w:left w:val="nil"/>
          <w:bottom w:val="nil"/>
          <w:right w:val="nil"/>
          <w:between w:val="nil"/>
        </w:pBdr>
        <w:spacing w:after="200" w:line="240" w:lineRule="auto"/>
        <w:jc w:val="both"/>
        <w:rPr>
          <w:i/>
          <w:color w:val="44546A"/>
          <w:sz w:val="18"/>
          <w:szCs w:val="18"/>
        </w:rPr>
      </w:pPr>
      <w:r>
        <w:rPr>
          <w:i/>
          <w:color w:val="44546A"/>
          <w:sz w:val="18"/>
          <w:szCs w:val="18"/>
        </w:rPr>
        <w:t>Figure 7: GVA per Cultural Domain (Percentage)</w:t>
      </w:r>
      <w:r w:rsidR="009D4963">
        <w:rPr>
          <w:i/>
          <w:color w:val="44546A"/>
          <w:sz w:val="18"/>
          <w:szCs w:val="18"/>
        </w:rPr>
        <w:t xml:space="preserve"> </w:t>
      </w:r>
      <w:r>
        <w:rPr>
          <w:i/>
          <w:color w:val="44546A"/>
          <w:sz w:val="18"/>
          <w:szCs w:val="18"/>
        </w:rPr>
        <w:t>2020</w:t>
      </w:r>
    </w:p>
    <w:p w14:paraId="000001B8" w14:textId="2F1AF6EF" w:rsidR="00F8269C" w:rsidRDefault="00450D2D" w:rsidP="004B7F36">
      <w:pPr>
        <w:jc w:val="both"/>
        <w:rPr>
          <w:sz w:val="22"/>
          <w:szCs w:val="22"/>
        </w:rPr>
      </w:pPr>
      <w:r>
        <w:rPr>
          <w:sz w:val="22"/>
          <w:szCs w:val="22"/>
        </w:rPr>
        <w:t xml:space="preserve">The two commercial application </w:t>
      </w:r>
      <w:sdt>
        <w:sdtPr>
          <w:tag w:val="goog_rdk_41"/>
          <w:id w:val="-1130630735"/>
        </w:sdtPr>
        <w:sdtEndPr/>
        <w:sdtContent/>
      </w:sdt>
      <w:r>
        <w:rPr>
          <w:sz w:val="22"/>
          <w:szCs w:val="22"/>
        </w:rPr>
        <w:t>domains that also have the greatest potential to benefit from digitisation, Design and Creative Services and Audio-visual and Interactive Media, have grown relative to the other domains. Books and Press,</w:t>
      </w:r>
      <w:sdt>
        <w:sdtPr>
          <w:tag w:val="goog_rdk_42"/>
          <w:id w:val="-1729989681"/>
        </w:sdtPr>
        <w:sdtEndPr/>
        <w:sdtContent/>
      </w:sdt>
      <w:r>
        <w:rPr>
          <w:sz w:val="22"/>
          <w:szCs w:val="22"/>
        </w:rPr>
        <w:t xml:space="preserve"> </w:t>
      </w:r>
      <w:r w:rsidR="00163C1E">
        <w:rPr>
          <w:sz w:val="22"/>
          <w:szCs w:val="22"/>
        </w:rPr>
        <w:t>which</w:t>
      </w:r>
      <w:r>
        <w:rPr>
          <w:sz w:val="22"/>
          <w:szCs w:val="22"/>
        </w:rPr>
        <w:t xml:space="preserve"> has been suffering a steady downward trend over the past few </w:t>
      </w:r>
      <w:sdt>
        <w:sdtPr>
          <w:tag w:val="goog_rdk_43"/>
          <w:id w:val="1011424728"/>
        </w:sdtPr>
        <w:sdtEndPr/>
        <w:sdtContent/>
      </w:sdt>
      <w:r>
        <w:rPr>
          <w:sz w:val="22"/>
          <w:szCs w:val="22"/>
        </w:rPr>
        <w:t>years</w:t>
      </w:r>
      <w:r w:rsidR="00163C1E">
        <w:rPr>
          <w:sz w:val="22"/>
          <w:szCs w:val="22"/>
        </w:rPr>
        <w:t>,</w:t>
      </w:r>
      <w:r>
        <w:rPr>
          <w:sz w:val="22"/>
          <w:szCs w:val="22"/>
        </w:rPr>
        <w:t xml:space="preserve"> shrank relative to the other domains from 17.7% in 2016 to just under 16% in 2020.</w:t>
      </w:r>
    </w:p>
    <w:p w14:paraId="000001B9" w14:textId="77777777" w:rsidR="00F8269C" w:rsidRDefault="00450D2D" w:rsidP="004B7F36">
      <w:pPr>
        <w:jc w:val="both"/>
        <w:rPr>
          <w:sz w:val="22"/>
          <w:szCs w:val="22"/>
        </w:rPr>
      </w:pPr>
      <w:r>
        <w:rPr>
          <w:sz w:val="22"/>
          <w:szCs w:val="22"/>
        </w:rPr>
        <w:t>To understand these relative changes, it is useful to look at the South African economy as a whole to see how it is performing and then to compare the country’s economic performance to the various CCI domains. This is discussed below.</w:t>
      </w:r>
    </w:p>
    <w:p w14:paraId="000001BA" w14:textId="77777777" w:rsidR="00F8269C" w:rsidRDefault="00450D2D">
      <w:pPr>
        <w:pStyle w:val="Heading2"/>
        <w:numPr>
          <w:ilvl w:val="1"/>
          <w:numId w:val="5"/>
        </w:numPr>
      </w:pPr>
      <w:bookmarkStart w:id="84" w:name="_Toc93842784"/>
      <w:bookmarkStart w:id="85" w:name="_Toc93842970"/>
      <w:bookmarkStart w:id="86" w:name="_Toc93843348"/>
      <w:r>
        <w:t>Growth Rates</w:t>
      </w:r>
      <w:bookmarkEnd w:id="84"/>
      <w:bookmarkEnd w:id="85"/>
      <w:bookmarkEnd w:id="86"/>
    </w:p>
    <w:p w14:paraId="000001BB" w14:textId="77777777" w:rsidR="00F8269C" w:rsidRDefault="00450D2D" w:rsidP="004B7F36">
      <w:pPr>
        <w:jc w:val="both"/>
        <w:rPr>
          <w:sz w:val="22"/>
          <w:szCs w:val="22"/>
        </w:rPr>
      </w:pPr>
      <w:r>
        <w:rPr>
          <w:sz w:val="22"/>
          <w:szCs w:val="22"/>
        </w:rPr>
        <w:t>South Africa has been experiencing very low growth rates in recent years. In 2020, with COVID-19, South Africa experienced a negative growth rate (Table 3).</w:t>
      </w:r>
    </w:p>
    <w:p w14:paraId="000001BC" w14:textId="77777777" w:rsidR="00F8269C" w:rsidRDefault="00450D2D">
      <w:pPr>
        <w:keepNext/>
        <w:pBdr>
          <w:top w:val="nil"/>
          <w:left w:val="nil"/>
          <w:bottom w:val="nil"/>
          <w:right w:val="nil"/>
          <w:between w:val="nil"/>
        </w:pBdr>
        <w:spacing w:after="200" w:line="240" w:lineRule="auto"/>
        <w:rPr>
          <w:i/>
          <w:color w:val="44546A"/>
          <w:sz w:val="18"/>
          <w:szCs w:val="18"/>
        </w:rPr>
      </w:pPr>
      <w:r>
        <w:rPr>
          <w:i/>
          <w:color w:val="44546A"/>
          <w:sz w:val="18"/>
          <w:szCs w:val="18"/>
        </w:rPr>
        <w:t>Table 3: South Africa’s GVA and GVA growth rate 2016-2020</w:t>
      </w:r>
    </w:p>
    <w:tbl>
      <w:tblPr>
        <w:tblStyle w:val="a2"/>
        <w:tblW w:w="6374"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2124"/>
        <w:gridCol w:w="2125"/>
        <w:gridCol w:w="2125"/>
      </w:tblGrid>
      <w:tr w:rsidR="00F8269C" w14:paraId="0EB5EE68" w14:textId="77777777" w:rsidTr="009D3DA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tcPr>
          <w:p w14:paraId="000001BD" w14:textId="77777777" w:rsidR="00F8269C" w:rsidRDefault="00F8269C" w:rsidP="009D3DA2">
            <w:pPr>
              <w:spacing w:before="60" w:after="60"/>
              <w:rPr>
                <w:sz w:val="16"/>
                <w:szCs w:val="16"/>
              </w:rPr>
            </w:pPr>
          </w:p>
        </w:tc>
        <w:tc>
          <w:tcPr>
            <w:tcW w:w="0" w:type="dxa"/>
          </w:tcPr>
          <w:p w14:paraId="000001BE" w14:textId="48B3147A" w:rsidR="00F8269C"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bookmarkStart w:id="87" w:name="_heading=h.2grqrue" w:colFirst="0" w:colLast="0"/>
            <w:bookmarkEnd w:id="87"/>
            <w:r>
              <w:rPr>
                <w:sz w:val="16"/>
                <w:szCs w:val="16"/>
              </w:rPr>
              <w:t>GVA at basic prices (Constant 2015 prices, R millions)</w:t>
            </w:r>
          </w:p>
        </w:tc>
        <w:tc>
          <w:tcPr>
            <w:tcW w:w="0" w:type="dxa"/>
          </w:tcPr>
          <w:p w14:paraId="000001BF" w14:textId="47D58DEB" w:rsidR="00F8269C"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GVA at basic prices (Average of Quarterly Values, Year</w:t>
            </w:r>
            <w:r w:rsidR="00DF68B9">
              <w:rPr>
                <w:sz w:val="16"/>
                <w:szCs w:val="16"/>
              </w:rPr>
              <w:t>-</w:t>
            </w:r>
            <w:r>
              <w:rPr>
                <w:sz w:val="16"/>
                <w:szCs w:val="16"/>
              </w:rPr>
              <w:t>on</w:t>
            </w:r>
            <w:r w:rsidR="00DF68B9">
              <w:rPr>
                <w:sz w:val="16"/>
                <w:szCs w:val="16"/>
              </w:rPr>
              <w:t>-</w:t>
            </w:r>
            <w:r>
              <w:rPr>
                <w:sz w:val="16"/>
                <w:szCs w:val="16"/>
              </w:rPr>
              <w:t xml:space="preserve">Year per cent </w:t>
            </w:r>
            <w:r w:rsidR="009D4963">
              <w:rPr>
                <w:sz w:val="16"/>
                <w:szCs w:val="16"/>
              </w:rPr>
              <w:t>change</w:t>
            </w:r>
            <w:r>
              <w:rPr>
                <w:sz w:val="16"/>
                <w:szCs w:val="16"/>
              </w:rPr>
              <w:t>)</w:t>
            </w:r>
          </w:p>
        </w:tc>
      </w:tr>
      <w:tr w:rsidR="00F8269C" w14:paraId="7487C2A0" w14:textId="77777777" w:rsidTr="009D3D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1C0" w14:textId="77777777" w:rsidR="00F8269C" w:rsidRDefault="00450D2D" w:rsidP="009D3DA2">
            <w:pPr>
              <w:spacing w:before="60" w:after="60"/>
              <w:jc w:val="center"/>
              <w:rPr>
                <w:sz w:val="16"/>
                <w:szCs w:val="16"/>
              </w:rPr>
            </w:pPr>
            <w:r>
              <w:rPr>
                <w:sz w:val="16"/>
                <w:szCs w:val="16"/>
              </w:rPr>
              <w:t>2016</w:t>
            </w:r>
          </w:p>
        </w:tc>
        <w:tc>
          <w:tcPr>
            <w:tcW w:w="0" w:type="dxa"/>
            <w:vAlign w:val="center"/>
          </w:tcPr>
          <w:p w14:paraId="000001C1" w14:textId="6137745A"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4 014 646</w:t>
            </w:r>
          </w:p>
        </w:tc>
        <w:tc>
          <w:tcPr>
            <w:tcW w:w="0" w:type="dxa"/>
            <w:vAlign w:val="center"/>
          </w:tcPr>
          <w:p w14:paraId="000001C2"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0.83%</w:t>
            </w:r>
          </w:p>
        </w:tc>
      </w:tr>
      <w:tr w:rsidR="00F8269C" w14:paraId="174272D5" w14:textId="77777777" w:rsidTr="009D3DA2">
        <w:trPr>
          <w:trHeight w:val="300"/>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1C3" w14:textId="77777777" w:rsidR="00F8269C" w:rsidRDefault="00450D2D" w:rsidP="009D3DA2">
            <w:pPr>
              <w:spacing w:before="60" w:after="60"/>
              <w:jc w:val="center"/>
              <w:rPr>
                <w:sz w:val="16"/>
                <w:szCs w:val="16"/>
              </w:rPr>
            </w:pPr>
            <w:r>
              <w:rPr>
                <w:sz w:val="16"/>
                <w:szCs w:val="16"/>
              </w:rPr>
              <w:t>2017</w:t>
            </w:r>
          </w:p>
        </w:tc>
        <w:tc>
          <w:tcPr>
            <w:tcW w:w="0" w:type="dxa"/>
            <w:vAlign w:val="center"/>
          </w:tcPr>
          <w:p w14:paraId="000001C4" w14:textId="3278B3D5"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4 061 243</w:t>
            </w:r>
          </w:p>
        </w:tc>
        <w:tc>
          <w:tcPr>
            <w:tcW w:w="0" w:type="dxa"/>
            <w:vAlign w:val="center"/>
          </w:tcPr>
          <w:p w14:paraId="000001C5"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1.16%</w:t>
            </w:r>
          </w:p>
        </w:tc>
      </w:tr>
      <w:tr w:rsidR="00F8269C" w14:paraId="6B3C0ED9" w14:textId="77777777" w:rsidTr="009D3D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1C6" w14:textId="77777777" w:rsidR="00F8269C" w:rsidRDefault="00450D2D" w:rsidP="009D3DA2">
            <w:pPr>
              <w:spacing w:before="60" w:after="60"/>
              <w:jc w:val="center"/>
              <w:rPr>
                <w:sz w:val="16"/>
                <w:szCs w:val="16"/>
              </w:rPr>
            </w:pPr>
            <w:r>
              <w:rPr>
                <w:sz w:val="16"/>
                <w:szCs w:val="16"/>
              </w:rPr>
              <w:t>2018</w:t>
            </w:r>
          </w:p>
        </w:tc>
        <w:tc>
          <w:tcPr>
            <w:tcW w:w="0" w:type="dxa"/>
            <w:vAlign w:val="center"/>
          </w:tcPr>
          <w:p w14:paraId="000001C7" w14:textId="68575F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4 121 231</w:t>
            </w:r>
          </w:p>
        </w:tc>
        <w:tc>
          <w:tcPr>
            <w:tcW w:w="0" w:type="dxa"/>
            <w:vAlign w:val="center"/>
          </w:tcPr>
          <w:p w14:paraId="000001C8"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1.48%</w:t>
            </w:r>
          </w:p>
        </w:tc>
      </w:tr>
      <w:tr w:rsidR="00F8269C" w14:paraId="7A1280E2" w14:textId="77777777" w:rsidTr="009D3DA2">
        <w:trPr>
          <w:trHeight w:val="300"/>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1C9" w14:textId="77777777" w:rsidR="00F8269C" w:rsidRDefault="00450D2D" w:rsidP="009D3DA2">
            <w:pPr>
              <w:spacing w:before="60" w:after="60"/>
              <w:jc w:val="center"/>
              <w:rPr>
                <w:sz w:val="16"/>
                <w:szCs w:val="16"/>
              </w:rPr>
            </w:pPr>
            <w:r>
              <w:rPr>
                <w:sz w:val="16"/>
                <w:szCs w:val="16"/>
              </w:rPr>
              <w:t>2019</w:t>
            </w:r>
          </w:p>
        </w:tc>
        <w:tc>
          <w:tcPr>
            <w:tcW w:w="0" w:type="dxa"/>
            <w:vAlign w:val="center"/>
          </w:tcPr>
          <w:p w14:paraId="000001CA" w14:textId="52D7639B"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4 124 458</w:t>
            </w:r>
          </w:p>
        </w:tc>
        <w:tc>
          <w:tcPr>
            <w:tcW w:w="0" w:type="dxa"/>
            <w:vAlign w:val="center"/>
          </w:tcPr>
          <w:p w14:paraId="000001CB"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0.08%</w:t>
            </w:r>
          </w:p>
        </w:tc>
      </w:tr>
      <w:tr w:rsidR="00F8269C" w14:paraId="32E7473A" w14:textId="77777777" w:rsidTr="009D3D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1CC" w14:textId="77777777" w:rsidR="00F8269C" w:rsidRDefault="00450D2D" w:rsidP="009D3DA2">
            <w:pPr>
              <w:spacing w:before="60" w:after="60"/>
              <w:jc w:val="center"/>
              <w:rPr>
                <w:sz w:val="16"/>
                <w:szCs w:val="16"/>
              </w:rPr>
            </w:pPr>
            <w:r>
              <w:rPr>
                <w:sz w:val="16"/>
                <w:szCs w:val="16"/>
              </w:rPr>
              <w:lastRenderedPageBreak/>
              <w:t>2020</w:t>
            </w:r>
          </w:p>
        </w:tc>
        <w:tc>
          <w:tcPr>
            <w:tcW w:w="0" w:type="dxa"/>
            <w:vAlign w:val="center"/>
          </w:tcPr>
          <w:p w14:paraId="000001CD" w14:textId="3F61F694"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3 879 360</w:t>
            </w:r>
          </w:p>
        </w:tc>
        <w:tc>
          <w:tcPr>
            <w:tcW w:w="0" w:type="dxa"/>
            <w:vAlign w:val="center"/>
          </w:tcPr>
          <w:p w14:paraId="000001CE"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-5.94%</w:t>
            </w:r>
          </w:p>
        </w:tc>
      </w:tr>
    </w:tbl>
    <w:p w14:paraId="000001CF" w14:textId="77777777" w:rsidR="00F8269C" w:rsidRPr="009D3DA2" w:rsidRDefault="00450D2D" w:rsidP="009D3DA2">
      <w:pPr>
        <w:spacing w:before="120"/>
        <w:rPr>
          <w:sz w:val="18"/>
          <w:szCs w:val="18"/>
        </w:rPr>
      </w:pPr>
      <w:r w:rsidRPr="009D3DA2">
        <w:rPr>
          <w:sz w:val="18"/>
          <w:szCs w:val="18"/>
        </w:rPr>
        <w:t>Source: South African Reserve Bank (2021)</w:t>
      </w:r>
    </w:p>
    <w:p w14:paraId="000001D0" w14:textId="33646276" w:rsidR="00F8269C" w:rsidRDefault="00450D2D">
      <w:pPr>
        <w:jc w:val="both"/>
      </w:pPr>
      <w:r>
        <w:rPr>
          <w:sz w:val="22"/>
          <w:szCs w:val="22"/>
        </w:rPr>
        <w:t xml:space="preserve">The performance of the CCIs need to be measured against this background. Table 4 shows the contribution of CCIs to South Africa’s GVA at basic prices at constant 2015 prices in R millions and growth rates over </w:t>
      </w:r>
      <w:r w:rsidRPr="004B7F36">
        <w:rPr>
          <w:sz w:val="22"/>
          <w:szCs w:val="22"/>
        </w:rPr>
        <w:t>time</w:t>
      </w:r>
      <w:r w:rsidRPr="009D3DA2">
        <w:rPr>
          <w:sz w:val="22"/>
          <w:szCs w:val="22"/>
        </w:rPr>
        <w:t>.</w:t>
      </w:r>
    </w:p>
    <w:p w14:paraId="000001D1" w14:textId="77777777" w:rsidR="00F8269C" w:rsidRDefault="00450D2D">
      <w:pPr>
        <w:keepNext/>
        <w:pBdr>
          <w:top w:val="nil"/>
          <w:left w:val="nil"/>
          <w:bottom w:val="nil"/>
          <w:right w:val="nil"/>
          <w:between w:val="nil"/>
        </w:pBdr>
        <w:spacing w:after="200" w:line="240" w:lineRule="auto"/>
        <w:rPr>
          <w:i/>
          <w:color w:val="44546A"/>
          <w:sz w:val="18"/>
          <w:szCs w:val="18"/>
        </w:rPr>
      </w:pPr>
      <w:r>
        <w:rPr>
          <w:i/>
          <w:color w:val="44546A"/>
          <w:sz w:val="18"/>
          <w:szCs w:val="18"/>
        </w:rPr>
        <w:t>Table 4: The Cultural and Creative Industries’ GVA and GVA growth rates 2016-2010</w:t>
      </w:r>
    </w:p>
    <w:tbl>
      <w:tblPr>
        <w:tblStyle w:val="a3"/>
        <w:tblW w:w="0" w:type="auto"/>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586"/>
        <w:gridCol w:w="5094"/>
        <w:gridCol w:w="3120"/>
      </w:tblGrid>
      <w:tr w:rsidR="00F8269C" w14:paraId="6DA44FEA" w14:textId="77777777" w:rsidTr="00CD6602">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tcPr>
          <w:p w14:paraId="000001D2" w14:textId="77777777" w:rsidR="00F8269C" w:rsidRDefault="00F8269C" w:rsidP="009D3DA2">
            <w:pPr>
              <w:spacing w:before="60" w:after="60"/>
              <w:rPr>
                <w:rFonts w:ascii="Times New Roman" w:eastAsia="Times New Roman" w:hAnsi="Times New Roman" w:cs="Times New Roman"/>
                <w:sz w:val="24"/>
                <w:szCs w:val="24"/>
              </w:rPr>
            </w:pPr>
            <w:bookmarkStart w:id="88" w:name="_heading=h.3fwokq0" w:colFirst="0" w:colLast="0"/>
            <w:bookmarkEnd w:id="88"/>
          </w:p>
        </w:tc>
        <w:tc>
          <w:tcPr>
            <w:tcW w:w="0" w:type="auto"/>
          </w:tcPr>
          <w:p w14:paraId="000001D3" w14:textId="77777777" w:rsidR="00F8269C"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bookmarkStart w:id="89" w:name="bookmark=id.1v1yuxt" w:colFirst="0" w:colLast="0"/>
            <w:bookmarkEnd w:id="89"/>
            <w:r>
              <w:rPr>
                <w:sz w:val="16"/>
                <w:szCs w:val="16"/>
              </w:rPr>
              <w:t>Total CCI GVA at basic prices (Constant 2015 prices, R millions)</w:t>
            </w:r>
          </w:p>
        </w:tc>
        <w:tc>
          <w:tcPr>
            <w:tcW w:w="0" w:type="auto"/>
          </w:tcPr>
          <w:p w14:paraId="000001D4" w14:textId="77777777" w:rsidR="00F8269C"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CCI Growth year-on-year growth rates</w:t>
            </w:r>
          </w:p>
        </w:tc>
      </w:tr>
      <w:tr w:rsidR="00F8269C" w14:paraId="539AA7A9" w14:textId="77777777" w:rsidTr="00CD660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vAlign w:val="center"/>
          </w:tcPr>
          <w:p w14:paraId="000001D5" w14:textId="77777777" w:rsidR="00F8269C" w:rsidRDefault="00450D2D" w:rsidP="009D3DA2">
            <w:pPr>
              <w:spacing w:before="60" w:after="60"/>
              <w:jc w:val="center"/>
              <w:rPr>
                <w:sz w:val="16"/>
                <w:szCs w:val="16"/>
              </w:rPr>
            </w:pPr>
            <w:r>
              <w:rPr>
                <w:sz w:val="16"/>
                <w:szCs w:val="16"/>
              </w:rPr>
              <w:t>2016</w:t>
            </w:r>
          </w:p>
        </w:tc>
        <w:tc>
          <w:tcPr>
            <w:tcW w:w="0" w:type="auto"/>
            <w:vAlign w:val="center"/>
          </w:tcPr>
          <w:p w14:paraId="000001D6" w14:textId="51BBE08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color w:val="auto"/>
                <w:sz w:val="16"/>
                <w:szCs w:val="16"/>
              </w:rPr>
              <w:t>R 116 300</w:t>
            </w:r>
          </w:p>
        </w:tc>
        <w:tc>
          <w:tcPr>
            <w:tcW w:w="0" w:type="auto"/>
            <w:vAlign w:val="center"/>
          </w:tcPr>
          <w:p w14:paraId="000001D7"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color w:val="auto"/>
                <w:sz w:val="16"/>
                <w:szCs w:val="16"/>
              </w:rPr>
              <w:t>0.3%</w:t>
            </w:r>
          </w:p>
        </w:tc>
      </w:tr>
      <w:tr w:rsidR="00F8269C" w14:paraId="6F1EEEB6" w14:textId="77777777" w:rsidTr="00CD6602">
        <w:trPr>
          <w:trHeight w:val="315"/>
        </w:trPr>
        <w:tc>
          <w:tcPr>
            <w:cnfStyle w:val="001000000000" w:firstRow="0" w:lastRow="0" w:firstColumn="1" w:lastColumn="0" w:oddVBand="0" w:evenVBand="0" w:oddHBand="0" w:evenHBand="0" w:firstRowFirstColumn="0" w:firstRowLastColumn="0" w:lastRowFirstColumn="0" w:lastRowLastColumn="0"/>
            <w:tcW w:w="0" w:type="auto"/>
            <w:vAlign w:val="center"/>
          </w:tcPr>
          <w:p w14:paraId="000001D8" w14:textId="77777777" w:rsidR="00F8269C" w:rsidRDefault="00450D2D" w:rsidP="009D3DA2">
            <w:pPr>
              <w:spacing w:before="60" w:after="60"/>
              <w:jc w:val="center"/>
              <w:rPr>
                <w:sz w:val="16"/>
                <w:szCs w:val="16"/>
              </w:rPr>
            </w:pPr>
            <w:r>
              <w:rPr>
                <w:sz w:val="16"/>
                <w:szCs w:val="16"/>
              </w:rPr>
              <w:t>2017</w:t>
            </w:r>
          </w:p>
        </w:tc>
        <w:tc>
          <w:tcPr>
            <w:tcW w:w="0" w:type="auto"/>
            <w:vAlign w:val="center"/>
          </w:tcPr>
          <w:p w14:paraId="000001D9" w14:textId="2FA17017" w:rsidR="00F8269C" w:rsidRPr="009D3DA2"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color w:val="auto"/>
                <w:sz w:val="16"/>
                <w:szCs w:val="16"/>
              </w:rPr>
              <w:t>R 120 233</w:t>
            </w:r>
          </w:p>
        </w:tc>
        <w:tc>
          <w:tcPr>
            <w:tcW w:w="0" w:type="auto"/>
            <w:vAlign w:val="center"/>
          </w:tcPr>
          <w:p w14:paraId="000001DA" w14:textId="77777777" w:rsidR="00F8269C" w:rsidRPr="009D3DA2"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color w:val="auto"/>
                <w:sz w:val="16"/>
                <w:szCs w:val="16"/>
              </w:rPr>
              <w:t>3.4%</w:t>
            </w:r>
          </w:p>
        </w:tc>
      </w:tr>
      <w:tr w:rsidR="00F8269C" w14:paraId="10B8A0AD" w14:textId="77777777" w:rsidTr="00CD660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vAlign w:val="center"/>
          </w:tcPr>
          <w:p w14:paraId="000001DB" w14:textId="77777777" w:rsidR="00F8269C" w:rsidRDefault="00450D2D" w:rsidP="009D3DA2">
            <w:pPr>
              <w:spacing w:before="60" w:after="60"/>
              <w:jc w:val="center"/>
              <w:rPr>
                <w:sz w:val="16"/>
                <w:szCs w:val="16"/>
              </w:rPr>
            </w:pPr>
            <w:r>
              <w:rPr>
                <w:sz w:val="16"/>
                <w:szCs w:val="16"/>
              </w:rPr>
              <w:t>2018</w:t>
            </w:r>
          </w:p>
        </w:tc>
        <w:tc>
          <w:tcPr>
            <w:tcW w:w="0" w:type="auto"/>
            <w:vAlign w:val="center"/>
          </w:tcPr>
          <w:p w14:paraId="000001DC" w14:textId="5F55DC0C"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color w:val="auto"/>
                <w:sz w:val="16"/>
                <w:szCs w:val="16"/>
              </w:rPr>
              <w:t>R 121 517</w:t>
            </w:r>
          </w:p>
        </w:tc>
        <w:tc>
          <w:tcPr>
            <w:tcW w:w="0" w:type="auto"/>
            <w:vAlign w:val="center"/>
          </w:tcPr>
          <w:p w14:paraId="000001DD"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color w:val="auto"/>
                <w:sz w:val="16"/>
                <w:szCs w:val="16"/>
              </w:rPr>
              <w:t>1.1%</w:t>
            </w:r>
          </w:p>
        </w:tc>
      </w:tr>
      <w:tr w:rsidR="00F8269C" w14:paraId="15F8B756" w14:textId="77777777" w:rsidTr="00CD6602">
        <w:trPr>
          <w:trHeight w:val="315"/>
        </w:trPr>
        <w:tc>
          <w:tcPr>
            <w:cnfStyle w:val="001000000000" w:firstRow="0" w:lastRow="0" w:firstColumn="1" w:lastColumn="0" w:oddVBand="0" w:evenVBand="0" w:oddHBand="0" w:evenHBand="0" w:firstRowFirstColumn="0" w:firstRowLastColumn="0" w:lastRowFirstColumn="0" w:lastRowLastColumn="0"/>
            <w:tcW w:w="0" w:type="auto"/>
            <w:vAlign w:val="center"/>
          </w:tcPr>
          <w:p w14:paraId="000001DE" w14:textId="77777777" w:rsidR="00F8269C" w:rsidRDefault="00450D2D" w:rsidP="009D3DA2">
            <w:pPr>
              <w:spacing w:before="60" w:after="60"/>
              <w:jc w:val="center"/>
              <w:rPr>
                <w:sz w:val="16"/>
                <w:szCs w:val="16"/>
              </w:rPr>
            </w:pPr>
            <w:r>
              <w:rPr>
                <w:sz w:val="16"/>
                <w:szCs w:val="16"/>
              </w:rPr>
              <w:t>2019</w:t>
            </w:r>
          </w:p>
        </w:tc>
        <w:tc>
          <w:tcPr>
            <w:tcW w:w="0" w:type="auto"/>
            <w:vAlign w:val="center"/>
          </w:tcPr>
          <w:p w14:paraId="000001DF" w14:textId="7BE7B350" w:rsidR="00F8269C" w:rsidRPr="009D3DA2"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color w:val="auto"/>
                <w:sz w:val="16"/>
                <w:szCs w:val="16"/>
              </w:rPr>
              <w:t>R 120 134</w:t>
            </w:r>
          </w:p>
        </w:tc>
        <w:tc>
          <w:tcPr>
            <w:tcW w:w="0" w:type="auto"/>
            <w:vAlign w:val="center"/>
          </w:tcPr>
          <w:p w14:paraId="000001E0" w14:textId="77777777" w:rsidR="00F8269C" w:rsidRPr="009D3DA2"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color w:val="auto"/>
                <w:sz w:val="16"/>
                <w:szCs w:val="16"/>
              </w:rPr>
              <w:t>-1.1%</w:t>
            </w:r>
          </w:p>
        </w:tc>
      </w:tr>
      <w:tr w:rsidR="00F8269C" w14:paraId="019E1159" w14:textId="77777777" w:rsidTr="00CD660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vAlign w:val="center"/>
          </w:tcPr>
          <w:p w14:paraId="000001E1" w14:textId="77777777" w:rsidR="00F8269C" w:rsidRDefault="00450D2D" w:rsidP="009D3DA2">
            <w:pPr>
              <w:spacing w:before="60" w:after="60"/>
              <w:jc w:val="center"/>
              <w:rPr>
                <w:sz w:val="16"/>
                <w:szCs w:val="16"/>
              </w:rPr>
            </w:pPr>
            <w:r>
              <w:rPr>
                <w:sz w:val="16"/>
                <w:szCs w:val="16"/>
              </w:rPr>
              <w:t>2020</w:t>
            </w:r>
          </w:p>
        </w:tc>
        <w:tc>
          <w:tcPr>
            <w:tcW w:w="0" w:type="auto"/>
            <w:vAlign w:val="center"/>
          </w:tcPr>
          <w:p w14:paraId="000001E2" w14:textId="02D7070B"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color w:val="auto"/>
                <w:sz w:val="16"/>
                <w:szCs w:val="16"/>
              </w:rPr>
              <w:t>R 112 146</w:t>
            </w:r>
          </w:p>
        </w:tc>
        <w:tc>
          <w:tcPr>
            <w:tcW w:w="0" w:type="auto"/>
            <w:vAlign w:val="center"/>
          </w:tcPr>
          <w:p w14:paraId="000001E3"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color w:val="auto"/>
                <w:sz w:val="16"/>
                <w:szCs w:val="16"/>
              </w:rPr>
              <w:t>-6.6%</w:t>
            </w:r>
          </w:p>
        </w:tc>
      </w:tr>
    </w:tbl>
    <w:p w14:paraId="000001E4" w14:textId="77777777" w:rsidR="00F8269C" w:rsidRDefault="00F8269C"/>
    <w:p w14:paraId="000001E5" w14:textId="77777777" w:rsidR="00F8269C" w:rsidRDefault="00450D2D" w:rsidP="004B7F36">
      <w:pPr>
        <w:jc w:val="both"/>
        <w:rPr>
          <w:sz w:val="22"/>
          <w:szCs w:val="22"/>
        </w:rPr>
      </w:pPr>
      <w:r>
        <w:rPr>
          <w:sz w:val="22"/>
          <w:szCs w:val="22"/>
        </w:rPr>
        <w:t>As found in previous mapping studies, and in the international literature, the creative economy grows quickly when the economy as a whole is doing well, but tends to decline more quickly than other sectors when economic growth slows. The CCIs generally performed better in 2017 than the South African economy as a whole. However, the growth rate for the sector slowed down relative to the South African economy from 2018.</w:t>
      </w:r>
    </w:p>
    <w:p w14:paraId="000001E6" w14:textId="38800751" w:rsidR="00F8269C" w:rsidRDefault="00450D2D" w:rsidP="004B7F36">
      <w:pPr>
        <w:jc w:val="both"/>
        <w:rPr>
          <w:sz w:val="22"/>
          <w:szCs w:val="22"/>
        </w:rPr>
      </w:pPr>
      <w:r>
        <w:rPr>
          <w:sz w:val="22"/>
          <w:szCs w:val="22"/>
        </w:rPr>
        <w:t xml:space="preserve">In 2019, the South African economy only </w:t>
      </w:r>
      <w:sdt>
        <w:sdtPr>
          <w:tag w:val="goog_rdk_44"/>
          <w:id w:val="1343811033"/>
        </w:sdtPr>
        <w:sdtEndPr/>
        <w:sdtContent/>
      </w:sdt>
      <w:r>
        <w:rPr>
          <w:sz w:val="22"/>
          <w:szCs w:val="22"/>
        </w:rPr>
        <w:t>man</w:t>
      </w:r>
      <w:r w:rsidR="00163C1E">
        <w:rPr>
          <w:sz w:val="22"/>
          <w:szCs w:val="22"/>
        </w:rPr>
        <w:t>a</w:t>
      </w:r>
      <w:r>
        <w:rPr>
          <w:sz w:val="22"/>
          <w:szCs w:val="22"/>
        </w:rPr>
        <w:t>ged a growth rate of 0.08% in real terms. To all intents and purposes there was no growth and there were signs that the economy was already heading for recession. The COVID-19 pandemic and subsequent lockdowns resulted in the economy shrinking by 6% in 2020. The COVID-19 pandemic hit South Africa hard but the CCIs were hit harder.</w:t>
      </w:r>
      <w:r>
        <w:rPr>
          <w:sz w:val="22"/>
          <w:szCs w:val="22"/>
          <w:vertAlign w:val="superscript"/>
        </w:rPr>
        <w:footnoteReference w:id="8"/>
      </w:r>
    </w:p>
    <w:p w14:paraId="000001E7" w14:textId="0EAD46A9" w:rsidR="00F8269C" w:rsidRDefault="00450D2D" w:rsidP="004B7F36">
      <w:pPr>
        <w:jc w:val="both"/>
        <w:rPr>
          <w:sz w:val="22"/>
          <w:szCs w:val="22"/>
        </w:rPr>
      </w:pPr>
      <w:r>
        <w:rPr>
          <w:sz w:val="22"/>
          <w:szCs w:val="22"/>
        </w:rPr>
        <w:t>Table 5 shows the contribution of each domain to South Africa’s GVA at basic prices at constant 2015 prices in millions of Rands and Table 6 shows the growth rate by domain (as a year-on-year percentage change).</w:t>
      </w:r>
    </w:p>
    <w:p w14:paraId="000001E8" w14:textId="77777777" w:rsidR="00F8269C" w:rsidRDefault="00450D2D">
      <w:pPr>
        <w:keepNext/>
        <w:pBdr>
          <w:top w:val="nil"/>
          <w:left w:val="nil"/>
          <w:bottom w:val="nil"/>
          <w:right w:val="nil"/>
          <w:between w:val="nil"/>
        </w:pBdr>
        <w:spacing w:after="200" w:line="240" w:lineRule="auto"/>
        <w:rPr>
          <w:i/>
          <w:color w:val="44546A"/>
          <w:sz w:val="18"/>
          <w:szCs w:val="18"/>
        </w:rPr>
      </w:pPr>
      <w:r>
        <w:rPr>
          <w:i/>
          <w:color w:val="44546A"/>
          <w:sz w:val="18"/>
          <w:szCs w:val="18"/>
        </w:rPr>
        <w:t>Table 5: GVA at basic prices per domain (Constant 2015 prices, R millions)</w:t>
      </w:r>
    </w:p>
    <w:tbl>
      <w:tblPr>
        <w:tblStyle w:val="a4"/>
        <w:tblW w:w="9016"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129"/>
        <w:gridCol w:w="1126"/>
        <w:gridCol w:w="1127"/>
        <w:gridCol w:w="1127"/>
        <w:gridCol w:w="1126"/>
        <w:gridCol w:w="1127"/>
        <w:gridCol w:w="1127"/>
        <w:gridCol w:w="1127"/>
      </w:tblGrid>
      <w:tr w:rsidR="009F5978" w14:paraId="6A02FBD6" w14:textId="77777777" w:rsidTr="003B13C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9" w:type="dxa"/>
          </w:tcPr>
          <w:p w14:paraId="000001E9" w14:textId="77777777" w:rsidR="00F8269C" w:rsidRDefault="00F8269C" w:rsidP="009D3DA2">
            <w:pPr>
              <w:spacing w:before="60" w:after="60"/>
              <w:contextualSpacing/>
              <w:jc w:val="center"/>
              <w:rPr>
                <w:sz w:val="16"/>
                <w:szCs w:val="16"/>
              </w:rPr>
            </w:pPr>
          </w:p>
        </w:tc>
        <w:tc>
          <w:tcPr>
            <w:tcW w:w="1126" w:type="dxa"/>
            <w:tcMar>
              <w:left w:w="57" w:type="dxa"/>
              <w:right w:w="57" w:type="dxa"/>
            </w:tcMar>
          </w:tcPr>
          <w:p w14:paraId="000001EA" w14:textId="14B1D773" w:rsidR="00F8269C" w:rsidRDefault="00450D2D" w:rsidP="009D3DA2">
            <w:pPr>
              <w:spacing w:before="60" w:after="60"/>
              <w:contextualSpacing/>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 xml:space="preserve">A: </w:t>
            </w:r>
            <w:r w:rsidR="00107978">
              <w:rPr>
                <w:sz w:val="16"/>
                <w:szCs w:val="16"/>
              </w:rPr>
              <w:br/>
            </w:r>
            <w:r>
              <w:rPr>
                <w:sz w:val="16"/>
                <w:szCs w:val="16"/>
              </w:rPr>
              <w:t>Cultural and natural heritage</w:t>
            </w:r>
          </w:p>
        </w:tc>
        <w:tc>
          <w:tcPr>
            <w:tcW w:w="1127" w:type="dxa"/>
            <w:tcMar>
              <w:left w:w="57" w:type="dxa"/>
              <w:right w:w="57" w:type="dxa"/>
            </w:tcMar>
          </w:tcPr>
          <w:p w14:paraId="000001EB" w14:textId="77777777" w:rsidR="00F8269C" w:rsidRDefault="00450D2D" w:rsidP="009D3DA2">
            <w:pPr>
              <w:spacing w:before="60" w:after="60"/>
              <w:contextualSpacing/>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B: Performance and celebration</w:t>
            </w:r>
          </w:p>
        </w:tc>
        <w:tc>
          <w:tcPr>
            <w:tcW w:w="1127" w:type="dxa"/>
            <w:tcMar>
              <w:left w:w="57" w:type="dxa"/>
              <w:right w:w="57" w:type="dxa"/>
            </w:tcMar>
          </w:tcPr>
          <w:p w14:paraId="000001EC" w14:textId="7FBE06EE" w:rsidR="00F8269C" w:rsidRDefault="00450D2D" w:rsidP="009D3DA2">
            <w:pPr>
              <w:spacing w:before="60" w:after="60"/>
              <w:contextualSpacing/>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 xml:space="preserve">C: </w:t>
            </w:r>
            <w:r w:rsidR="00107978">
              <w:rPr>
                <w:sz w:val="16"/>
                <w:szCs w:val="16"/>
              </w:rPr>
              <w:br/>
            </w:r>
            <w:r>
              <w:rPr>
                <w:sz w:val="16"/>
                <w:szCs w:val="16"/>
              </w:rPr>
              <w:t>Visual art and crafts</w:t>
            </w:r>
          </w:p>
        </w:tc>
        <w:tc>
          <w:tcPr>
            <w:tcW w:w="1126" w:type="dxa"/>
            <w:tcMar>
              <w:left w:w="57" w:type="dxa"/>
              <w:right w:w="57" w:type="dxa"/>
            </w:tcMar>
          </w:tcPr>
          <w:p w14:paraId="000001ED" w14:textId="4E5BBA13" w:rsidR="00F8269C" w:rsidRDefault="00450D2D" w:rsidP="009D3DA2">
            <w:pPr>
              <w:spacing w:before="60" w:after="60"/>
              <w:contextualSpacing/>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 xml:space="preserve">D: </w:t>
            </w:r>
            <w:r w:rsidR="00107978">
              <w:rPr>
                <w:sz w:val="16"/>
                <w:szCs w:val="16"/>
              </w:rPr>
              <w:br/>
            </w:r>
            <w:r>
              <w:rPr>
                <w:sz w:val="16"/>
                <w:szCs w:val="16"/>
              </w:rPr>
              <w:t xml:space="preserve">Books and </w:t>
            </w:r>
            <w:r w:rsidR="00A732E6">
              <w:rPr>
                <w:sz w:val="16"/>
                <w:szCs w:val="16"/>
              </w:rPr>
              <w:t>P</w:t>
            </w:r>
            <w:r>
              <w:rPr>
                <w:sz w:val="16"/>
                <w:szCs w:val="16"/>
              </w:rPr>
              <w:t>ress</w:t>
            </w:r>
          </w:p>
        </w:tc>
        <w:tc>
          <w:tcPr>
            <w:tcW w:w="1127" w:type="dxa"/>
            <w:tcMar>
              <w:left w:w="57" w:type="dxa"/>
              <w:right w:w="57" w:type="dxa"/>
            </w:tcMar>
          </w:tcPr>
          <w:p w14:paraId="000001EE" w14:textId="55E47528" w:rsidR="00F8269C" w:rsidRDefault="00450D2D" w:rsidP="009D3DA2">
            <w:pPr>
              <w:spacing w:before="60" w:after="60"/>
              <w:contextualSpacing/>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 xml:space="preserve">E: </w:t>
            </w:r>
            <w:r w:rsidR="00107978">
              <w:rPr>
                <w:sz w:val="16"/>
                <w:szCs w:val="16"/>
              </w:rPr>
              <w:br/>
            </w:r>
            <w:r>
              <w:rPr>
                <w:sz w:val="16"/>
                <w:szCs w:val="16"/>
              </w:rPr>
              <w:t>Audio-visual and interactive media</w:t>
            </w:r>
          </w:p>
        </w:tc>
        <w:tc>
          <w:tcPr>
            <w:tcW w:w="1127" w:type="dxa"/>
            <w:tcMar>
              <w:left w:w="57" w:type="dxa"/>
              <w:right w:w="57" w:type="dxa"/>
            </w:tcMar>
          </w:tcPr>
          <w:p w14:paraId="000001EF" w14:textId="6A14B60D" w:rsidR="00F8269C" w:rsidRDefault="00450D2D" w:rsidP="009D3DA2">
            <w:pPr>
              <w:spacing w:before="60" w:after="60"/>
              <w:contextualSpacing/>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 xml:space="preserve">F: </w:t>
            </w:r>
            <w:r w:rsidR="00107978">
              <w:rPr>
                <w:sz w:val="16"/>
                <w:szCs w:val="16"/>
              </w:rPr>
              <w:br/>
            </w:r>
            <w:r>
              <w:rPr>
                <w:sz w:val="16"/>
                <w:szCs w:val="16"/>
              </w:rPr>
              <w:t>Design and creative services</w:t>
            </w:r>
          </w:p>
        </w:tc>
        <w:tc>
          <w:tcPr>
            <w:tcW w:w="1127" w:type="dxa"/>
            <w:tcMar>
              <w:left w:w="57" w:type="dxa"/>
              <w:right w:w="57" w:type="dxa"/>
            </w:tcMar>
          </w:tcPr>
          <w:p w14:paraId="000001F0" w14:textId="647A0B51" w:rsidR="00F8269C" w:rsidRDefault="00107978" w:rsidP="009D3DA2">
            <w:pPr>
              <w:spacing w:before="60" w:after="60"/>
              <w:contextualSpacing/>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br/>
            </w:r>
            <w:r w:rsidR="00450D2D">
              <w:rPr>
                <w:sz w:val="16"/>
                <w:szCs w:val="16"/>
              </w:rPr>
              <w:t>Transversal</w:t>
            </w:r>
            <w:r w:rsidR="00CD6602">
              <w:rPr>
                <w:sz w:val="16"/>
                <w:szCs w:val="16"/>
              </w:rPr>
              <w:t xml:space="preserve"> </w:t>
            </w:r>
            <w:r w:rsidR="00472976">
              <w:rPr>
                <w:sz w:val="16"/>
                <w:szCs w:val="16"/>
              </w:rPr>
              <w:t>d</w:t>
            </w:r>
            <w:r w:rsidR="00CD6602">
              <w:rPr>
                <w:sz w:val="16"/>
                <w:szCs w:val="16"/>
              </w:rPr>
              <w:t>omain:</w:t>
            </w:r>
            <w:r w:rsidR="00450D2D">
              <w:rPr>
                <w:sz w:val="16"/>
                <w:szCs w:val="16"/>
              </w:rPr>
              <w:t xml:space="preserve"> Education and </w:t>
            </w:r>
            <w:r w:rsidR="00472976">
              <w:rPr>
                <w:sz w:val="16"/>
                <w:szCs w:val="16"/>
              </w:rPr>
              <w:t>t</w:t>
            </w:r>
            <w:r w:rsidR="00450D2D">
              <w:rPr>
                <w:sz w:val="16"/>
                <w:szCs w:val="16"/>
              </w:rPr>
              <w:t xml:space="preserve">raining </w:t>
            </w:r>
          </w:p>
        </w:tc>
      </w:tr>
      <w:tr w:rsidR="003B13C0" w14:paraId="0F843868" w14:textId="77777777" w:rsidTr="003B13C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000001F1" w14:textId="77777777" w:rsidR="00F8269C" w:rsidRDefault="00450D2D" w:rsidP="009D3DA2">
            <w:pPr>
              <w:spacing w:before="60" w:after="60"/>
              <w:contextualSpacing/>
              <w:jc w:val="center"/>
              <w:rPr>
                <w:sz w:val="16"/>
                <w:szCs w:val="16"/>
              </w:rPr>
            </w:pPr>
            <w:r>
              <w:rPr>
                <w:sz w:val="16"/>
                <w:szCs w:val="16"/>
              </w:rPr>
              <w:t>2016</w:t>
            </w:r>
          </w:p>
        </w:tc>
        <w:tc>
          <w:tcPr>
            <w:tcW w:w="1126" w:type="dxa"/>
            <w:tcMar>
              <w:left w:w="28" w:type="dxa"/>
              <w:right w:w="28" w:type="dxa"/>
            </w:tcMar>
            <w:vAlign w:val="center"/>
          </w:tcPr>
          <w:p w14:paraId="000001F2" w14:textId="0FDE1D38"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4 782</w:t>
            </w:r>
          </w:p>
        </w:tc>
        <w:tc>
          <w:tcPr>
            <w:tcW w:w="1127" w:type="dxa"/>
            <w:tcMar>
              <w:left w:w="28" w:type="dxa"/>
              <w:right w:w="28" w:type="dxa"/>
            </w:tcMar>
            <w:vAlign w:val="center"/>
          </w:tcPr>
          <w:p w14:paraId="000001F3" w14:textId="27D0E12B"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8 419</w:t>
            </w:r>
          </w:p>
        </w:tc>
        <w:tc>
          <w:tcPr>
            <w:tcW w:w="1127" w:type="dxa"/>
            <w:tcMar>
              <w:left w:w="28" w:type="dxa"/>
              <w:right w:w="28" w:type="dxa"/>
            </w:tcMar>
            <w:vAlign w:val="center"/>
          </w:tcPr>
          <w:p w14:paraId="000001F4" w14:textId="248EBD7E"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19 271</w:t>
            </w:r>
          </w:p>
        </w:tc>
        <w:tc>
          <w:tcPr>
            <w:tcW w:w="1126" w:type="dxa"/>
            <w:tcMar>
              <w:left w:w="28" w:type="dxa"/>
              <w:right w:w="28" w:type="dxa"/>
            </w:tcMar>
            <w:vAlign w:val="center"/>
          </w:tcPr>
          <w:p w14:paraId="000001F5" w14:textId="4087D50F"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17 692</w:t>
            </w:r>
          </w:p>
        </w:tc>
        <w:tc>
          <w:tcPr>
            <w:tcW w:w="1127" w:type="dxa"/>
            <w:tcMar>
              <w:left w:w="28" w:type="dxa"/>
              <w:right w:w="28" w:type="dxa"/>
            </w:tcMar>
            <w:vAlign w:val="center"/>
          </w:tcPr>
          <w:p w14:paraId="000001F6" w14:textId="08571B68"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32 083</w:t>
            </w:r>
          </w:p>
        </w:tc>
        <w:tc>
          <w:tcPr>
            <w:tcW w:w="1127" w:type="dxa"/>
            <w:tcMar>
              <w:left w:w="28" w:type="dxa"/>
              <w:right w:w="28" w:type="dxa"/>
            </w:tcMar>
            <w:vAlign w:val="center"/>
          </w:tcPr>
          <w:p w14:paraId="000001F7" w14:textId="2918DB8B"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38 791</w:t>
            </w:r>
          </w:p>
        </w:tc>
        <w:tc>
          <w:tcPr>
            <w:tcW w:w="1127" w:type="dxa"/>
            <w:tcMar>
              <w:left w:w="28" w:type="dxa"/>
              <w:right w:w="28" w:type="dxa"/>
            </w:tcMar>
            <w:vAlign w:val="center"/>
          </w:tcPr>
          <w:p w14:paraId="000001F8" w14:textId="79122146"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35 271</w:t>
            </w:r>
          </w:p>
        </w:tc>
      </w:tr>
      <w:tr w:rsidR="003B13C0" w14:paraId="5E74A454" w14:textId="77777777" w:rsidTr="003B13C0">
        <w:trPr>
          <w:trHeight w:val="300"/>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000001F9" w14:textId="77777777" w:rsidR="00F8269C" w:rsidRDefault="00450D2D" w:rsidP="009D3DA2">
            <w:pPr>
              <w:spacing w:before="60" w:after="60"/>
              <w:contextualSpacing/>
              <w:jc w:val="center"/>
              <w:rPr>
                <w:sz w:val="16"/>
                <w:szCs w:val="16"/>
              </w:rPr>
            </w:pPr>
            <w:r>
              <w:rPr>
                <w:sz w:val="16"/>
                <w:szCs w:val="16"/>
              </w:rPr>
              <w:t>2017</w:t>
            </w:r>
          </w:p>
        </w:tc>
        <w:tc>
          <w:tcPr>
            <w:tcW w:w="1126" w:type="dxa"/>
            <w:tcMar>
              <w:left w:w="28" w:type="dxa"/>
              <w:right w:w="28" w:type="dxa"/>
            </w:tcMar>
            <w:vAlign w:val="center"/>
          </w:tcPr>
          <w:p w14:paraId="000001FA" w14:textId="7E927914" w:rsidR="00F8269C" w:rsidRDefault="00450D2D" w:rsidP="009D3DA2">
            <w:pPr>
              <w:spacing w:before="60" w:after="60"/>
              <w:contextualSpacing/>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4 807</w:t>
            </w:r>
          </w:p>
        </w:tc>
        <w:tc>
          <w:tcPr>
            <w:tcW w:w="1127" w:type="dxa"/>
            <w:tcMar>
              <w:left w:w="28" w:type="dxa"/>
              <w:right w:w="28" w:type="dxa"/>
            </w:tcMar>
            <w:vAlign w:val="center"/>
          </w:tcPr>
          <w:p w14:paraId="000001FB" w14:textId="1C468419" w:rsidR="00F8269C" w:rsidRDefault="00450D2D" w:rsidP="009D3DA2">
            <w:pPr>
              <w:spacing w:before="60" w:after="60"/>
              <w:contextualSpacing/>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8 430</w:t>
            </w:r>
          </w:p>
        </w:tc>
        <w:tc>
          <w:tcPr>
            <w:tcW w:w="1127" w:type="dxa"/>
            <w:tcMar>
              <w:left w:w="28" w:type="dxa"/>
              <w:right w:w="28" w:type="dxa"/>
            </w:tcMar>
            <w:vAlign w:val="center"/>
          </w:tcPr>
          <w:p w14:paraId="000001FC" w14:textId="217FDA9D" w:rsidR="00F8269C" w:rsidRDefault="00450D2D" w:rsidP="009D3DA2">
            <w:pPr>
              <w:spacing w:before="60" w:after="60"/>
              <w:contextualSpacing/>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19 531</w:t>
            </w:r>
          </w:p>
        </w:tc>
        <w:tc>
          <w:tcPr>
            <w:tcW w:w="1126" w:type="dxa"/>
            <w:tcMar>
              <w:left w:w="28" w:type="dxa"/>
              <w:right w:w="28" w:type="dxa"/>
            </w:tcMar>
            <w:vAlign w:val="center"/>
          </w:tcPr>
          <w:p w14:paraId="000001FD" w14:textId="305C0233" w:rsidR="00F8269C" w:rsidRDefault="00450D2D" w:rsidP="009D3DA2">
            <w:pPr>
              <w:spacing w:before="60" w:after="60"/>
              <w:contextualSpacing/>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17 754</w:t>
            </w:r>
          </w:p>
        </w:tc>
        <w:tc>
          <w:tcPr>
            <w:tcW w:w="1127" w:type="dxa"/>
            <w:tcMar>
              <w:left w:w="28" w:type="dxa"/>
              <w:right w:w="28" w:type="dxa"/>
            </w:tcMar>
            <w:vAlign w:val="center"/>
          </w:tcPr>
          <w:p w14:paraId="000001FE" w14:textId="60C456A3" w:rsidR="00F8269C" w:rsidRDefault="00450D2D" w:rsidP="009D3DA2">
            <w:pPr>
              <w:spacing w:before="60" w:after="60"/>
              <w:contextualSpacing/>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35 346</w:t>
            </w:r>
          </w:p>
        </w:tc>
        <w:tc>
          <w:tcPr>
            <w:tcW w:w="1127" w:type="dxa"/>
            <w:tcMar>
              <w:left w:w="28" w:type="dxa"/>
              <w:right w:w="28" w:type="dxa"/>
            </w:tcMar>
            <w:vAlign w:val="center"/>
          </w:tcPr>
          <w:p w14:paraId="000001FF" w14:textId="19DD03D6" w:rsidR="00F8269C" w:rsidRDefault="00450D2D" w:rsidP="009D3DA2">
            <w:pPr>
              <w:spacing w:before="60" w:after="60"/>
              <w:contextualSpacing/>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39 333</w:t>
            </w:r>
          </w:p>
        </w:tc>
        <w:tc>
          <w:tcPr>
            <w:tcW w:w="1127" w:type="dxa"/>
            <w:tcMar>
              <w:left w:w="28" w:type="dxa"/>
              <w:right w:w="28" w:type="dxa"/>
            </w:tcMar>
            <w:vAlign w:val="center"/>
          </w:tcPr>
          <w:p w14:paraId="00000200" w14:textId="56FEBA62" w:rsidR="00F8269C" w:rsidRDefault="00450D2D" w:rsidP="009D3DA2">
            <w:pPr>
              <w:spacing w:before="60" w:after="60"/>
              <w:contextualSpacing/>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34 635</w:t>
            </w:r>
          </w:p>
        </w:tc>
      </w:tr>
      <w:tr w:rsidR="003B13C0" w14:paraId="3BD10D59" w14:textId="77777777" w:rsidTr="003B13C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00000201" w14:textId="77777777" w:rsidR="00F8269C" w:rsidRDefault="00450D2D" w:rsidP="009D3DA2">
            <w:pPr>
              <w:spacing w:before="60" w:after="60"/>
              <w:contextualSpacing/>
              <w:jc w:val="center"/>
              <w:rPr>
                <w:sz w:val="16"/>
                <w:szCs w:val="16"/>
              </w:rPr>
            </w:pPr>
            <w:r>
              <w:rPr>
                <w:sz w:val="16"/>
                <w:szCs w:val="16"/>
              </w:rPr>
              <w:t>2018</w:t>
            </w:r>
          </w:p>
        </w:tc>
        <w:tc>
          <w:tcPr>
            <w:tcW w:w="1126" w:type="dxa"/>
            <w:tcMar>
              <w:left w:w="28" w:type="dxa"/>
              <w:right w:w="28" w:type="dxa"/>
            </w:tcMar>
            <w:vAlign w:val="center"/>
          </w:tcPr>
          <w:p w14:paraId="00000202" w14:textId="3183C4A9"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4 577</w:t>
            </w:r>
          </w:p>
        </w:tc>
        <w:tc>
          <w:tcPr>
            <w:tcW w:w="1127" w:type="dxa"/>
            <w:tcMar>
              <w:left w:w="28" w:type="dxa"/>
              <w:right w:w="28" w:type="dxa"/>
            </w:tcMar>
            <w:vAlign w:val="center"/>
          </w:tcPr>
          <w:p w14:paraId="00000203" w14:textId="024A6055"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7 926</w:t>
            </w:r>
          </w:p>
        </w:tc>
        <w:tc>
          <w:tcPr>
            <w:tcW w:w="1127" w:type="dxa"/>
            <w:tcMar>
              <w:left w:w="28" w:type="dxa"/>
              <w:right w:w="28" w:type="dxa"/>
            </w:tcMar>
            <w:vAlign w:val="center"/>
          </w:tcPr>
          <w:p w14:paraId="00000204" w14:textId="0F9C6078"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20 068</w:t>
            </w:r>
          </w:p>
        </w:tc>
        <w:tc>
          <w:tcPr>
            <w:tcW w:w="1126" w:type="dxa"/>
            <w:tcMar>
              <w:left w:w="28" w:type="dxa"/>
              <w:right w:w="28" w:type="dxa"/>
            </w:tcMar>
            <w:vAlign w:val="center"/>
          </w:tcPr>
          <w:p w14:paraId="00000205" w14:textId="5815B45D"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17 231</w:t>
            </w:r>
          </w:p>
        </w:tc>
        <w:tc>
          <w:tcPr>
            <w:tcW w:w="1127" w:type="dxa"/>
            <w:tcMar>
              <w:left w:w="28" w:type="dxa"/>
              <w:right w:w="28" w:type="dxa"/>
            </w:tcMar>
            <w:vAlign w:val="center"/>
          </w:tcPr>
          <w:p w14:paraId="00000206" w14:textId="6C3BFB69"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36 349</w:t>
            </w:r>
          </w:p>
        </w:tc>
        <w:tc>
          <w:tcPr>
            <w:tcW w:w="1127" w:type="dxa"/>
            <w:tcMar>
              <w:left w:w="28" w:type="dxa"/>
              <w:right w:w="28" w:type="dxa"/>
            </w:tcMar>
            <w:vAlign w:val="center"/>
          </w:tcPr>
          <w:p w14:paraId="00000207" w14:textId="3EA060B0"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40 374</w:t>
            </w:r>
          </w:p>
        </w:tc>
        <w:tc>
          <w:tcPr>
            <w:tcW w:w="1127" w:type="dxa"/>
            <w:tcMar>
              <w:left w:w="28" w:type="dxa"/>
              <w:right w:w="28" w:type="dxa"/>
            </w:tcMar>
            <w:vAlign w:val="center"/>
          </w:tcPr>
          <w:p w14:paraId="00000208" w14:textId="7A72BE14"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33 452</w:t>
            </w:r>
          </w:p>
        </w:tc>
      </w:tr>
      <w:tr w:rsidR="003B13C0" w14:paraId="5DF9D936" w14:textId="77777777" w:rsidTr="003B13C0">
        <w:trPr>
          <w:trHeight w:val="300"/>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00000209" w14:textId="77777777" w:rsidR="00F8269C" w:rsidRDefault="00450D2D" w:rsidP="009D3DA2">
            <w:pPr>
              <w:spacing w:before="60" w:after="60"/>
              <w:contextualSpacing/>
              <w:jc w:val="center"/>
              <w:rPr>
                <w:sz w:val="16"/>
                <w:szCs w:val="16"/>
              </w:rPr>
            </w:pPr>
            <w:r>
              <w:rPr>
                <w:sz w:val="16"/>
                <w:szCs w:val="16"/>
              </w:rPr>
              <w:t>2019</w:t>
            </w:r>
          </w:p>
        </w:tc>
        <w:tc>
          <w:tcPr>
            <w:tcW w:w="1126" w:type="dxa"/>
            <w:tcMar>
              <w:left w:w="28" w:type="dxa"/>
              <w:right w:w="28" w:type="dxa"/>
            </w:tcMar>
            <w:vAlign w:val="center"/>
          </w:tcPr>
          <w:p w14:paraId="0000020A" w14:textId="6B1A4A71" w:rsidR="00F8269C" w:rsidRDefault="00450D2D" w:rsidP="009D3DA2">
            <w:pPr>
              <w:spacing w:before="60" w:after="60"/>
              <w:contextualSpacing/>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4 557</w:t>
            </w:r>
          </w:p>
        </w:tc>
        <w:tc>
          <w:tcPr>
            <w:tcW w:w="1127" w:type="dxa"/>
            <w:tcMar>
              <w:left w:w="28" w:type="dxa"/>
              <w:right w:w="28" w:type="dxa"/>
            </w:tcMar>
            <w:vAlign w:val="center"/>
          </w:tcPr>
          <w:p w14:paraId="0000020B" w14:textId="18EDC805" w:rsidR="00F8269C" w:rsidRDefault="00450D2D" w:rsidP="009D3DA2">
            <w:pPr>
              <w:spacing w:before="60" w:after="60"/>
              <w:contextualSpacing/>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7 857</w:t>
            </w:r>
          </w:p>
        </w:tc>
        <w:tc>
          <w:tcPr>
            <w:tcW w:w="1127" w:type="dxa"/>
            <w:tcMar>
              <w:left w:w="28" w:type="dxa"/>
              <w:right w:w="28" w:type="dxa"/>
            </w:tcMar>
            <w:vAlign w:val="center"/>
          </w:tcPr>
          <w:p w14:paraId="0000020C" w14:textId="48945952" w:rsidR="00F8269C" w:rsidRDefault="00450D2D" w:rsidP="009D3DA2">
            <w:pPr>
              <w:spacing w:before="60" w:after="60"/>
              <w:contextualSpacing/>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19 448</w:t>
            </w:r>
          </w:p>
        </w:tc>
        <w:tc>
          <w:tcPr>
            <w:tcW w:w="1126" w:type="dxa"/>
            <w:tcMar>
              <w:left w:w="28" w:type="dxa"/>
              <w:right w:w="28" w:type="dxa"/>
            </w:tcMar>
            <w:vAlign w:val="center"/>
          </w:tcPr>
          <w:p w14:paraId="0000020D" w14:textId="154BE552" w:rsidR="00F8269C" w:rsidRDefault="00450D2D" w:rsidP="009D3DA2">
            <w:pPr>
              <w:spacing w:before="60" w:after="60"/>
              <w:contextualSpacing/>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16 728</w:t>
            </w:r>
          </w:p>
        </w:tc>
        <w:tc>
          <w:tcPr>
            <w:tcW w:w="1127" w:type="dxa"/>
            <w:tcMar>
              <w:left w:w="28" w:type="dxa"/>
              <w:right w:w="28" w:type="dxa"/>
            </w:tcMar>
            <w:vAlign w:val="center"/>
          </w:tcPr>
          <w:p w14:paraId="0000020E" w14:textId="4785942A" w:rsidR="00F8269C" w:rsidRDefault="00450D2D" w:rsidP="009D3DA2">
            <w:pPr>
              <w:spacing w:before="60" w:after="60"/>
              <w:contextualSpacing/>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36 641</w:t>
            </w:r>
          </w:p>
        </w:tc>
        <w:tc>
          <w:tcPr>
            <w:tcW w:w="1127" w:type="dxa"/>
            <w:tcMar>
              <w:left w:w="28" w:type="dxa"/>
              <w:right w:w="28" w:type="dxa"/>
            </w:tcMar>
            <w:vAlign w:val="center"/>
          </w:tcPr>
          <w:p w14:paraId="0000020F" w14:textId="7A23FBB3" w:rsidR="00F8269C" w:rsidRDefault="00450D2D" w:rsidP="009D3DA2">
            <w:pPr>
              <w:spacing w:before="60" w:after="60"/>
              <w:contextualSpacing/>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39 900</w:t>
            </w:r>
          </w:p>
        </w:tc>
        <w:tc>
          <w:tcPr>
            <w:tcW w:w="1127" w:type="dxa"/>
            <w:tcMar>
              <w:left w:w="28" w:type="dxa"/>
              <w:right w:w="28" w:type="dxa"/>
            </w:tcMar>
            <w:vAlign w:val="center"/>
          </w:tcPr>
          <w:p w14:paraId="00000210" w14:textId="1D06E7D7" w:rsidR="00F8269C" w:rsidRDefault="00450D2D" w:rsidP="009D3DA2">
            <w:pPr>
              <w:spacing w:before="60" w:after="60"/>
              <w:contextualSpacing/>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 33 373</w:t>
            </w:r>
          </w:p>
        </w:tc>
      </w:tr>
      <w:tr w:rsidR="003B13C0" w14:paraId="550ECA34" w14:textId="77777777" w:rsidTr="003B13C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00000211" w14:textId="77777777" w:rsidR="00F8269C" w:rsidRDefault="00450D2D" w:rsidP="009D3DA2">
            <w:pPr>
              <w:spacing w:before="60" w:after="60"/>
              <w:contextualSpacing/>
              <w:jc w:val="center"/>
              <w:rPr>
                <w:sz w:val="16"/>
                <w:szCs w:val="16"/>
              </w:rPr>
            </w:pPr>
            <w:r>
              <w:rPr>
                <w:sz w:val="16"/>
                <w:szCs w:val="16"/>
              </w:rPr>
              <w:t>2020</w:t>
            </w:r>
          </w:p>
        </w:tc>
        <w:tc>
          <w:tcPr>
            <w:tcW w:w="1126" w:type="dxa"/>
            <w:tcMar>
              <w:left w:w="28" w:type="dxa"/>
              <w:right w:w="28" w:type="dxa"/>
            </w:tcMar>
            <w:vAlign w:val="center"/>
          </w:tcPr>
          <w:p w14:paraId="00000212" w14:textId="61838158"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4 367</w:t>
            </w:r>
          </w:p>
        </w:tc>
        <w:tc>
          <w:tcPr>
            <w:tcW w:w="1127" w:type="dxa"/>
            <w:tcMar>
              <w:left w:w="28" w:type="dxa"/>
              <w:right w:w="28" w:type="dxa"/>
            </w:tcMar>
            <w:vAlign w:val="center"/>
          </w:tcPr>
          <w:p w14:paraId="00000213" w14:textId="3626C85D"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7 561</w:t>
            </w:r>
          </w:p>
        </w:tc>
        <w:tc>
          <w:tcPr>
            <w:tcW w:w="1127" w:type="dxa"/>
            <w:tcMar>
              <w:left w:w="28" w:type="dxa"/>
              <w:right w:w="28" w:type="dxa"/>
            </w:tcMar>
            <w:vAlign w:val="center"/>
          </w:tcPr>
          <w:p w14:paraId="00000214" w14:textId="4B2D002B"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17 037</w:t>
            </w:r>
          </w:p>
        </w:tc>
        <w:tc>
          <w:tcPr>
            <w:tcW w:w="1126" w:type="dxa"/>
            <w:tcMar>
              <w:left w:w="28" w:type="dxa"/>
              <w:right w:w="28" w:type="dxa"/>
            </w:tcMar>
            <w:vAlign w:val="center"/>
          </w:tcPr>
          <w:p w14:paraId="00000215" w14:textId="0E3B982C"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14 420</w:t>
            </w:r>
          </w:p>
        </w:tc>
        <w:tc>
          <w:tcPr>
            <w:tcW w:w="1127" w:type="dxa"/>
            <w:tcMar>
              <w:left w:w="28" w:type="dxa"/>
              <w:right w:w="28" w:type="dxa"/>
            </w:tcMar>
            <w:vAlign w:val="center"/>
          </w:tcPr>
          <w:p w14:paraId="00000216" w14:textId="617EC076"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35 335</w:t>
            </w:r>
          </w:p>
        </w:tc>
        <w:tc>
          <w:tcPr>
            <w:tcW w:w="1127" w:type="dxa"/>
            <w:tcMar>
              <w:left w:w="28" w:type="dxa"/>
              <w:right w:w="28" w:type="dxa"/>
            </w:tcMar>
            <w:vAlign w:val="center"/>
          </w:tcPr>
          <w:p w14:paraId="00000217" w14:textId="60015EEA"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38 246</w:t>
            </w:r>
          </w:p>
        </w:tc>
        <w:tc>
          <w:tcPr>
            <w:tcW w:w="1127" w:type="dxa"/>
            <w:tcMar>
              <w:left w:w="28" w:type="dxa"/>
              <w:right w:w="28" w:type="dxa"/>
            </w:tcMar>
            <w:vAlign w:val="center"/>
          </w:tcPr>
          <w:p w14:paraId="00000218" w14:textId="1D9948B4" w:rsidR="00F8269C" w:rsidRDefault="00450D2D" w:rsidP="009D3DA2">
            <w:pPr>
              <w:spacing w:before="60" w:after="60"/>
              <w:contextualSpacing/>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 23 751</w:t>
            </w:r>
          </w:p>
        </w:tc>
      </w:tr>
    </w:tbl>
    <w:p w14:paraId="00000219" w14:textId="77777777" w:rsidR="00F8269C" w:rsidRDefault="00F8269C" w:rsidP="009D3DA2">
      <w:pPr>
        <w:spacing w:before="60" w:after="60" w:line="240" w:lineRule="auto"/>
        <w:contextualSpacing/>
      </w:pPr>
    </w:p>
    <w:p w14:paraId="0000021A" w14:textId="77777777" w:rsidR="00F8269C" w:rsidRDefault="00450D2D" w:rsidP="004B7F36">
      <w:pPr>
        <w:jc w:val="both"/>
        <w:rPr>
          <w:sz w:val="22"/>
          <w:szCs w:val="22"/>
        </w:rPr>
      </w:pPr>
      <w:r>
        <w:rPr>
          <w:sz w:val="22"/>
          <w:szCs w:val="22"/>
        </w:rPr>
        <w:t xml:space="preserve">The Audio-visual and Interactive Media domain has performed the best of all domains in each year under study. It has consistently enjoyed a higher than national average growth rate in </w:t>
      </w:r>
      <w:r>
        <w:rPr>
          <w:sz w:val="22"/>
          <w:szCs w:val="22"/>
        </w:rPr>
        <w:lastRenderedPageBreak/>
        <w:t>recent years and was also the only domain to maintain a positive growth rate in 2019. Books and Press has struggled most, declining in real terms for every year since 2016 except for 2017 when it managed a meagre 0.3% growth rate.</w:t>
      </w:r>
    </w:p>
    <w:p w14:paraId="0000021B" w14:textId="77777777" w:rsidR="00F8269C" w:rsidRDefault="00450D2D">
      <w:pPr>
        <w:keepNext/>
        <w:pBdr>
          <w:top w:val="nil"/>
          <w:left w:val="nil"/>
          <w:bottom w:val="nil"/>
          <w:right w:val="nil"/>
          <w:between w:val="nil"/>
        </w:pBdr>
        <w:spacing w:after="200" w:line="240" w:lineRule="auto"/>
        <w:rPr>
          <w:i/>
          <w:color w:val="44546A"/>
          <w:sz w:val="18"/>
          <w:szCs w:val="18"/>
        </w:rPr>
      </w:pPr>
      <w:r>
        <w:rPr>
          <w:i/>
          <w:color w:val="44546A"/>
          <w:sz w:val="18"/>
          <w:szCs w:val="18"/>
        </w:rPr>
        <w:t>Table 6: GVA annual growth rates by domain</w:t>
      </w:r>
    </w:p>
    <w:tbl>
      <w:tblPr>
        <w:tblStyle w:val="a7"/>
        <w:tblW w:w="901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126"/>
        <w:gridCol w:w="1127"/>
        <w:gridCol w:w="1127"/>
        <w:gridCol w:w="1127"/>
        <w:gridCol w:w="1127"/>
        <w:gridCol w:w="1127"/>
        <w:gridCol w:w="1127"/>
        <w:gridCol w:w="1127"/>
      </w:tblGrid>
      <w:tr w:rsidR="00F8269C" w14:paraId="337001B6" w14:textId="77777777" w:rsidTr="009D3DA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tcPr>
          <w:p w14:paraId="0000021C" w14:textId="77777777" w:rsidR="00F8269C" w:rsidRDefault="00F8269C" w:rsidP="009D3DA2">
            <w:pPr>
              <w:spacing w:before="60" w:after="60"/>
              <w:jc w:val="center"/>
              <w:rPr>
                <w:sz w:val="16"/>
                <w:szCs w:val="16"/>
              </w:rPr>
            </w:pPr>
          </w:p>
        </w:tc>
        <w:tc>
          <w:tcPr>
            <w:tcW w:w="0" w:type="dxa"/>
            <w:tcMar>
              <w:left w:w="28" w:type="dxa"/>
              <w:right w:w="28" w:type="dxa"/>
            </w:tcMar>
          </w:tcPr>
          <w:p w14:paraId="6E3E2703" w14:textId="287C68BC" w:rsidR="00A732E6" w:rsidRPr="000641BA"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bCs/>
                <w:sz w:val="16"/>
                <w:szCs w:val="16"/>
              </w:rPr>
            </w:pPr>
            <w:r w:rsidRPr="000B519C">
              <w:rPr>
                <w:bCs/>
                <w:sz w:val="16"/>
                <w:szCs w:val="16"/>
              </w:rPr>
              <w:t>A:</w:t>
            </w:r>
          </w:p>
          <w:p w14:paraId="0000021D" w14:textId="000C2D9A" w:rsidR="00F8269C" w:rsidRPr="000641BA"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bCs/>
                <w:sz w:val="16"/>
                <w:szCs w:val="16"/>
              </w:rPr>
            </w:pPr>
            <w:r w:rsidRPr="000B519C">
              <w:rPr>
                <w:bCs/>
                <w:sz w:val="16"/>
                <w:szCs w:val="16"/>
              </w:rPr>
              <w:t>Cultural and natural heritage</w:t>
            </w:r>
          </w:p>
        </w:tc>
        <w:tc>
          <w:tcPr>
            <w:tcW w:w="0" w:type="dxa"/>
            <w:tcMar>
              <w:left w:w="28" w:type="dxa"/>
              <w:right w:w="28" w:type="dxa"/>
            </w:tcMar>
          </w:tcPr>
          <w:p w14:paraId="0000021E" w14:textId="77777777" w:rsidR="00F8269C" w:rsidRPr="000641BA"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bCs/>
                <w:sz w:val="16"/>
                <w:szCs w:val="16"/>
              </w:rPr>
            </w:pPr>
            <w:r w:rsidRPr="000B519C">
              <w:rPr>
                <w:bCs/>
                <w:sz w:val="16"/>
                <w:szCs w:val="16"/>
              </w:rPr>
              <w:t>B: Performance and celebration</w:t>
            </w:r>
          </w:p>
        </w:tc>
        <w:tc>
          <w:tcPr>
            <w:tcW w:w="0" w:type="dxa"/>
            <w:tcMar>
              <w:left w:w="28" w:type="dxa"/>
              <w:right w:w="28" w:type="dxa"/>
            </w:tcMar>
          </w:tcPr>
          <w:p w14:paraId="0000021F" w14:textId="295FB5DF" w:rsidR="00F8269C" w:rsidRPr="000641BA"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bCs/>
                <w:sz w:val="16"/>
                <w:szCs w:val="16"/>
              </w:rPr>
            </w:pPr>
            <w:r w:rsidRPr="000B519C">
              <w:rPr>
                <w:bCs/>
                <w:sz w:val="16"/>
                <w:szCs w:val="16"/>
              </w:rPr>
              <w:t xml:space="preserve">C: </w:t>
            </w:r>
            <w:r w:rsidR="00A732E6" w:rsidRPr="000B519C">
              <w:rPr>
                <w:bCs/>
                <w:sz w:val="16"/>
                <w:szCs w:val="16"/>
              </w:rPr>
              <w:br/>
            </w:r>
            <w:r w:rsidRPr="000B519C">
              <w:rPr>
                <w:bCs/>
                <w:sz w:val="16"/>
                <w:szCs w:val="16"/>
              </w:rPr>
              <w:t>Visual art and crafts</w:t>
            </w:r>
          </w:p>
        </w:tc>
        <w:tc>
          <w:tcPr>
            <w:tcW w:w="0" w:type="dxa"/>
            <w:tcMar>
              <w:left w:w="28" w:type="dxa"/>
              <w:right w:w="28" w:type="dxa"/>
            </w:tcMar>
          </w:tcPr>
          <w:p w14:paraId="00000220" w14:textId="48BF9D46" w:rsidR="00F8269C" w:rsidRPr="000641BA"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bCs/>
                <w:sz w:val="16"/>
                <w:szCs w:val="16"/>
              </w:rPr>
            </w:pPr>
            <w:r w:rsidRPr="000B519C">
              <w:rPr>
                <w:bCs/>
                <w:sz w:val="16"/>
                <w:szCs w:val="16"/>
              </w:rPr>
              <w:t xml:space="preserve">D: </w:t>
            </w:r>
            <w:r w:rsidR="00A732E6" w:rsidRPr="000B519C">
              <w:rPr>
                <w:bCs/>
                <w:sz w:val="16"/>
                <w:szCs w:val="16"/>
              </w:rPr>
              <w:br/>
            </w:r>
            <w:r w:rsidRPr="000B519C">
              <w:rPr>
                <w:bCs/>
                <w:sz w:val="16"/>
                <w:szCs w:val="16"/>
              </w:rPr>
              <w:t xml:space="preserve">Books and </w:t>
            </w:r>
            <w:r w:rsidR="00A732E6" w:rsidRPr="000B519C">
              <w:rPr>
                <w:bCs/>
                <w:sz w:val="16"/>
                <w:szCs w:val="16"/>
              </w:rPr>
              <w:t>Press</w:t>
            </w:r>
          </w:p>
        </w:tc>
        <w:tc>
          <w:tcPr>
            <w:tcW w:w="0" w:type="dxa"/>
            <w:tcMar>
              <w:left w:w="28" w:type="dxa"/>
              <w:right w:w="28" w:type="dxa"/>
            </w:tcMar>
          </w:tcPr>
          <w:p w14:paraId="00000221" w14:textId="3A787983" w:rsidR="00F8269C" w:rsidRPr="000641BA"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bCs/>
                <w:sz w:val="16"/>
                <w:szCs w:val="16"/>
              </w:rPr>
            </w:pPr>
            <w:r w:rsidRPr="000B519C">
              <w:rPr>
                <w:bCs/>
                <w:sz w:val="16"/>
                <w:szCs w:val="16"/>
              </w:rPr>
              <w:t xml:space="preserve">E: </w:t>
            </w:r>
            <w:r w:rsidR="00A732E6" w:rsidRPr="000B519C">
              <w:rPr>
                <w:bCs/>
                <w:sz w:val="16"/>
                <w:szCs w:val="16"/>
              </w:rPr>
              <w:br/>
            </w:r>
            <w:r w:rsidRPr="000B519C">
              <w:rPr>
                <w:bCs/>
                <w:sz w:val="16"/>
                <w:szCs w:val="16"/>
              </w:rPr>
              <w:t>Audio-visual and interactive media</w:t>
            </w:r>
          </w:p>
        </w:tc>
        <w:tc>
          <w:tcPr>
            <w:tcW w:w="0" w:type="dxa"/>
            <w:tcMar>
              <w:left w:w="28" w:type="dxa"/>
              <w:right w:w="28" w:type="dxa"/>
            </w:tcMar>
          </w:tcPr>
          <w:p w14:paraId="00000222" w14:textId="01DBE3F3" w:rsidR="00F8269C" w:rsidRPr="000641BA"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bCs/>
                <w:sz w:val="16"/>
                <w:szCs w:val="16"/>
              </w:rPr>
            </w:pPr>
            <w:r w:rsidRPr="000B519C">
              <w:rPr>
                <w:bCs/>
                <w:sz w:val="16"/>
                <w:szCs w:val="16"/>
              </w:rPr>
              <w:t xml:space="preserve">F: </w:t>
            </w:r>
            <w:r w:rsidR="00A732E6" w:rsidRPr="000B519C">
              <w:rPr>
                <w:bCs/>
                <w:sz w:val="16"/>
                <w:szCs w:val="16"/>
              </w:rPr>
              <w:br/>
            </w:r>
            <w:r w:rsidRPr="000B519C">
              <w:rPr>
                <w:bCs/>
                <w:sz w:val="16"/>
                <w:szCs w:val="16"/>
              </w:rPr>
              <w:t>Design and creative services</w:t>
            </w:r>
          </w:p>
        </w:tc>
        <w:tc>
          <w:tcPr>
            <w:tcW w:w="0" w:type="dxa"/>
            <w:tcMar>
              <w:left w:w="28" w:type="dxa"/>
              <w:right w:w="28" w:type="dxa"/>
            </w:tcMar>
            <w:vAlign w:val="center"/>
          </w:tcPr>
          <w:p w14:paraId="00000223" w14:textId="62F66752" w:rsidR="00F8269C" w:rsidRPr="000641BA"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bCs/>
                <w:sz w:val="16"/>
                <w:szCs w:val="16"/>
              </w:rPr>
            </w:pPr>
            <w:r w:rsidRPr="000B519C">
              <w:rPr>
                <w:bCs/>
                <w:sz w:val="16"/>
                <w:szCs w:val="16"/>
              </w:rPr>
              <w:t xml:space="preserve">Transversal </w:t>
            </w:r>
            <w:r w:rsidR="00946F53">
              <w:rPr>
                <w:bCs/>
                <w:sz w:val="16"/>
                <w:szCs w:val="16"/>
              </w:rPr>
              <w:t>d</w:t>
            </w:r>
            <w:r w:rsidR="00CD6602">
              <w:rPr>
                <w:bCs/>
                <w:sz w:val="16"/>
                <w:szCs w:val="16"/>
              </w:rPr>
              <w:t xml:space="preserve">omain: </w:t>
            </w:r>
            <w:r w:rsidRPr="000B519C">
              <w:rPr>
                <w:bCs/>
                <w:sz w:val="16"/>
                <w:szCs w:val="16"/>
              </w:rPr>
              <w:t xml:space="preserve">Education and </w:t>
            </w:r>
            <w:r w:rsidR="00946F53">
              <w:rPr>
                <w:bCs/>
                <w:sz w:val="16"/>
                <w:szCs w:val="16"/>
              </w:rPr>
              <w:t>t</w:t>
            </w:r>
            <w:r w:rsidRPr="000B519C">
              <w:rPr>
                <w:bCs/>
                <w:sz w:val="16"/>
                <w:szCs w:val="16"/>
              </w:rPr>
              <w:t xml:space="preserve">raining </w:t>
            </w:r>
          </w:p>
        </w:tc>
      </w:tr>
      <w:tr w:rsidR="00F8269C" w14:paraId="6AFE6E45" w14:textId="77777777" w:rsidTr="009D3D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224" w14:textId="77777777" w:rsidR="00F8269C" w:rsidRDefault="00450D2D" w:rsidP="009D3DA2">
            <w:pPr>
              <w:spacing w:before="60" w:after="60"/>
              <w:jc w:val="center"/>
              <w:rPr>
                <w:sz w:val="16"/>
                <w:szCs w:val="16"/>
              </w:rPr>
            </w:pPr>
            <w:r>
              <w:rPr>
                <w:b w:val="0"/>
                <w:sz w:val="16"/>
                <w:szCs w:val="16"/>
              </w:rPr>
              <w:t>2016</w:t>
            </w:r>
          </w:p>
        </w:tc>
        <w:tc>
          <w:tcPr>
            <w:tcW w:w="0" w:type="dxa"/>
            <w:vAlign w:val="center"/>
          </w:tcPr>
          <w:p w14:paraId="00000225"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3.3%</w:t>
            </w:r>
          </w:p>
        </w:tc>
        <w:tc>
          <w:tcPr>
            <w:tcW w:w="0" w:type="dxa"/>
            <w:vAlign w:val="center"/>
          </w:tcPr>
          <w:p w14:paraId="00000226"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3.2%</w:t>
            </w:r>
          </w:p>
        </w:tc>
        <w:tc>
          <w:tcPr>
            <w:tcW w:w="0" w:type="dxa"/>
            <w:vAlign w:val="center"/>
          </w:tcPr>
          <w:p w14:paraId="00000227"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-0.8%</w:t>
            </w:r>
          </w:p>
        </w:tc>
        <w:tc>
          <w:tcPr>
            <w:tcW w:w="0" w:type="dxa"/>
            <w:vAlign w:val="center"/>
          </w:tcPr>
          <w:p w14:paraId="00000228"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-1.7%</w:t>
            </w:r>
          </w:p>
        </w:tc>
        <w:tc>
          <w:tcPr>
            <w:tcW w:w="0" w:type="dxa"/>
            <w:vAlign w:val="center"/>
          </w:tcPr>
          <w:p w14:paraId="00000229"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0.4%</w:t>
            </w:r>
          </w:p>
        </w:tc>
        <w:tc>
          <w:tcPr>
            <w:tcW w:w="0" w:type="dxa"/>
            <w:vAlign w:val="center"/>
          </w:tcPr>
          <w:p w14:paraId="0000022A"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0.9%</w:t>
            </w:r>
          </w:p>
        </w:tc>
        <w:tc>
          <w:tcPr>
            <w:tcW w:w="0" w:type="dxa"/>
            <w:vAlign w:val="center"/>
          </w:tcPr>
          <w:p w14:paraId="0000022B"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0.9%</w:t>
            </w:r>
          </w:p>
        </w:tc>
      </w:tr>
      <w:tr w:rsidR="00F8269C" w14:paraId="3DD92E06" w14:textId="77777777" w:rsidTr="009D3DA2">
        <w:trPr>
          <w:trHeight w:val="300"/>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22C" w14:textId="77777777" w:rsidR="00F8269C" w:rsidRDefault="00450D2D" w:rsidP="009D3DA2">
            <w:pPr>
              <w:spacing w:before="60" w:after="60"/>
              <w:jc w:val="center"/>
              <w:rPr>
                <w:sz w:val="16"/>
                <w:szCs w:val="16"/>
              </w:rPr>
            </w:pPr>
            <w:r>
              <w:rPr>
                <w:b w:val="0"/>
                <w:sz w:val="16"/>
                <w:szCs w:val="16"/>
              </w:rPr>
              <w:t>2017</w:t>
            </w:r>
          </w:p>
        </w:tc>
        <w:tc>
          <w:tcPr>
            <w:tcW w:w="0" w:type="dxa"/>
            <w:vAlign w:val="center"/>
          </w:tcPr>
          <w:p w14:paraId="0000022D"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0.5%</w:t>
            </w:r>
          </w:p>
        </w:tc>
        <w:tc>
          <w:tcPr>
            <w:tcW w:w="0" w:type="dxa"/>
            <w:vAlign w:val="center"/>
          </w:tcPr>
          <w:p w14:paraId="0000022E"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0.1%</w:t>
            </w:r>
          </w:p>
        </w:tc>
        <w:tc>
          <w:tcPr>
            <w:tcW w:w="0" w:type="dxa"/>
            <w:vAlign w:val="center"/>
          </w:tcPr>
          <w:p w14:paraId="0000022F"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1.3%</w:t>
            </w:r>
          </w:p>
        </w:tc>
        <w:tc>
          <w:tcPr>
            <w:tcW w:w="0" w:type="dxa"/>
            <w:vAlign w:val="center"/>
          </w:tcPr>
          <w:p w14:paraId="00000230"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0.3%</w:t>
            </w:r>
          </w:p>
        </w:tc>
        <w:tc>
          <w:tcPr>
            <w:tcW w:w="0" w:type="dxa"/>
            <w:vAlign w:val="center"/>
          </w:tcPr>
          <w:p w14:paraId="00000231"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10.2%</w:t>
            </w:r>
          </w:p>
        </w:tc>
        <w:tc>
          <w:tcPr>
            <w:tcW w:w="0" w:type="dxa"/>
            <w:vAlign w:val="center"/>
          </w:tcPr>
          <w:p w14:paraId="00000232"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w:t>
            </w:r>
          </w:p>
        </w:tc>
        <w:tc>
          <w:tcPr>
            <w:tcW w:w="0" w:type="dxa"/>
            <w:vAlign w:val="center"/>
          </w:tcPr>
          <w:p w14:paraId="00000233"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-1.8%</w:t>
            </w:r>
          </w:p>
        </w:tc>
      </w:tr>
      <w:tr w:rsidR="00F8269C" w14:paraId="4FC777D1" w14:textId="77777777" w:rsidTr="009D3D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234" w14:textId="77777777" w:rsidR="00F8269C" w:rsidRDefault="00450D2D" w:rsidP="009D3DA2">
            <w:pPr>
              <w:spacing w:before="60" w:after="60"/>
              <w:jc w:val="center"/>
              <w:rPr>
                <w:sz w:val="16"/>
                <w:szCs w:val="16"/>
              </w:rPr>
            </w:pPr>
            <w:r>
              <w:rPr>
                <w:b w:val="0"/>
                <w:sz w:val="16"/>
                <w:szCs w:val="16"/>
              </w:rPr>
              <w:t>2018</w:t>
            </w:r>
          </w:p>
        </w:tc>
        <w:tc>
          <w:tcPr>
            <w:tcW w:w="0" w:type="dxa"/>
            <w:vAlign w:val="center"/>
          </w:tcPr>
          <w:p w14:paraId="00000235"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-4.8%</w:t>
            </w:r>
          </w:p>
        </w:tc>
        <w:tc>
          <w:tcPr>
            <w:tcW w:w="0" w:type="dxa"/>
            <w:vAlign w:val="center"/>
          </w:tcPr>
          <w:p w14:paraId="00000236"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-6.0%</w:t>
            </w:r>
          </w:p>
        </w:tc>
        <w:tc>
          <w:tcPr>
            <w:tcW w:w="0" w:type="dxa"/>
            <w:vAlign w:val="center"/>
          </w:tcPr>
          <w:p w14:paraId="00000237"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2.7%</w:t>
            </w:r>
          </w:p>
        </w:tc>
        <w:tc>
          <w:tcPr>
            <w:tcW w:w="0" w:type="dxa"/>
            <w:vAlign w:val="center"/>
          </w:tcPr>
          <w:p w14:paraId="00000238"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-2.9%</w:t>
            </w:r>
          </w:p>
        </w:tc>
        <w:tc>
          <w:tcPr>
            <w:tcW w:w="0" w:type="dxa"/>
            <w:vAlign w:val="center"/>
          </w:tcPr>
          <w:p w14:paraId="00000239"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2.8%</w:t>
            </w:r>
          </w:p>
        </w:tc>
        <w:tc>
          <w:tcPr>
            <w:tcW w:w="0" w:type="dxa"/>
            <w:vAlign w:val="center"/>
          </w:tcPr>
          <w:p w14:paraId="0000023A"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2.6%</w:t>
            </w:r>
          </w:p>
        </w:tc>
        <w:tc>
          <w:tcPr>
            <w:tcW w:w="0" w:type="dxa"/>
            <w:vAlign w:val="center"/>
          </w:tcPr>
          <w:p w14:paraId="0000023B"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-3.4%</w:t>
            </w:r>
          </w:p>
        </w:tc>
      </w:tr>
      <w:tr w:rsidR="00F8269C" w14:paraId="324C6C63" w14:textId="77777777" w:rsidTr="009D3DA2">
        <w:trPr>
          <w:trHeight w:val="300"/>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23C" w14:textId="77777777" w:rsidR="00F8269C" w:rsidRDefault="00450D2D" w:rsidP="009D3DA2">
            <w:pPr>
              <w:spacing w:before="60" w:after="60"/>
              <w:jc w:val="center"/>
              <w:rPr>
                <w:sz w:val="16"/>
                <w:szCs w:val="16"/>
              </w:rPr>
            </w:pPr>
            <w:r>
              <w:rPr>
                <w:b w:val="0"/>
                <w:sz w:val="16"/>
                <w:szCs w:val="16"/>
              </w:rPr>
              <w:t>2019</w:t>
            </w:r>
          </w:p>
        </w:tc>
        <w:tc>
          <w:tcPr>
            <w:tcW w:w="0" w:type="dxa"/>
            <w:vAlign w:val="center"/>
          </w:tcPr>
          <w:p w14:paraId="0000023D"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-0.4%</w:t>
            </w:r>
          </w:p>
        </w:tc>
        <w:tc>
          <w:tcPr>
            <w:tcW w:w="0" w:type="dxa"/>
            <w:vAlign w:val="center"/>
          </w:tcPr>
          <w:p w14:paraId="0000023E"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-0.9%</w:t>
            </w:r>
          </w:p>
        </w:tc>
        <w:tc>
          <w:tcPr>
            <w:tcW w:w="0" w:type="dxa"/>
            <w:vAlign w:val="center"/>
          </w:tcPr>
          <w:p w14:paraId="0000023F"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-3.1%</w:t>
            </w:r>
          </w:p>
        </w:tc>
        <w:tc>
          <w:tcPr>
            <w:tcW w:w="0" w:type="dxa"/>
            <w:vAlign w:val="center"/>
          </w:tcPr>
          <w:p w14:paraId="00000240"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-2.9%</w:t>
            </w:r>
          </w:p>
        </w:tc>
        <w:tc>
          <w:tcPr>
            <w:tcW w:w="0" w:type="dxa"/>
            <w:vAlign w:val="center"/>
          </w:tcPr>
          <w:p w14:paraId="00000241"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0.8%</w:t>
            </w:r>
          </w:p>
        </w:tc>
        <w:tc>
          <w:tcPr>
            <w:tcW w:w="0" w:type="dxa"/>
            <w:vAlign w:val="center"/>
          </w:tcPr>
          <w:p w14:paraId="00000242"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w:t>
            </w:r>
          </w:p>
        </w:tc>
        <w:tc>
          <w:tcPr>
            <w:tcW w:w="0" w:type="dxa"/>
            <w:vAlign w:val="center"/>
          </w:tcPr>
          <w:p w14:paraId="00000243"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-0.2%</w:t>
            </w:r>
          </w:p>
        </w:tc>
      </w:tr>
      <w:tr w:rsidR="00F8269C" w14:paraId="38E6D52D" w14:textId="77777777" w:rsidTr="009D3D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244" w14:textId="77777777" w:rsidR="00F8269C" w:rsidRDefault="00450D2D" w:rsidP="009D3DA2">
            <w:pPr>
              <w:spacing w:before="60" w:after="60"/>
              <w:jc w:val="center"/>
              <w:rPr>
                <w:sz w:val="16"/>
                <w:szCs w:val="16"/>
              </w:rPr>
            </w:pPr>
            <w:r>
              <w:rPr>
                <w:b w:val="0"/>
                <w:sz w:val="16"/>
                <w:szCs w:val="16"/>
              </w:rPr>
              <w:t>2020</w:t>
            </w:r>
          </w:p>
        </w:tc>
        <w:tc>
          <w:tcPr>
            <w:tcW w:w="0" w:type="dxa"/>
            <w:vAlign w:val="center"/>
          </w:tcPr>
          <w:p w14:paraId="00000245"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-4.2%</w:t>
            </w:r>
          </w:p>
        </w:tc>
        <w:tc>
          <w:tcPr>
            <w:tcW w:w="0" w:type="dxa"/>
            <w:vAlign w:val="center"/>
          </w:tcPr>
          <w:p w14:paraId="00000246"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-3.8%</w:t>
            </w:r>
          </w:p>
        </w:tc>
        <w:tc>
          <w:tcPr>
            <w:tcW w:w="0" w:type="dxa"/>
            <w:vAlign w:val="center"/>
          </w:tcPr>
          <w:p w14:paraId="00000247"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-12.4%</w:t>
            </w:r>
          </w:p>
        </w:tc>
        <w:tc>
          <w:tcPr>
            <w:tcW w:w="0" w:type="dxa"/>
            <w:vAlign w:val="center"/>
          </w:tcPr>
          <w:p w14:paraId="00000248"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-13.8%</w:t>
            </w:r>
          </w:p>
        </w:tc>
        <w:tc>
          <w:tcPr>
            <w:tcW w:w="0" w:type="dxa"/>
            <w:vAlign w:val="center"/>
          </w:tcPr>
          <w:p w14:paraId="00000249"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-3.6%</w:t>
            </w:r>
          </w:p>
        </w:tc>
        <w:tc>
          <w:tcPr>
            <w:tcW w:w="0" w:type="dxa"/>
            <w:vAlign w:val="center"/>
          </w:tcPr>
          <w:p w14:paraId="0000024A"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-4.1%</w:t>
            </w:r>
          </w:p>
        </w:tc>
        <w:tc>
          <w:tcPr>
            <w:tcW w:w="0" w:type="dxa"/>
            <w:vAlign w:val="center"/>
          </w:tcPr>
          <w:p w14:paraId="0000024B"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-28.8%</w:t>
            </w:r>
          </w:p>
        </w:tc>
      </w:tr>
    </w:tbl>
    <w:p w14:paraId="0000024C" w14:textId="77777777" w:rsidR="00F8269C" w:rsidRDefault="00F8269C"/>
    <w:p w14:paraId="0000024D" w14:textId="77777777" w:rsidR="00F8269C" w:rsidRDefault="00450D2D" w:rsidP="004B7F36">
      <w:pPr>
        <w:jc w:val="both"/>
        <w:rPr>
          <w:sz w:val="22"/>
          <w:szCs w:val="22"/>
        </w:rPr>
      </w:pPr>
      <w:r>
        <w:rPr>
          <w:sz w:val="22"/>
          <w:szCs w:val="22"/>
        </w:rPr>
        <w:t>In 2019 most of the CCI domains shrank in real terms as South Africa’s economic growth slowed down. As found in other studies, the creative economy shrank faster than the South African economy as a whole. In 2020, the impact of COVID-19 was felt by all the domains.</w:t>
      </w:r>
    </w:p>
    <w:p w14:paraId="0000024E" w14:textId="77777777" w:rsidR="00F8269C" w:rsidRDefault="00450D2D">
      <w:pPr>
        <w:pStyle w:val="Heading2"/>
        <w:numPr>
          <w:ilvl w:val="1"/>
          <w:numId w:val="5"/>
        </w:numPr>
      </w:pPr>
      <w:bookmarkStart w:id="90" w:name="_Toc93842785"/>
      <w:bookmarkStart w:id="91" w:name="_Toc93842971"/>
      <w:bookmarkStart w:id="92" w:name="_Toc93843349"/>
      <w:r>
        <w:t>Total Output or Sales (Intermediate Output plus Final Output) at Basic Prices</w:t>
      </w:r>
      <w:bookmarkEnd w:id="90"/>
      <w:bookmarkEnd w:id="91"/>
      <w:bookmarkEnd w:id="92"/>
    </w:p>
    <w:p w14:paraId="0000024F" w14:textId="4A62CA64" w:rsidR="00F8269C" w:rsidRDefault="00450D2D" w:rsidP="004B7F36">
      <w:pPr>
        <w:jc w:val="both"/>
        <w:rPr>
          <w:sz w:val="22"/>
          <w:szCs w:val="22"/>
        </w:rPr>
      </w:pPr>
      <w:r>
        <w:rPr>
          <w:sz w:val="22"/>
          <w:szCs w:val="22"/>
        </w:rPr>
        <w:t xml:space="preserve">GDP is the total value of all final goods and services produced in a country in a particular period (usually a year). It must be stressed that the GDP </w:t>
      </w:r>
      <w:r w:rsidR="00163C1E">
        <w:rPr>
          <w:sz w:val="22"/>
          <w:szCs w:val="22"/>
        </w:rPr>
        <w:t xml:space="preserve">consists </w:t>
      </w:r>
      <w:r>
        <w:rPr>
          <w:sz w:val="22"/>
          <w:szCs w:val="22"/>
        </w:rPr>
        <w:t xml:space="preserve">of </w:t>
      </w:r>
      <w:r>
        <w:rPr>
          <w:i/>
          <w:sz w:val="22"/>
          <w:szCs w:val="22"/>
        </w:rPr>
        <w:t>final</w:t>
      </w:r>
      <w:r>
        <w:rPr>
          <w:sz w:val="22"/>
          <w:szCs w:val="22"/>
        </w:rPr>
        <w:t xml:space="preserve"> goods and services. It is important that when the GDP is calculated that there is no double counting. Firms require raw materials or other intermediate goods to produce the products they sell</w:t>
      </w:r>
      <w:r w:rsidR="00897A79">
        <w:rPr>
          <w:sz w:val="22"/>
          <w:szCs w:val="22"/>
        </w:rPr>
        <w:t>,</w:t>
      </w:r>
      <w:r>
        <w:rPr>
          <w:sz w:val="22"/>
          <w:szCs w:val="22"/>
        </w:rPr>
        <w:t xml:space="preserve"> either to other firms (who use</w:t>
      </w:r>
      <w:r w:rsidR="00897A79">
        <w:rPr>
          <w:sz w:val="22"/>
          <w:szCs w:val="22"/>
        </w:rPr>
        <w:t xml:space="preserve"> them</w:t>
      </w:r>
      <w:r>
        <w:rPr>
          <w:sz w:val="22"/>
          <w:szCs w:val="22"/>
        </w:rPr>
        <w:t xml:space="preserve"> to produce their products) or to final consumers. The final consumers are generally households, government, firms (who use the goods for investment) or the rest of the world. </w:t>
      </w:r>
      <w:r w:rsidR="003B13C0">
        <w:rPr>
          <w:sz w:val="22"/>
          <w:szCs w:val="22"/>
        </w:rPr>
        <w:t>T</w:t>
      </w:r>
      <w:r>
        <w:rPr>
          <w:sz w:val="22"/>
          <w:szCs w:val="22"/>
        </w:rPr>
        <w:t xml:space="preserve">able </w:t>
      </w:r>
      <w:r w:rsidR="003B13C0">
        <w:rPr>
          <w:sz w:val="22"/>
          <w:szCs w:val="22"/>
        </w:rPr>
        <w:t xml:space="preserve">7 </w:t>
      </w:r>
      <w:r>
        <w:rPr>
          <w:sz w:val="22"/>
          <w:szCs w:val="22"/>
        </w:rPr>
        <w:t xml:space="preserve">below shows the total output of each of the domains. This includes both the intermediate output and the final output. While the figures give an indication of the backward and forward linkages in the economy, they do include double counting and are thus not as useful </w:t>
      </w:r>
      <w:r w:rsidR="00897A79">
        <w:rPr>
          <w:sz w:val="22"/>
          <w:szCs w:val="22"/>
        </w:rPr>
        <w:t xml:space="preserve">as </w:t>
      </w:r>
      <w:r>
        <w:rPr>
          <w:sz w:val="22"/>
          <w:szCs w:val="22"/>
        </w:rPr>
        <w:t>indicators as the GVA discussed above, that excludes double counting.</w:t>
      </w:r>
    </w:p>
    <w:p w14:paraId="00000250" w14:textId="77777777" w:rsidR="00F8269C" w:rsidRDefault="00450D2D">
      <w:pPr>
        <w:keepNext/>
        <w:pBdr>
          <w:top w:val="nil"/>
          <w:left w:val="nil"/>
          <w:bottom w:val="nil"/>
          <w:right w:val="nil"/>
          <w:between w:val="nil"/>
        </w:pBdr>
        <w:spacing w:after="200" w:line="240" w:lineRule="auto"/>
        <w:rPr>
          <w:i/>
          <w:color w:val="44546A"/>
          <w:sz w:val="18"/>
          <w:szCs w:val="18"/>
        </w:rPr>
      </w:pPr>
      <w:r>
        <w:rPr>
          <w:i/>
          <w:color w:val="44546A"/>
          <w:sz w:val="18"/>
          <w:szCs w:val="18"/>
        </w:rPr>
        <w:t>Table 7: Total output or sales (intermediate output and final output) (R million 2015 constant prices)</w:t>
      </w:r>
    </w:p>
    <w:tbl>
      <w:tblPr>
        <w:tblStyle w:val="a8"/>
        <w:tblW w:w="892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012"/>
        <w:gridCol w:w="1130"/>
        <w:gridCol w:w="1130"/>
        <w:gridCol w:w="1131"/>
        <w:gridCol w:w="1130"/>
        <w:gridCol w:w="1131"/>
        <w:gridCol w:w="1130"/>
        <w:gridCol w:w="1131"/>
      </w:tblGrid>
      <w:tr w:rsidR="00F8269C" w14:paraId="5CBCA270" w14:textId="77777777" w:rsidTr="009D3D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2" w:type="dxa"/>
          </w:tcPr>
          <w:p w14:paraId="00000251" w14:textId="77777777" w:rsidR="00F8269C" w:rsidRPr="009D3DA2" w:rsidRDefault="00F8269C" w:rsidP="000641BA">
            <w:pPr>
              <w:rPr>
                <w:sz w:val="16"/>
                <w:szCs w:val="16"/>
              </w:rPr>
            </w:pPr>
          </w:p>
        </w:tc>
        <w:tc>
          <w:tcPr>
            <w:tcW w:w="1130" w:type="dxa"/>
          </w:tcPr>
          <w:p w14:paraId="44003646" w14:textId="77777777" w:rsidR="000641BA" w:rsidRPr="009D3DA2" w:rsidRDefault="000641BA" w:rsidP="009D3DA2">
            <w:pPr>
              <w:jc w:val="center"/>
              <w:cnfStyle w:val="100000000000" w:firstRow="1" w:lastRow="0" w:firstColumn="0" w:lastColumn="0" w:oddVBand="0" w:evenVBand="0" w:oddHBand="0" w:evenHBand="0" w:firstRowFirstColumn="0" w:firstRowLastColumn="0" w:lastRowFirstColumn="0" w:lastRowLastColumn="0"/>
              <w:rPr>
                <w:sz w:val="16"/>
                <w:szCs w:val="16"/>
              </w:rPr>
            </w:pPr>
            <w:r w:rsidRPr="000641BA">
              <w:rPr>
                <w:sz w:val="16"/>
                <w:szCs w:val="16"/>
              </w:rPr>
              <w:t>A:</w:t>
            </w:r>
          </w:p>
          <w:p w14:paraId="00000252" w14:textId="75547457" w:rsidR="00F8269C" w:rsidRPr="009D3DA2" w:rsidRDefault="00450D2D" w:rsidP="009D3DA2">
            <w:pPr>
              <w:jc w:val="center"/>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Cultural and natural heritage</w:t>
            </w:r>
          </w:p>
        </w:tc>
        <w:tc>
          <w:tcPr>
            <w:tcW w:w="1130" w:type="dxa"/>
            <w:tcMar>
              <w:left w:w="28" w:type="dxa"/>
              <w:right w:w="28" w:type="dxa"/>
            </w:tcMar>
          </w:tcPr>
          <w:p w14:paraId="56C46565" w14:textId="503A1491" w:rsidR="000641BA" w:rsidRPr="009D3DA2" w:rsidRDefault="000641BA" w:rsidP="000641BA">
            <w:pPr>
              <w:jc w:val="center"/>
              <w:cnfStyle w:val="100000000000" w:firstRow="1" w:lastRow="0" w:firstColumn="0" w:lastColumn="0" w:oddVBand="0" w:evenVBand="0" w:oddHBand="0" w:evenHBand="0" w:firstRowFirstColumn="0" w:firstRowLastColumn="0" w:lastRowFirstColumn="0" w:lastRowLastColumn="0"/>
              <w:rPr>
                <w:sz w:val="16"/>
                <w:szCs w:val="16"/>
              </w:rPr>
            </w:pPr>
            <w:r w:rsidRPr="000B519C">
              <w:rPr>
                <w:sz w:val="16"/>
                <w:szCs w:val="16"/>
              </w:rPr>
              <w:t>B:</w:t>
            </w:r>
          </w:p>
          <w:p w14:paraId="00000253" w14:textId="6D4A4EF8" w:rsidR="00F8269C" w:rsidRPr="009D3DA2" w:rsidRDefault="00450D2D" w:rsidP="009D3DA2">
            <w:pPr>
              <w:jc w:val="center"/>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Performance and celebration</w:t>
            </w:r>
          </w:p>
        </w:tc>
        <w:tc>
          <w:tcPr>
            <w:tcW w:w="1131" w:type="dxa"/>
          </w:tcPr>
          <w:p w14:paraId="0E33B26D" w14:textId="77777777" w:rsidR="000641BA" w:rsidRPr="009D3DA2" w:rsidRDefault="000641BA" w:rsidP="000641BA">
            <w:pPr>
              <w:jc w:val="center"/>
              <w:cnfStyle w:val="100000000000" w:firstRow="1" w:lastRow="0" w:firstColumn="0" w:lastColumn="0" w:oddVBand="0" w:evenVBand="0" w:oddHBand="0" w:evenHBand="0" w:firstRowFirstColumn="0" w:firstRowLastColumn="0" w:lastRowFirstColumn="0" w:lastRowLastColumn="0"/>
              <w:rPr>
                <w:sz w:val="16"/>
                <w:szCs w:val="16"/>
              </w:rPr>
            </w:pPr>
            <w:r w:rsidRPr="000641BA">
              <w:rPr>
                <w:sz w:val="16"/>
                <w:szCs w:val="16"/>
              </w:rPr>
              <w:t>C:</w:t>
            </w:r>
          </w:p>
          <w:p w14:paraId="00000254" w14:textId="4ACF4FC2" w:rsidR="00F8269C" w:rsidRPr="009D3DA2" w:rsidRDefault="00450D2D" w:rsidP="009D3DA2">
            <w:pPr>
              <w:jc w:val="center"/>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Visual arts and crafts</w:t>
            </w:r>
          </w:p>
        </w:tc>
        <w:tc>
          <w:tcPr>
            <w:tcW w:w="1130" w:type="dxa"/>
          </w:tcPr>
          <w:p w14:paraId="0483DAF6" w14:textId="77777777" w:rsidR="000641BA" w:rsidRDefault="000641BA" w:rsidP="000641BA">
            <w:pPr>
              <w:jc w:val="center"/>
              <w:cnfStyle w:val="100000000000" w:firstRow="1" w:lastRow="0" w:firstColumn="0" w:lastColumn="0" w:oddVBand="0" w:evenVBand="0" w:oddHBand="0" w:evenHBand="0" w:firstRowFirstColumn="0" w:firstRowLastColumn="0" w:lastRowFirstColumn="0" w:lastRowLastColumn="0"/>
              <w:rPr>
                <w:b w:val="0"/>
                <w:sz w:val="16"/>
                <w:szCs w:val="16"/>
              </w:rPr>
            </w:pPr>
            <w:r>
              <w:rPr>
                <w:sz w:val="16"/>
                <w:szCs w:val="16"/>
              </w:rPr>
              <w:t>D:</w:t>
            </w:r>
          </w:p>
          <w:p w14:paraId="00000255" w14:textId="4AFB3159" w:rsidR="00F8269C" w:rsidRPr="009D3DA2" w:rsidRDefault="00450D2D" w:rsidP="009D3DA2">
            <w:pPr>
              <w:jc w:val="center"/>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 xml:space="preserve">Books and </w:t>
            </w:r>
            <w:r w:rsidR="00A732E6" w:rsidRPr="009D3DA2">
              <w:rPr>
                <w:sz w:val="16"/>
                <w:szCs w:val="16"/>
              </w:rPr>
              <w:t>Press</w:t>
            </w:r>
          </w:p>
        </w:tc>
        <w:tc>
          <w:tcPr>
            <w:tcW w:w="1131" w:type="dxa"/>
          </w:tcPr>
          <w:p w14:paraId="13B6C6DE" w14:textId="761244BA" w:rsidR="000641BA" w:rsidRPr="009D3DA2" w:rsidRDefault="000641BA" w:rsidP="000641BA">
            <w:pPr>
              <w:jc w:val="center"/>
              <w:cnfStyle w:val="100000000000" w:firstRow="1" w:lastRow="0" w:firstColumn="0" w:lastColumn="0" w:oddVBand="0" w:evenVBand="0" w:oddHBand="0" w:evenHBand="0" w:firstRowFirstColumn="0" w:firstRowLastColumn="0" w:lastRowFirstColumn="0" w:lastRowLastColumn="0"/>
              <w:rPr>
                <w:bCs/>
                <w:sz w:val="16"/>
                <w:szCs w:val="16"/>
              </w:rPr>
            </w:pPr>
            <w:r w:rsidRPr="000B519C">
              <w:rPr>
                <w:bCs/>
                <w:sz w:val="16"/>
                <w:szCs w:val="16"/>
              </w:rPr>
              <w:t>E:</w:t>
            </w:r>
          </w:p>
          <w:p w14:paraId="00000256" w14:textId="78A60265" w:rsidR="00F8269C" w:rsidRPr="009D3DA2" w:rsidRDefault="00450D2D" w:rsidP="009D3DA2">
            <w:pPr>
              <w:jc w:val="center"/>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Audio-visual and interactive media</w:t>
            </w:r>
          </w:p>
        </w:tc>
        <w:tc>
          <w:tcPr>
            <w:tcW w:w="1130" w:type="dxa"/>
          </w:tcPr>
          <w:p w14:paraId="595681B4" w14:textId="77777777" w:rsidR="000641BA" w:rsidRDefault="000641BA" w:rsidP="003B13C0">
            <w:pPr>
              <w:jc w:val="center"/>
              <w:cnfStyle w:val="100000000000" w:firstRow="1" w:lastRow="0" w:firstColumn="0" w:lastColumn="0" w:oddVBand="0" w:evenVBand="0" w:oddHBand="0" w:evenHBand="0" w:firstRowFirstColumn="0" w:firstRowLastColumn="0" w:lastRowFirstColumn="0" w:lastRowLastColumn="0"/>
              <w:rPr>
                <w:b w:val="0"/>
                <w:sz w:val="16"/>
                <w:szCs w:val="16"/>
              </w:rPr>
            </w:pPr>
            <w:r>
              <w:rPr>
                <w:sz w:val="16"/>
                <w:szCs w:val="16"/>
              </w:rPr>
              <w:t>F:</w:t>
            </w:r>
          </w:p>
          <w:p w14:paraId="00000257" w14:textId="244A7D32" w:rsidR="00F8269C" w:rsidRPr="009D3DA2" w:rsidRDefault="00450D2D" w:rsidP="009D3DA2">
            <w:pPr>
              <w:jc w:val="center"/>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Design and creative services</w:t>
            </w:r>
          </w:p>
        </w:tc>
        <w:tc>
          <w:tcPr>
            <w:tcW w:w="1131" w:type="dxa"/>
          </w:tcPr>
          <w:p w14:paraId="5936517A" w14:textId="77777777" w:rsidR="000641BA" w:rsidRDefault="000641BA" w:rsidP="000641BA">
            <w:pPr>
              <w:jc w:val="center"/>
              <w:cnfStyle w:val="100000000000" w:firstRow="1" w:lastRow="0" w:firstColumn="0" w:lastColumn="0" w:oddVBand="0" w:evenVBand="0" w:oddHBand="0" w:evenHBand="0" w:firstRowFirstColumn="0" w:firstRowLastColumn="0" w:lastRowFirstColumn="0" w:lastRowLastColumn="0"/>
              <w:rPr>
                <w:b w:val="0"/>
                <w:sz w:val="16"/>
                <w:szCs w:val="16"/>
              </w:rPr>
            </w:pPr>
          </w:p>
          <w:p w14:paraId="00000258" w14:textId="046283E1" w:rsidR="00F8269C" w:rsidRPr="009D3DA2" w:rsidRDefault="00450D2D" w:rsidP="009D3DA2">
            <w:pPr>
              <w:jc w:val="center"/>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Transversal</w:t>
            </w:r>
            <w:r w:rsidR="00CD6602">
              <w:rPr>
                <w:sz w:val="16"/>
                <w:szCs w:val="16"/>
              </w:rPr>
              <w:t xml:space="preserve"> </w:t>
            </w:r>
            <w:r w:rsidR="00946F53">
              <w:rPr>
                <w:sz w:val="16"/>
                <w:szCs w:val="16"/>
              </w:rPr>
              <w:t>d</w:t>
            </w:r>
            <w:r w:rsidR="00CD6602">
              <w:rPr>
                <w:sz w:val="16"/>
                <w:szCs w:val="16"/>
              </w:rPr>
              <w:t xml:space="preserve">omain: </w:t>
            </w:r>
            <w:r w:rsidRPr="009D3DA2">
              <w:rPr>
                <w:sz w:val="16"/>
                <w:szCs w:val="16"/>
              </w:rPr>
              <w:t xml:space="preserve">Education and </w:t>
            </w:r>
            <w:r w:rsidR="00946F53">
              <w:rPr>
                <w:sz w:val="16"/>
                <w:szCs w:val="16"/>
              </w:rPr>
              <w:t>t</w:t>
            </w:r>
            <w:r w:rsidRPr="009D3DA2">
              <w:rPr>
                <w:sz w:val="16"/>
                <w:szCs w:val="16"/>
              </w:rPr>
              <w:t>raining</w:t>
            </w:r>
          </w:p>
        </w:tc>
      </w:tr>
      <w:tr w:rsidR="00F8269C" w14:paraId="4BB09D0C" w14:textId="77777777" w:rsidTr="009D3D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2" w:type="dxa"/>
            <w:vAlign w:val="center"/>
          </w:tcPr>
          <w:p w14:paraId="00000259" w14:textId="77777777" w:rsidR="00F8269C" w:rsidRPr="009D3DA2" w:rsidRDefault="00450D2D" w:rsidP="009D3DA2">
            <w:pPr>
              <w:jc w:val="center"/>
              <w:rPr>
                <w:sz w:val="16"/>
                <w:szCs w:val="16"/>
              </w:rPr>
            </w:pPr>
            <w:r w:rsidRPr="009D3DA2">
              <w:rPr>
                <w:sz w:val="16"/>
                <w:szCs w:val="16"/>
              </w:rPr>
              <w:t>2016</w:t>
            </w:r>
          </w:p>
        </w:tc>
        <w:tc>
          <w:tcPr>
            <w:tcW w:w="1130" w:type="dxa"/>
            <w:tcMar>
              <w:left w:w="28" w:type="dxa"/>
              <w:right w:w="28" w:type="dxa"/>
            </w:tcMar>
            <w:vAlign w:val="center"/>
          </w:tcPr>
          <w:p w14:paraId="0000025A" w14:textId="7342BC79"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9 518</w:t>
            </w:r>
          </w:p>
        </w:tc>
        <w:tc>
          <w:tcPr>
            <w:tcW w:w="1130" w:type="dxa"/>
            <w:tcMar>
              <w:left w:w="28" w:type="dxa"/>
              <w:right w:w="28" w:type="dxa"/>
            </w:tcMar>
            <w:vAlign w:val="center"/>
          </w:tcPr>
          <w:p w14:paraId="0000025B" w14:textId="18F9B6C0"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14 932</w:t>
            </w:r>
          </w:p>
        </w:tc>
        <w:tc>
          <w:tcPr>
            <w:tcW w:w="1131" w:type="dxa"/>
            <w:tcMar>
              <w:left w:w="28" w:type="dxa"/>
              <w:right w:w="28" w:type="dxa"/>
            </w:tcMar>
            <w:vAlign w:val="center"/>
          </w:tcPr>
          <w:p w14:paraId="0000025C" w14:textId="640E6C48"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56 470</w:t>
            </w:r>
          </w:p>
        </w:tc>
        <w:tc>
          <w:tcPr>
            <w:tcW w:w="1130" w:type="dxa"/>
            <w:tcMar>
              <w:left w:w="28" w:type="dxa"/>
              <w:right w:w="28" w:type="dxa"/>
            </w:tcMar>
            <w:vAlign w:val="center"/>
          </w:tcPr>
          <w:p w14:paraId="0000025D" w14:textId="40D5CB1B"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46 043</w:t>
            </w:r>
          </w:p>
        </w:tc>
        <w:tc>
          <w:tcPr>
            <w:tcW w:w="1131" w:type="dxa"/>
            <w:tcMar>
              <w:left w:w="28" w:type="dxa"/>
              <w:right w:w="28" w:type="dxa"/>
            </w:tcMar>
            <w:vAlign w:val="center"/>
          </w:tcPr>
          <w:p w14:paraId="0000025E" w14:textId="2763D612"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73 777</w:t>
            </w:r>
          </w:p>
        </w:tc>
        <w:tc>
          <w:tcPr>
            <w:tcW w:w="1130" w:type="dxa"/>
            <w:tcMar>
              <w:left w:w="28" w:type="dxa"/>
              <w:right w:w="28" w:type="dxa"/>
            </w:tcMar>
            <w:vAlign w:val="center"/>
          </w:tcPr>
          <w:p w14:paraId="0000025F" w14:textId="099FABC9"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82 048</w:t>
            </w:r>
          </w:p>
        </w:tc>
        <w:tc>
          <w:tcPr>
            <w:tcW w:w="1131" w:type="dxa"/>
            <w:tcMar>
              <w:left w:w="28" w:type="dxa"/>
              <w:right w:w="28" w:type="dxa"/>
            </w:tcMar>
            <w:vAlign w:val="center"/>
          </w:tcPr>
          <w:p w14:paraId="00000260" w14:textId="5B6D702D"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58 218</w:t>
            </w:r>
          </w:p>
        </w:tc>
      </w:tr>
      <w:tr w:rsidR="00F8269C" w14:paraId="5185A096" w14:textId="77777777" w:rsidTr="009D3DA2">
        <w:trPr>
          <w:trHeight w:val="300"/>
        </w:trPr>
        <w:tc>
          <w:tcPr>
            <w:cnfStyle w:val="001000000000" w:firstRow="0" w:lastRow="0" w:firstColumn="1" w:lastColumn="0" w:oddVBand="0" w:evenVBand="0" w:oddHBand="0" w:evenHBand="0" w:firstRowFirstColumn="0" w:firstRowLastColumn="0" w:lastRowFirstColumn="0" w:lastRowLastColumn="0"/>
            <w:tcW w:w="1012" w:type="dxa"/>
            <w:vAlign w:val="center"/>
          </w:tcPr>
          <w:p w14:paraId="00000261" w14:textId="77777777" w:rsidR="00F8269C" w:rsidRPr="009D3DA2" w:rsidRDefault="00450D2D" w:rsidP="009D3DA2">
            <w:pPr>
              <w:jc w:val="center"/>
              <w:rPr>
                <w:sz w:val="16"/>
                <w:szCs w:val="16"/>
              </w:rPr>
            </w:pPr>
            <w:r w:rsidRPr="009D3DA2">
              <w:rPr>
                <w:sz w:val="16"/>
                <w:szCs w:val="16"/>
              </w:rPr>
              <w:t>2017</w:t>
            </w:r>
          </w:p>
        </w:tc>
        <w:tc>
          <w:tcPr>
            <w:tcW w:w="1130" w:type="dxa"/>
            <w:tcMar>
              <w:left w:w="28" w:type="dxa"/>
              <w:right w:w="28" w:type="dxa"/>
            </w:tcMar>
            <w:vAlign w:val="center"/>
          </w:tcPr>
          <w:p w14:paraId="00000262" w14:textId="7F75FE90" w:rsidR="00F8269C" w:rsidRPr="009D3DA2" w:rsidRDefault="00450D2D" w:rsidP="009D3DA2">
            <w:pPr>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9 701</w:t>
            </w:r>
          </w:p>
        </w:tc>
        <w:tc>
          <w:tcPr>
            <w:tcW w:w="1130" w:type="dxa"/>
            <w:tcMar>
              <w:left w:w="28" w:type="dxa"/>
              <w:right w:w="28" w:type="dxa"/>
            </w:tcMar>
            <w:vAlign w:val="center"/>
          </w:tcPr>
          <w:p w14:paraId="00000263" w14:textId="4857885B" w:rsidR="00F8269C" w:rsidRPr="009D3DA2" w:rsidRDefault="00450D2D" w:rsidP="009D3DA2">
            <w:pPr>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15 195</w:t>
            </w:r>
          </w:p>
        </w:tc>
        <w:tc>
          <w:tcPr>
            <w:tcW w:w="1131" w:type="dxa"/>
            <w:tcMar>
              <w:left w:w="28" w:type="dxa"/>
              <w:right w:w="28" w:type="dxa"/>
            </w:tcMar>
            <w:vAlign w:val="center"/>
          </w:tcPr>
          <w:p w14:paraId="00000264" w14:textId="46E21705" w:rsidR="00F8269C" w:rsidRPr="009D3DA2" w:rsidRDefault="00450D2D" w:rsidP="009D3DA2">
            <w:pPr>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57 364</w:t>
            </w:r>
          </w:p>
        </w:tc>
        <w:tc>
          <w:tcPr>
            <w:tcW w:w="1130" w:type="dxa"/>
            <w:tcMar>
              <w:left w:w="28" w:type="dxa"/>
              <w:right w:w="28" w:type="dxa"/>
            </w:tcMar>
            <w:vAlign w:val="center"/>
          </w:tcPr>
          <w:p w14:paraId="00000265" w14:textId="2E546DD4" w:rsidR="00F8269C" w:rsidRPr="009D3DA2" w:rsidRDefault="00450D2D" w:rsidP="009D3DA2">
            <w:pPr>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46 477</w:t>
            </w:r>
          </w:p>
        </w:tc>
        <w:tc>
          <w:tcPr>
            <w:tcW w:w="1131" w:type="dxa"/>
            <w:tcMar>
              <w:left w:w="28" w:type="dxa"/>
              <w:right w:w="28" w:type="dxa"/>
            </w:tcMar>
            <w:vAlign w:val="center"/>
          </w:tcPr>
          <w:p w14:paraId="00000266" w14:textId="1D275172" w:rsidR="00F8269C" w:rsidRPr="009D3DA2" w:rsidRDefault="00450D2D" w:rsidP="009D3DA2">
            <w:pPr>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78 384</w:t>
            </w:r>
          </w:p>
        </w:tc>
        <w:tc>
          <w:tcPr>
            <w:tcW w:w="1130" w:type="dxa"/>
            <w:tcMar>
              <w:left w:w="28" w:type="dxa"/>
              <w:right w:w="28" w:type="dxa"/>
            </w:tcMar>
            <w:vAlign w:val="center"/>
          </w:tcPr>
          <w:p w14:paraId="00000267" w14:textId="3D6A1A53" w:rsidR="00F8269C" w:rsidRPr="009D3DA2" w:rsidRDefault="00450D2D" w:rsidP="009D3DA2">
            <w:pPr>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83 439</w:t>
            </w:r>
          </w:p>
        </w:tc>
        <w:tc>
          <w:tcPr>
            <w:tcW w:w="1131" w:type="dxa"/>
            <w:tcMar>
              <w:left w:w="28" w:type="dxa"/>
              <w:right w:w="28" w:type="dxa"/>
            </w:tcMar>
            <w:vAlign w:val="center"/>
          </w:tcPr>
          <w:p w14:paraId="00000268" w14:textId="2665A035" w:rsidR="00F8269C" w:rsidRPr="009D3DA2" w:rsidRDefault="00450D2D" w:rsidP="009D3DA2">
            <w:pPr>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58 130</w:t>
            </w:r>
          </w:p>
        </w:tc>
      </w:tr>
      <w:tr w:rsidR="00F8269C" w14:paraId="0E6E826C" w14:textId="77777777" w:rsidTr="009D3D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2" w:type="dxa"/>
            <w:vAlign w:val="center"/>
          </w:tcPr>
          <w:p w14:paraId="00000269" w14:textId="77777777" w:rsidR="00F8269C" w:rsidRPr="009D3DA2" w:rsidRDefault="00450D2D" w:rsidP="009D3DA2">
            <w:pPr>
              <w:jc w:val="center"/>
              <w:rPr>
                <w:sz w:val="16"/>
                <w:szCs w:val="16"/>
              </w:rPr>
            </w:pPr>
            <w:r w:rsidRPr="009D3DA2">
              <w:rPr>
                <w:sz w:val="16"/>
                <w:szCs w:val="16"/>
              </w:rPr>
              <w:t>2018</w:t>
            </w:r>
          </w:p>
        </w:tc>
        <w:tc>
          <w:tcPr>
            <w:tcW w:w="1130" w:type="dxa"/>
            <w:tcMar>
              <w:left w:w="28" w:type="dxa"/>
              <w:right w:w="28" w:type="dxa"/>
            </w:tcMar>
            <w:vAlign w:val="center"/>
          </w:tcPr>
          <w:p w14:paraId="0000026A" w14:textId="12BC5FA3"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9 906</w:t>
            </w:r>
          </w:p>
        </w:tc>
        <w:tc>
          <w:tcPr>
            <w:tcW w:w="1130" w:type="dxa"/>
            <w:tcMar>
              <w:left w:w="28" w:type="dxa"/>
              <w:right w:w="28" w:type="dxa"/>
            </w:tcMar>
            <w:vAlign w:val="center"/>
          </w:tcPr>
          <w:p w14:paraId="0000026B" w14:textId="2619B032"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15 523</w:t>
            </w:r>
          </w:p>
        </w:tc>
        <w:tc>
          <w:tcPr>
            <w:tcW w:w="1131" w:type="dxa"/>
            <w:tcMar>
              <w:left w:w="28" w:type="dxa"/>
              <w:right w:w="28" w:type="dxa"/>
            </w:tcMar>
            <w:vAlign w:val="center"/>
          </w:tcPr>
          <w:p w14:paraId="0000026C" w14:textId="24494651"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59 584</w:t>
            </w:r>
          </w:p>
        </w:tc>
        <w:tc>
          <w:tcPr>
            <w:tcW w:w="1130" w:type="dxa"/>
            <w:tcMar>
              <w:left w:w="28" w:type="dxa"/>
              <w:right w:w="28" w:type="dxa"/>
            </w:tcMar>
            <w:vAlign w:val="center"/>
          </w:tcPr>
          <w:p w14:paraId="0000026D" w14:textId="77B2AF99"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46 415</w:t>
            </w:r>
          </w:p>
        </w:tc>
        <w:tc>
          <w:tcPr>
            <w:tcW w:w="1131" w:type="dxa"/>
            <w:tcMar>
              <w:left w:w="28" w:type="dxa"/>
              <w:right w:w="28" w:type="dxa"/>
            </w:tcMar>
            <w:vAlign w:val="center"/>
          </w:tcPr>
          <w:p w14:paraId="0000026E" w14:textId="42C4FDB3"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81 738</w:t>
            </w:r>
          </w:p>
        </w:tc>
        <w:tc>
          <w:tcPr>
            <w:tcW w:w="1130" w:type="dxa"/>
            <w:tcMar>
              <w:left w:w="28" w:type="dxa"/>
              <w:right w:w="28" w:type="dxa"/>
            </w:tcMar>
            <w:vAlign w:val="center"/>
          </w:tcPr>
          <w:p w14:paraId="0000026F" w14:textId="7A11DD23"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85 568</w:t>
            </w:r>
          </w:p>
        </w:tc>
        <w:tc>
          <w:tcPr>
            <w:tcW w:w="1131" w:type="dxa"/>
            <w:tcMar>
              <w:left w:w="28" w:type="dxa"/>
              <w:right w:w="28" w:type="dxa"/>
            </w:tcMar>
            <w:vAlign w:val="center"/>
          </w:tcPr>
          <w:p w14:paraId="00000270" w14:textId="102E7FD1"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58 635</w:t>
            </w:r>
          </w:p>
        </w:tc>
      </w:tr>
      <w:tr w:rsidR="00F8269C" w14:paraId="408E1A3D" w14:textId="77777777" w:rsidTr="009D3DA2">
        <w:trPr>
          <w:trHeight w:val="300"/>
        </w:trPr>
        <w:tc>
          <w:tcPr>
            <w:cnfStyle w:val="001000000000" w:firstRow="0" w:lastRow="0" w:firstColumn="1" w:lastColumn="0" w:oddVBand="0" w:evenVBand="0" w:oddHBand="0" w:evenHBand="0" w:firstRowFirstColumn="0" w:firstRowLastColumn="0" w:lastRowFirstColumn="0" w:lastRowLastColumn="0"/>
            <w:tcW w:w="1012" w:type="dxa"/>
            <w:vAlign w:val="center"/>
          </w:tcPr>
          <w:p w14:paraId="00000271" w14:textId="77777777" w:rsidR="00F8269C" w:rsidRPr="009D3DA2" w:rsidRDefault="00450D2D" w:rsidP="009D3DA2">
            <w:pPr>
              <w:jc w:val="center"/>
              <w:rPr>
                <w:sz w:val="16"/>
                <w:szCs w:val="16"/>
              </w:rPr>
            </w:pPr>
            <w:r w:rsidRPr="009D3DA2">
              <w:rPr>
                <w:sz w:val="16"/>
                <w:szCs w:val="16"/>
              </w:rPr>
              <w:t>2019</w:t>
            </w:r>
          </w:p>
        </w:tc>
        <w:tc>
          <w:tcPr>
            <w:tcW w:w="1130" w:type="dxa"/>
            <w:tcMar>
              <w:left w:w="28" w:type="dxa"/>
              <w:right w:w="28" w:type="dxa"/>
            </w:tcMar>
            <w:vAlign w:val="center"/>
          </w:tcPr>
          <w:p w14:paraId="00000272" w14:textId="4AC0F8BD" w:rsidR="00F8269C" w:rsidRPr="009D3DA2" w:rsidRDefault="00450D2D" w:rsidP="009D3DA2">
            <w:pPr>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10 154</w:t>
            </w:r>
          </w:p>
        </w:tc>
        <w:tc>
          <w:tcPr>
            <w:tcW w:w="1130" w:type="dxa"/>
            <w:tcMar>
              <w:left w:w="28" w:type="dxa"/>
              <w:right w:w="28" w:type="dxa"/>
            </w:tcMar>
            <w:vAlign w:val="center"/>
          </w:tcPr>
          <w:p w14:paraId="00000273" w14:textId="46239514" w:rsidR="00F8269C" w:rsidRPr="009D3DA2" w:rsidRDefault="00450D2D" w:rsidP="009D3DA2">
            <w:pPr>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15 881</w:t>
            </w:r>
          </w:p>
        </w:tc>
        <w:tc>
          <w:tcPr>
            <w:tcW w:w="1131" w:type="dxa"/>
            <w:tcMar>
              <w:left w:w="28" w:type="dxa"/>
              <w:right w:w="28" w:type="dxa"/>
            </w:tcMar>
            <w:vAlign w:val="center"/>
          </w:tcPr>
          <w:p w14:paraId="00000274" w14:textId="4A7B60AE" w:rsidR="00F8269C" w:rsidRPr="009D3DA2" w:rsidRDefault="00450D2D" w:rsidP="009D3DA2">
            <w:pPr>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56 034</w:t>
            </w:r>
          </w:p>
        </w:tc>
        <w:tc>
          <w:tcPr>
            <w:tcW w:w="1130" w:type="dxa"/>
            <w:tcMar>
              <w:left w:w="28" w:type="dxa"/>
              <w:right w:w="28" w:type="dxa"/>
            </w:tcMar>
            <w:vAlign w:val="center"/>
          </w:tcPr>
          <w:p w14:paraId="00000275" w14:textId="71B48B28" w:rsidR="00F8269C" w:rsidRPr="009D3DA2" w:rsidRDefault="00450D2D" w:rsidP="009D3DA2">
            <w:pPr>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44 795</w:t>
            </w:r>
          </w:p>
        </w:tc>
        <w:tc>
          <w:tcPr>
            <w:tcW w:w="1131" w:type="dxa"/>
            <w:tcMar>
              <w:left w:w="28" w:type="dxa"/>
              <w:right w:w="28" w:type="dxa"/>
            </w:tcMar>
            <w:vAlign w:val="center"/>
          </w:tcPr>
          <w:p w14:paraId="00000276" w14:textId="083D7165" w:rsidR="00F8269C" w:rsidRPr="009D3DA2" w:rsidRDefault="00450D2D" w:rsidP="009D3DA2">
            <w:pPr>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83 890</w:t>
            </w:r>
          </w:p>
        </w:tc>
        <w:tc>
          <w:tcPr>
            <w:tcW w:w="1130" w:type="dxa"/>
            <w:tcMar>
              <w:left w:w="28" w:type="dxa"/>
              <w:right w:w="28" w:type="dxa"/>
            </w:tcMar>
            <w:vAlign w:val="center"/>
          </w:tcPr>
          <w:p w14:paraId="00000277" w14:textId="3842E9F1" w:rsidR="00F8269C" w:rsidRPr="009D3DA2" w:rsidRDefault="00450D2D" w:rsidP="009D3DA2">
            <w:pPr>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86 614</w:t>
            </w:r>
          </w:p>
        </w:tc>
        <w:tc>
          <w:tcPr>
            <w:tcW w:w="1131" w:type="dxa"/>
            <w:tcMar>
              <w:left w:w="28" w:type="dxa"/>
              <w:right w:w="28" w:type="dxa"/>
            </w:tcMar>
            <w:vAlign w:val="center"/>
          </w:tcPr>
          <w:p w14:paraId="00000278" w14:textId="2A095AE8" w:rsidR="00F8269C" w:rsidRPr="009D3DA2" w:rsidRDefault="00450D2D" w:rsidP="009D3DA2">
            <w:pPr>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58 074</w:t>
            </w:r>
          </w:p>
        </w:tc>
      </w:tr>
      <w:tr w:rsidR="00F8269C" w14:paraId="2691680F" w14:textId="77777777" w:rsidTr="009D3D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2" w:type="dxa"/>
            <w:vAlign w:val="center"/>
          </w:tcPr>
          <w:p w14:paraId="00000279" w14:textId="77777777" w:rsidR="00F8269C" w:rsidRPr="009D3DA2" w:rsidRDefault="00450D2D" w:rsidP="009D3DA2">
            <w:pPr>
              <w:jc w:val="center"/>
              <w:rPr>
                <w:sz w:val="16"/>
                <w:szCs w:val="16"/>
              </w:rPr>
            </w:pPr>
            <w:r w:rsidRPr="009D3DA2">
              <w:rPr>
                <w:sz w:val="16"/>
                <w:szCs w:val="16"/>
              </w:rPr>
              <w:t>2020</w:t>
            </w:r>
          </w:p>
        </w:tc>
        <w:tc>
          <w:tcPr>
            <w:tcW w:w="1130" w:type="dxa"/>
            <w:tcMar>
              <w:left w:w="28" w:type="dxa"/>
              <w:right w:w="28" w:type="dxa"/>
            </w:tcMar>
            <w:vAlign w:val="center"/>
          </w:tcPr>
          <w:p w14:paraId="0000027A" w14:textId="1A201802"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9 934</w:t>
            </w:r>
          </w:p>
        </w:tc>
        <w:tc>
          <w:tcPr>
            <w:tcW w:w="1130" w:type="dxa"/>
            <w:tcMar>
              <w:left w:w="28" w:type="dxa"/>
              <w:right w:w="28" w:type="dxa"/>
            </w:tcMar>
            <w:vAlign w:val="center"/>
          </w:tcPr>
          <w:p w14:paraId="0000027B" w14:textId="7AAFA970"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15 582</w:t>
            </w:r>
          </w:p>
        </w:tc>
        <w:tc>
          <w:tcPr>
            <w:tcW w:w="1131" w:type="dxa"/>
            <w:tcMar>
              <w:left w:w="28" w:type="dxa"/>
              <w:right w:w="28" w:type="dxa"/>
            </w:tcMar>
            <w:vAlign w:val="center"/>
          </w:tcPr>
          <w:p w14:paraId="0000027C" w14:textId="79F16620"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48 888</w:t>
            </w:r>
          </w:p>
        </w:tc>
        <w:tc>
          <w:tcPr>
            <w:tcW w:w="1130" w:type="dxa"/>
            <w:tcMar>
              <w:left w:w="28" w:type="dxa"/>
              <w:right w:w="28" w:type="dxa"/>
            </w:tcMar>
            <w:vAlign w:val="center"/>
          </w:tcPr>
          <w:p w14:paraId="0000027D" w14:textId="25269124"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41 649</w:t>
            </w:r>
          </w:p>
        </w:tc>
        <w:tc>
          <w:tcPr>
            <w:tcW w:w="1131" w:type="dxa"/>
            <w:tcMar>
              <w:left w:w="28" w:type="dxa"/>
              <w:right w:w="28" w:type="dxa"/>
            </w:tcMar>
            <w:vAlign w:val="center"/>
          </w:tcPr>
          <w:p w14:paraId="0000027E" w14:textId="77F21835"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82 429</w:t>
            </w:r>
          </w:p>
        </w:tc>
        <w:tc>
          <w:tcPr>
            <w:tcW w:w="1130" w:type="dxa"/>
            <w:tcMar>
              <w:left w:w="28" w:type="dxa"/>
              <w:right w:w="28" w:type="dxa"/>
            </w:tcMar>
            <w:vAlign w:val="center"/>
          </w:tcPr>
          <w:p w14:paraId="0000027F" w14:textId="5AF145D8" w:rsidR="00F8269C" w:rsidRPr="009D3DA2" w:rsidRDefault="00450D2D" w:rsidP="009D3DA2">
            <w:pPr>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83 340</w:t>
            </w:r>
          </w:p>
        </w:tc>
        <w:tc>
          <w:tcPr>
            <w:tcW w:w="1131" w:type="dxa"/>
            <w:tcMar>
              <w:left w:w="28" w:type="dxa"/>
              <w:right w:w="28" w:type="dxa"/>
            </w:tcMar>
            <w:vAlign w:val="center"/>
          </w:tcPr>
          <w:p w14:paraId="00000280" w14:textId="33D44642" w:rsidR="00F8269C" w:rsidRPr="009D3DA2" w:rsidRDefault="00450D2D" w:rsidP="009D3DA2">
            <w:pPr>
              <w:keepNext/>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37 334</w:t>
            </w:r>
          </w:p>
        </w:tc>
      </w:tr>
    </w:tbl>
    <w:p w14:paraId="00000281" w14:textId="77777777" w:rsidR="00F8269C" w:rsidRDefault="00F8269C"/>
    <w:p w14:paraId="00000282" w14:textId="77777777" w:rsidR="00F8269C" w:rsidRDefault="00450D2D">
      <w:pPr>
        <w:pStyle w:val="Heading2"/>
        <w:numPr>
          <w:ilvl w:val="1"/>
          <w:numId w:val="5"/>
        </w:numPr>
        <w:ind w:left="576"/>
      </w:pPr>
      <w:bookmarkStart w:id="93" w:name="_Toc93842786"/>
      <w:bookmarkStart w:id="94" w:name="_Toc93842972"/>
      <w:bookmarkStart w:id="95" w:name="_Toc93843350"/>
      <w:r>
        <w:t>Multipliers</w:t>
      </w:r>
      <w:bookmarkEnd w:id="93"/>
      <w:bookmarkEnd w:id="94"/>
      <w:bookmarkEnd w:id="95"/>
    </w:p>
    <w:p w14:paraId="00000283" w14:textId="4593479A" w:rsidR="00F8269C" w:rsidRPr="009D3DA2" w:rsidRDefault="00450D2D">
      <w:pPr>
        <w:jc w:val="both"/>
        <w:rPr>
          <w:sz w:val="22"/>
          <w:szCs w:val="22"/>
        </w:rPr>
      </w:pPr>
      <w:r>
        <w:rPr>
          <w:sz w:val="22"/>
          <w:szCs w:val="22"/>
        </w:rPr>
        <w:t xml:space="preserve">A multiplier is a factor that </w:t>
      </w:r>
      <w:sdt>
        <w:sdtPr>
          <w:tag w:val="goog_rdk_46"/>
          <w:id w:val="1722009882"/>
        </w:sdtPr>
        <w:sdtEndPr/>
        <w:sdtContent/>
      </w:sdt>
      <w:r>
        <w:rPr>
          <w:sz w:val="22"/>
          <w:szCs w:val="22"/>
        </w:rPr>
        <w:t>measures how much a</w:t>
      </w:r>
      <w:r w:rsidR="00163C1E">
        <w:rPr>
          <w:sz w:val="22"/>
          <w:szCs w:val="22"/>
        </w:rPr>
        <w:t xml:space="preserve"> monetary inflow</w:t>
      </w:r>
      <w:r>
        <w:rPr>
          <w:sz w:val="22"/>
          <w:szCs w:val="22"/>
        </w:rPr>
        <w:t xml:space="preserve"> that comes from outside a sector (exogenous variables) changes the endogenous variables (inside the sector itself). The affected </w:t>
      </w:r>
      <w:sdt>
        <w:sdtPr>
          <w:tag w:val="goog_rdk_47"/>
          <w:id w:val="-988935215"/>
        </w:sdtPr>
        <w:sdtEndPr/>
        <w:sdtContent/>
      </w:sdt>
      <w:r>
        <w:rPr>
          <w:sz w:val="22"/>
          <w:szCs w:val="22"/>
        </w:rPr>
        <w:t>variable</w:t>
      </w:r>
      <w:r w:rsidR="00163C1E">
        <w:rPr>
          <w:sz w:val="22"/>
          <w:szCs w:val="22"/>
        </w:rPr>
        <w:t>s</w:t>
      </w:r>
      <w:r>
        <w:rPr>
          <w:sz w:val="22"/>
          <w:szCs w:val="22"/>
        </w:rPr>
        <w:t xml:space="preserve"> could include output, GDP, GVA, income, employment, profit, taxes etc. In other words, it is the additional economic benefit that accrues to an area from money being spent (generally referred to as a shock) in the local economy. The size of the multiplier </w:t>
      </w:r>
      <w:r>
        <w:rPr>
          <w:sz w:val="22"/>
          <w:szCs w:val="22"/>
        </w:rPr>
        <w:lastRenderedPageBreak/>
        <w:t>depends on the structure of the economy, including the degree of labour or capital intensity, the source of the raw material or other inputs and the propensity to spend or save</w:t>
      </w:r>
      <w:r>
        <w:t>.</w:t>
      </w:r>
    </w:p>
    <w:p w14:paraId="00000285" w14:textId="77777777" w:rsidR="00F8269C" w:rsidRDefault="00450D2D" w:rsidP="004B7F36">
      <w:pPr>
        <w:jc w:val="both"/>
        <w:rPr>
          <w:sz w:val="22"/>
          <w:szCs w:val="22"/>
        </w:rPr>
      </w:pPr>
      <w:r>
        <w:rPr>
          <w:sz w:val="22"/>
          <w:szCs w:val="22"/>
        </w:rPr>
        <w:t>The Type I output multiplier (or direct and indirect multipliers) for a particular industry is defined as the total of all outputs from each domestic industry required in order to produce one additional unit of output. This gives the direct and indirect (backward and forward linkages), as shown in Table 8.</w:t>
      </w:r>
    </w:p>
    <w:p w14:paraId="00000286" w14:textId="77777777" w:rsidR="00F8269C" w:rsidRDefault="00450D2D">
      <w:pPr>
        <w:keepNext/>
        <w:pBdr>
          <w:top w:val="nil"/>
          <w:left w:val="nil"/>
          <w:bottom w:val="nil"/>
          <w:right w:val="nil"/>
          <w:between w:val="nil"/>
        </w:pBdr>
        <w:spacing w:after="200" w:line="240" w:lineRule="auto"/>
        <w:rPr>
          <w:i/>
          <w:color w:val="44546A"/>
          <w:sz w:val="18"/>
          <w:szCs w:val="18"/>
        </w:rPr>
      </w:pPr>
      <w:r>
        <w:rPr>
          <w:i/>
          <w:color w:val="44546A"/>
          <w:sz w:val="18"/>
          <w:szCs w:val="18"/>
        </w:rPr>
        <w:t>Table 8: CCI Type I output multipliers for 2019</w:t>
      </w:r>
    </w:p>
    <w:tbl>
      <w:tblPr>
        <w:tblStyle w:val="a9"/>
        <w:tblW w:w="901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287"/>
        <w:gridCol w:w="1288"/>
        <w:gridCol w:w="1288"/>
        <w:gridCol w:w="1288"/>
        <w:gridCol w:w="1288"/>
        <w:gridCol w:w="1288"/>
        <w:gridCol w:w="1288"/>
      </w:tblGrid>
      <w:tr w:rsidR="00F8269C" w14:paraId="50F0C38E" w14:textId="77777777" w:rsidTr="009D3DA2">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287" w14:textId="77777777" w:rsidR="00F8269C" w:rsidRPr="009D3DA2" w:rsidRDefault="00450D2D" w:rsidP="009D3DA2">
            <w:pPr>
              <w:spacing w:before="60" w:after="60"/>
              <w:jc w:val="center"/>
              <w:rPr>
                <w:rFonts w:eastAsia="Calibri"/>
                <w:sz w:val="16"/>
                <w:szCs w:val="16"/>
              </w:rPr>
            </w:pPr>
            <w:r w:rsidRPr="009D3DA2">
              <w:rPr>
                <w:rFonts w:eastAsia="Calibri"/>
                <w:sz w:val="16"/>
                <w:szCs w:val="16"/>
              </w:rPr>
              <w:t>Cultural and natural heritage</w:t>
            </w:r>
          </w:p>
        </w:tc>
        <w:tc>
          <w:tcPr>
            <w:tcW w:w="0" w:type="dxa"/>
            <w:vAlign w:val="center"/>
          </w:tcPr>
          <w:p w14:paraId="00000288"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Performance and celebration</w:t>
            </w:r>
          </w:p>
        </w:tc>
        <w:tc>
          <w:tcPr>
            <w:tcW w:w="0" w:type="dxa"/>
            <w:vAlign w:val="center"/>
          </w:tcPr>
          <w:p w14:paraId="00000289"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Visual arts and crafts</w:t>
            </w:r>
          </w:p>
        </w:tc>
        <w:tc>
          <w:tcPr>
            <w:tcW w:w="0" w:type="dxa"/>
            <w:vAlign w:val="center"/>
          </w:tcPr>
          <w:p w14:paraId="0000028A"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Books and press</w:t>
            </w:r>
          </w:p>
        </w:tc>
        <w:tc>
          <w:tcPr>
            <w:tcW w:w="0" w:type="dxa"/>
            <w:vAlign w:val="center"/>
          </w:tcPr>
          <w:p w14:paraId="0000028B"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Audio-visual and interactive media</w:t>
            </w:r>
          </w:p>
        </w:tc>
        <w:tc>
          <w:tcPr>
            <w:tcW w:w="0" w:type="dxa"/>
            <w:vAlign w:val="center"/>
          </w:tcPr>
          <w:p w14:paraId="0000028C"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Design and creative services</w:t>
            </w:r>
          </w:p>
        </w:tc>
        <w:tc>
          <w:tcPr>
            <w:tcW w:w="0" w:type="dxa"/>
            <w:vAlign w:val="center"/>
          </w:tcPr>
          <w:p w14:paraId="0000028D" w14:textId="526A02E3"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Transversal</w:t>
            </w:r>
            <w:r w:rsidR="00CD6602">
              <w:rPr>
                <w:rFonts w:eastAsia="Calibri"/>
                <w:sz w:val="16"/>
                <w:szCs w:val="16"/>
              </w:rPr>
              <w:t xml:space="preserve"> </w:t>
            </w:r>
            <w:r w:rsidR="00946F53">
              <w:rPr>
                <w:rFonts w:eastAsia="Calibri"/>
                <w:sz w:val="16"/>
                <w:szCs w:val="16"/>
              </w:rPr>
              <w:t>d</w:t>
            </w:r>
            <w:r w:rsidR="00CD6602">
              <w:rPr>
                <w:rFonts w:eastAsia="Calibri"/>
                <w:sz w:val="16"/>
                <w:szCs w:val="16"/>
              </w:rPr>
              <w:t xml:space="preserve">omain: </w:t>
            </w:r>
            <w:r w:rsidRPr="009D3DA2">
              <w:rPr>
                <w:rFonts w:eastAsia="Calibri"/>
                <w:sz w:val="16"/>
                <w:szCs w:val="16"/>
              </w:rPr>
              <w:t xml:space="preserve">Education and </w:t>
            </w:r>
            <w:r w:rsidR="00946F53">
              <w:rPr>
                <w:rFonts w:eastAsia="Calibri"/>
                <w:sz w:val="16"/>
                <w:szCs w:val="16"/>
              </w:rPr>
              <w:t>t</w:t>
            </w:r>
            <w:r w:rsidRPr="009D3DA2">
              <w:rPr>
                <w:rFonts w:eastAsia="Calibri"/>
                <w:sz w:val="16"/>
                <w:szCs w:val="16"/>
              </w:rPr>
              <w:t xml:space="preserve">raining </w:t>
            </w:r>
          </w:p>
        </w:tc>
      </w:tr>
      <w:tr w:rsidR="00F8269C" w14:paraId="3F8B0DDB" w14:textId="77777777" w:rsidTr="009D3DA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28E" w14:textId="77777777" w:rsidR="00F8269C" w:rsidRPr="009D3DA2" w:rsidRDefault="00450D2D" w:rsidP="009D3DA2">
            <w:pPr>
              <w:spacing w:before="60" w:after="60"/>
              <w:jc w:val="center"/>
              <w:rPr>
                <w:rFonts w:eastAsia="Arial Narrow"/>
                <w:sz w:val="16"/>
                <w:szCs w:val="16"/>
              </w:rPr>
            </w:pPr>
            <w:r w:rsidRPr="009D3DA2">
              <w:rPr>
                <w:rFonts w:eastAsia="Arial Narrow"/>
                <w:sz w:val="16"/>
                <w:szCs w:val="16"/>
              </w:rPr>
              <w:t>1.850</w:t>
            </w:r>
          </w:p>
        </w:tc>
        <w:tc>
          <w:tcPr>
            <w:tcW w:w="0" w:type="dxa"/>
            <w:vAlign w:val="center"/>
          </w:tcPr>
          <w:p w14:paraId="0000028F"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rFonts w:eastAsia="Arial Narrow"/>
                <w:b/>
                <w:sz w:val="16"/>
                <w:szCs w:val="16"/>
              </w:rPr>
            </w:pPr>
            <w:r w:rsidRPr="009D3DA2">
              <w:rPr>
                <w:rFonts w:eastAsia="Arial Narrow"/>
                <w:b/>
                <w:sz w:val="16"/>
                <w:szCs w:val="16"/>
              </w:rPr>
              <w:t>1.894</w:t>
            </w:r>
          </w:p>
        </w:tc>
        <w:tc>
          <w:tcPr>
            <w:tcW w:w="0" w:type="dxa"/>
            <w:vAlign w:val="center"/>
          </w:tcPr>
          <w:p w14:paraId="00000290"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rFonts w:eastAsia="Arial Narrow"/>
                <w:b/>
                <w:sz w:val="16"/>
                <w:szCs w:val="16"/>
              </w:rPr>
            </w:pPr>
            <w:r w:rsidRPr="009D3DA2">
              <w:rPr>
                <w:rFonts w:eastAsia="Arial Narrow"/>
                <w:b/>
                <w:sz w:val="16"/>
                <w:szCs w:val="16"/>
              </w:rPr>
              <w:t>2.092</w:t>
            </w:r>
          </w:p>
        </w:tc>
        <w:tc>
          <w:tcPr>
            <w:tcW w:w="0" w:type="dxa"/>
            <w:vAlign w:val="center"/>
          </w:tcPr>
          <w:p w14:paraId="00000291"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rFonts w:eastAsia="Arial Narrow"/>
                <w:b/>
                <w:sz w:val="16"/>
                <w:szCs w:val="16"/>
              </w:rPr>
            </w:pPr>
            <w:r w:rsidRPr="009D3DA2">
              <w:rPr>
                <w:rFonts w:eastAsia="Arial Narrow"/>
                <w:b/>
                <w:sz w:val="16"/>
                <w:szCs w:val="16"/>
              </w:rPr>
              <w:t>1.903</w:t>
            </w:r>
          </w:p>
        </w:tc>
        <w:tc>
          <w:tcPr>
            <w:tcW w:w="0" w:type="dxa"/>
            <w:vAlign w:val="center"/>
          </w:tcPr>
          <w:p w14:paraId="00000292"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rFonts w:eastAsia="Arial Narrow"/>
                <w:b/>
                <w:sz w:val="16"/>
                <w:szCs w:val="16"/>
              </w:rPr>
            </w:pPr>
            <w:r w:rsidRPr="009D3DA2">
              <w:rPr>
                <w:rFonts w:eastAsia="Arial Narrow"/>
                <w:b/>
                <w:sz w:val="16"/>
                <w:szCs w:val="16"/>
              </w:rPr>
              <w:t>1.891</w:t>
            </w:r>
          </w:p>
        </w:tc>
        <w:tc>
          <w:tcPr>
            <w:tcW w:w="0" w:type="dxa"/>
            <w:vAlign w:val="center"/>
          </w:tcPr>
          <w:p w14:paraId="00000293"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rFonts w:eastAsia="Arial Narrow"/>
                <w:b/>
                <w:sz w:val="16"/>
                <w:szCs w:val="16"/>
              </w:rPr>
            </w:pPr>
            <w:r w:rsidRPr="009D3DA2">
              <w:rPr>
                <w:rFonts w:eastAsia="Arial Narrow"/>
                <w:b/>
                <w:sz w:val="16"/>
                <w:szCs w:val="16"/>
              </w:rPr>
              <w:t>1.881</w:t>
            </w:r>
          </w:p>
        </w:tc>
        <w:tc>
          <w:tcPr>
            <w:tcW w:w="0" w:type="dxa"/>
            <w:vAlign w:val="center"/>
          </w:tcPr>
          <w:p w14:paraId="00000294"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rFonts w:eastAsia="Arial Narrow"/>
                <w:b/>
                <w:sz w:val="16"/>
                <w:szCs w:val="16"/>
              </w:rPr>
            </w:pPr>
            <w:r w:rsidRPr="009D3DA2">
              <w:rPr>
                <w:rFonts w:eastAsia="Arial Narrow"/>
                <w:b/>
                <w:sz w:val="16"/>
                <w:szCs w:val="16"/>
              </w:rPr>
              <w:t>1.763</w:t>
            </w:r>
          </w:p>
        </w:tc>
      </w:tr>
    </w:tbl>
    <w:p w14:paraId="00000295" w14:textId="77777777" w:rsidR="00F8269C" w:rsidRDefault="00F8269C"/>
    <w:p w14:paraId="00000296" w14:textId="4394FD79" w:rsidR="00F8269C" w:rsidRDefault="00450D2D" w:rsidP="004B7F36">
      <w:pPr>
        <w:jc w:val="both"/>
        <w:rPr>
          <w:sz w:val="22"/>
          <w:szCs w:val="22"/>
        </w:rPr>
      </w:pPr>
      <w:r>
        <w:rPr>
          <w:sz w:val="22"/>
          <w:szCs w:val="22"/>
        </w:rPr>
        <w:t>For example, if foreign tourists come to South Africa and spend an additional R1 million on cultural and natural heritage products and services, the boost given to the economy in direct and indirect output impacts would be equal to R1m multiplied by 1.850 (the multiplier for this sector), which would be equal to R1</w:t>
      </w:r>
      <w:r w:rsidR="00366AAB">
        <w:rPr>
          <w:sz w:val="22"/>
          <w:szCs w:val="22"/>
        </w:rPr>
        <w:t>.</w:t>
      </w:r>
      <w:r>
        <w:rPr>
          <w:sz w:val="22"/>
          <w:szCs w:val="22"/>
        </w:rPr>
        <w:t>85 million (the total impact on the GDP of South Africa as a results of the original R1m increase in spending).</w:t>
      </w:r>
    </w:p>
    <w:p w14:paraId="00000297" w14:textId="61274FA2" w:rsidR="00F8269C" w:rsidRDefault="00450D2D" w:rsidP="004B7F36">
      <w:pPr>
        <w:jc w:val="both"/>
        <w:rPr>
          <w:sz w:val="22"/>
          <w:szCs w:val="22"/>
        </w:rPr>
      </w:pPr>
      <w:r>
        <w:rPr>
          <w:sz w:val="22"/>
          <w:szCs w:val="22"/>
        </w:rPr>
        <w:t xml:space="preserve">However, as the output increases, so do the number of workers required and the profits of the owners. These funds are saved, invested or spent in other sectors. This additional spending is referred to as the “induced impact.” The Type I multipliers plus the induced impact give </w:t>
      </w:r>
      <w:r w:rsidR="0020771B">
        <w:rPr>
          <w:sz w:val="22"/>
          <w:szCs w:val="22"/>
        </w:rPr>
        <w:t>the</w:t>
      </w:r>
      <w:r>
        <w:rPr>
          <w:sz w:val="22"/>
          <w:szCs w:val="22"/>
        </w:rPr>
        <w:t>Type II impact or total impact that can be expected from the additional turnover (Table 9).</w:t>
      </w:r>
    </w:p>
    <w:p w14:paraId="00000298" w14:textId="77777777" w:rsidR="00F8269C" w:rsidRDefault="00450D2D" w:rsidP="00D82349">
      <w:pPr>
        <w:keepNext/>
        <w:pBdr>
          <w:top w:val="nil"/>
          <w:left w:val="nil"/>
          <w:bottom w:val="nil"/>
          <w:right w:val="nil"/>
          <w:between w:val="nil"/>
        </w:pBdr>
        <w:spacing w:after="200" w:line="240" w:lineRule="auto"/>
        <w:rPr>
          <w:i/>
          <w:color w:val="44546A"/>
          <w:sz w:val="18"/>
          <w:szCs w:val="18"/>
        </w:rPr>
      </w:pPr>
      <w:r>
        <w:rPr>
          <w:i/>
          <w:color w:val="44546A"/>
          <w:sz w:val="18"/>
          <w:szCs w:val="18"/>
        </w:rPr>
        <w:t>Table 9: CCI Type II output multipliers for 2019</w:t>
      </w:r>
    </w:p>
    <w:tbl>
      <w:tblPr>
        <w:tblStyle w:val="aa"/>
        <w:tblW w:w="901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287"/>
        <w:gridCol w:w="1288"/>
        <w:gridCol w:w="1288"/>
        <w:gridCol w:w="1288"/>
        <w:gridCol w:w="1288"/>
        <w:gridCol w:w="1288"/>
        <w:gridCol w:w="1288"/>
      </w:tblGrid>
      <w:tr w:rsidR="00F8269C" w14:paraId="549F5A48" w14:textId="77777777" w:rsidTr="009D3DA2">
        <w:trPr>
          <w:cnfStyle w:val="100000000000" w:firstRow="1" w:lastRow="0" w:firstColumn="0" w:lastColumn="0" w:oddVBand="0" w:evenVBand="0" w:oddHBand="0" w:evenHBand="0" w:firstRowFirstColumn="0" w:firstRowLastColumn="0" w:lastRowFirstColumn="0" w:lastRowLastColumn="0"/>
          <w:trHeight w:val="915"/>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299" w14:textId="77777777" w:rsidR="00F8269C" w:rsidRPr="009D3DA2" w:rsidRDefault="00450D2D" w:rsidP="009D3DA2">
            <w:pPr>
              <w:spacing w:before="60" w:after="60"/>
              <w:jc w:val="center"/>
              <w:rPr>
                <w:rFonts w:eastAsia="Calibri"/>
                <w:sz w:val="16"/>
                <w:szCs w:val="16"/>
              </w:rPr>
            </w:pPr>
            <w:r w:rsidRPr="009D3DA2">
              <w:rPr>
                <w:rFonts w:eastAsia="Calibri"/>
                <w:sz w:val="16"/>
                <w:szCs w:val="16"/>
              </w:rPr>
              <w:t>Cultural and natural heritage</w:t>
            </w:r>
          </w:p>
        </w:tc>
        <w:tc>
          <w:tcPr>
            <w:tcW w:w="0" w:type="dxa"/>
            <w:vAlign w:val="center"/>
          </w:tcPr>
          <w:p w14:paraId="0000029A"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Performance and celebration</w:t>
            </w:r>
          </w:p>
        </w:tc>
        <w:tc>
          <w:tcPr>
            <w:tcW w:w="0" w:type="dxa"/>
            <w:vAlign w:val="center"/>
          </w:tcPr>
          <w:p w14:paraId="0000029B"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Visual art and crafts</w:t>
            </w:r>
          </w:p>
        </w:tc>
        <w:tc>
          <w:tcPr>
            <w:tcW w:w="0" w:type="dxa"/>
            <w:vAlign w:val="center"/>
          </w:tcPr>
          <w:p w14:paraId="0000029C"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Books and press</w:t>
            </w:r>
          </w:p>
        </w:tc>
        <w:tc>
          <w:tcPr>
            <w:tcW w:w="0" w:type="dxa"/>
            <w:vAlign w:val="center"/>
          </w:tcPr>
          <w:p w14:paraId="0000029D"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Audio-visual and interactive media</w:t>
            </w:r>
          </w:p>
        </w:tc>
        <w:tc>
          <w:tcPr>
            <w:tcW w:w="0" w:type="dxa"/>
            <w:vAlign w:val="center"/>
          </w:tcPr>
          <w:p w14:paraId="0000029E"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Design and creative services</w:t>
            </w:r>
          </w:p>
        </w:tc>
        <w:tc>
          <w:tcPr>
            <w:tcW w:w="0" w:type="dxa"/>
            <w:vAlign w:val="center"/>
          </w:tcPr>
          <w:p w14:paraId="0000029F" w14:textId="1332DCE8"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 xml:space="preserve">Transversal </w:t>
            </w:r>
            <w:r w:rsidR="00946F53">
              <w:rPr>
                <w:rFonts w:eastAsia="Calibri"/>
                <w:sz w:val="16"/>
                <w:szCs w:val="16"/>
              </w:rPr>
              <w:t>d</w:t>
            </w:r>
            <w:r w:rsidR="00CD6602">
              <w:rPr>
                <w:rFonts w:eastAsia="Calibri"/>
                <w:sz w:val="16"/>
                <w:szCs w:val="16"/>
              </w:rPr>
              <w:t xml:space="preserve">omain: </w:t>
            </w:r>
            <w:r w:rsidRPr="009D3DA2">
              <w:rPr>
                <w:rFonts w:eastAsia="Calibri"/>
                <w:sz w:val="16"/>
                <w:szCs w:val="16"/>
              </w:rPr>
              <w:t xml:space="preserve">Education and </w:t>
            </w:r>
            <w:r w:rsidR="00946F53">
              <w:rPr>
                <w:rFonts w:eastAsia="Calibri"/>
                <w:sz w:val="16"/>
                <w:szCs w:val="16"/>
              </w:rPr>
              <w:t>t</w:t>
            </w:r>
            <w:r w:rsidRPr="009D3DA2">
              <w:rPr>
                <w:rFonts w:eastAsia="Calibri"/>
                <w:sz w:val="16"/>
                <w:szCs w:val="16"/>
              </w:rPr>
              <w:t xml:space="preserve">raining </w:t>
            </w:r>
          </w:p>
        </w:tc>
      </w:tr>
      <w:tr w:rsidR="00F8269C" w14:paraId="00576031" w14:textId="77777777" w:rsidTr="009D3DA2">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0" w:type="dxa"/>
            <w:vAlign w:val="center"/>
          </w:tcPr>
          <w:p w14:paraId="000002A0" w14:textId="77777777" w:rsidR="00F8269C" w:rsidRPr="009D3DA2" w:rsidRDefault="00450D2D" w:rsidP="009D3DA2">
            <w:pPr>
              <w:spacing w:before="60" w:after="60"/>
              <w:jc w:val="center"/>
              <w:rPr>
                <w:rFonts w:eastAsia="Arial Narrow"/>
                <w:sz w:val="16"/>
                <w:szCs w:val="16"/>
              </w:rPr>
            </w:pPr>
            <w:r w:rsidRPr="009D3DA2">
              <w:rPr>
                <w:rFonts w:eastAsia="Arial Narrow"/>
                <w:sz w:val="16"/>
                <w:szCs w:val="16"/>
              </w:rPr>
              <w:t>3.740</w:t>
            </w:r>
          </w:p>
        </w:tc>
        <w:tc>
          <w:tcPr>
            <w:tcW w:w="0" w:type="dxa"/>
            <w:vAlign w:val="center"/>
          </w:tcPr>
          <w:p w14:paraId="000002A1"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rFonts w:eastAsia="Arial Narrow"/>
                <w:b/>
                <w:sz w:val="16"/>
                <w:szCs w:val="16"/>
              </w:rPr>
            </w:pPr>
            <w:r w:rsidRPr="009D3DA2">
              <w:rPr>
                <w:rFonts w:eastAsia="Arial Narrow"/>
                <w:b/>
                <w:sz w:val="16"/>
                <w:szCs w:val="16"/>
              </w:rPr>
              <w:t>3.748</w:t>
            </w:r>
          </w:p>
        </w:tc>
        <w:tc>
          <w:tcPr>
            <w:tcW w:w="0" w:type="dxa"/>
            <w:vAlign w:val="center"/>
          </w:tcPr>
          <w:p w14:paraId="000002A2"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rFonts w:eastAsia="Arial Narrow"/>
                <w:b/>
                <w:sz w:val="16"/>
                <w:szCs w:val="16"/>
              </w:rPr>
            </w:pPr>
            <w:r w:rsidRPr="009D3DA2">
              <w:rPr>
                <w:rFonts w:eastAsia="Arial Narrow"/>
                <w:b/>
                <w:sz w:val="16"/>
                <w:szCs w:val="16"/>
              </w:rPr>
              <w:t>3.700</w:t>
            </w:r>
          </w:p>
        </w:tc>
        <w:tc>
          <w:tcPr>
            <w:tcW w:w="0" w:type="dxa"/>
            <w:vAlign w:val="center"/>
          </w:tcPr>
          <w:p w14:paraId="000002A3"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rFonts w:eastAsia="Arial Narrow"/>
                <w:b/>
                <w:sz w:val="16"/>
                <w:szCs w:val="16"/>
              </w:rPr>
            </w:pPr>
            <w:r w:rsidRPr="009D3DA2">
              <w:rPr>
                <w:rFonts w:eastAsia="Arial Narrow"/>
                <w:b/>
                <w:sz w:val="16"/>
                <w:szCs w:val="16"/>
              </w:rPr>
              <w:t>3.814</w:t>
            </w:r>
          </w:p>
        </w:tc>
        <w:tc>
          <w:tcPr>
            <w:tcW w:w="0" w:type="dxa"/>
            <w:vAlign w:val="center"/>
          </w:tcPr>
          <w:p w14:paraId="000002A4"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rFonts w:eastAsia="Arial Narrow"/>
                <w:b/>
                <w:sz w:val="16"/>
                <w:szCs w:val="16"/>
              </w:rPr>
            </w:pPr>
            <w:r w:rsidRPr="009D3DA2">
              <w:rPr>
                <w:rFonts w:eastAsia="Arial Narrow"/>
                <w:b/>
                <w:sz w:val="16"/>
                <w:szCs w:val="16"/>
              </w:rPr>
              <w:t>4.170</w:t>
            </w:r>
          </w:p>
        </w:tc>
        <w:tc>
          <w:tcPr>
            <w:tcW w:w="0" w:type="dxa"/>
            <w:vAlign w:val="center"/>
          </w:tcPr>
          <w:p w14:paraId="000002A5"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rFonts w:eastAsia="Arial Narrow"/>
                <w:b/>
                <w:sz w:val="16"/>
                <w:szCs w:val="16"/>
              </w:rPr>
            </w:pPr>
            <w:r w:rsidRPr="009D3DA2">
              <w:rPr>
                <w:rFonts w:eastAsia="Arial Narrow"/>
                <w:b/>
                <w:sz w:val="16"/>
                <w:szCs w:val="16"/>
              </w:rPr>
              <w:t>4.353</w:t>
            </w:r>
          </w:p>
        </w:tc>
        <w:tc>
          <w:tcPr>
            <w:tcW w:w="0" w:type="dxa"/>
            <w:vAlign w:val="center"/>
          </w:tcPr>
          <w:p w14:paraId="000002A6"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rFonts w:eastAsia="Arial Narrow"/>
                <w:b/>
                <w:sz w:val="16"/>
                <w:szCs w:val="16"/>
              </w:rPr>
            </w:pPr>
            <w:r w:rsidRPr="009D3DA2">
              <w:rPr>
                <w:rFonts w:eastAsia="Arial Narrow"/>
                <w:b/>
                <w:sz w:val="16"/>
                <w:szCs w:val="16"/>
              </w:rPr>
              <w:t>4.226</w:t>
            </w:r>
          </w:p>
        </w:tc>
      </w:tr>
    </w:tbl>
    <w:p w14:paraId="000002A7" w14:textId="77777777" w:rsidR="00F8269C" w:rsidRDefault="00F8269C"/>
    <w:p w14:paraId="000002A8" w14:textId="305D30AF" w:rsidR="00F8269C" w:rsidRDefault="00450D2D" w:rsidP="004B7F36">
      <w:pPr>
        <w:jc w:val="both"/>
        <w:rPr>
          <w:sz w:val="22"/>
          <w:szCs w:val="22"/>
        </w:rPr>
      </w:pPr>
      <w:r>
        <w:rPr>
          <w:sz w:val="22"/>
          <w:szCs w:val="22"/>
        </w:rPr>
        <w:t xml:space="preserve">Using the same example given above, if foreign </w:t>
      </w:r>
      <w:sdt>
        <w:sdtPr>
          <w:tag w:val="goog_rdk_48"/>
          <w:id w:val="1713610010"/>
        </w:sdtPr>
        <w:sdtEndPr/>
        <w:sdtContent/>
      </w:sdt>
      <w:r>
        <w:rPr>
          <w:sz w:val="22"/>
          <w:szCs w:val="22"/>
        </w:rPr>
        <w:t>tourist</w:t>
      </w:r>
      <w:r w:rsidR="00163C1E">
        <w:rPr>
          <w:sz w:val="22"/>
          <w:szCs w:val="22"/>
        </w:rPr>
        <w:t>s</w:t>
      </w:r>
      <w:r>
        <w:rPr>
          <w:sz w:val="22"/>
          <w:szCs w:val="22"/>
        </w:rPr>
        <w:t xml:space="preserve"> come to South Africa and spend an additional R1 million on Cultural and Natural Heritage domain products and services, the boost given to the economy through the total output impacts (direct, indirect and induced) would equal R3.74 million.</w:t>
      </w:r>
    </w:p>
    <w:p w14:paraId="000002A9" w14:textId="77777777" w:rsidR="00F8269C" w:rsidRDefault="00450D2D" w:rsidP="004B7F36">
      <w:pPr>
        <w:jc w:val="both"/>
        <w:rPr>
          <w:sz w:val="22"/>
          <w:szCs w:val="22"/>
        </w:rPr>
      </w:pPr>
      <w:r>
        <w:rPr>
          <w:sz w:val="22"/>
          <w:szCs w:val="22"/>
        </w:rPr>
        <w:t>The Design and Creative Services domain has the highest multipliers followed by Audio-visual and Interactive Media. Although the Transversal Education and Training domain does have a higher multiplier, the additional turnover is dependent on the growth of the other domains.</w:t>
      </w:r>
    </w:p>
    <w:p w14:paraId="000002AA" w14:textId="77777777" w:rsidR="00F8269C" w:rsidRDefault="00450D2D" w:rsidP="004B7F36">
      <w:pPr>
        <w:jc w:val="both"/>
        <w:rPr>
          <w:sz w:val="22"/>
          <w:szCs w:val="22"/>
        </w:rPr>
      </w:pPr>
      <w:r>
        <w:rPr>
          <w:sz w:val="22"/>
          <w:szCs w:val="22"/>
        </w:rPr>
        <w:t>Multipliers could be improved if leakages, such as the importation of inputs required for the various domains, were reduced, and supplied by South African suppliers.</w:t>
      </w:r>
    </w:p>
    <w:p w14:paraId="000002AB" w14:textId="77777777" w:rsidR="00F8269C" w:rsidRDefault="00450D2D">
      <w:pPr>
        <w:pStyle w:val="Heading2"/>
        <w:numPr>
          <w:ilvl w:val="1"/>
          <w:numId w:val="5"/>
        </w:numPr>
      </w:pPr>
      <w:bookmarkStart w:id="96" w:name="_Toc93842787"/>
      <w:bookmarkStart w:id="97" w:name="_Toc93842973"/>
      <w:bookmarkStart w:id="98" w:name="_Toc93843351"/>
      <w:r>
        <w:t>Factors of Production</w:t>
      </w:r>
      <w:bookmarkEnd w:id="96"/>
      <w:bookmarkEnd w:id="97"/>
      <w:bookmarkEnd w:id="98"/>
    </w:p>
    <w:p w14:paraId="000002AC" w14:textId="77777777" w:rsidR="00F8269C" w:rsidRDefault="00450D2D" w:rsidP="004B7F36">
      <w:pPr>
        <w:jc w:val="both"/>
        <w:rPr>
          <w:sz w:val="22"/>
          <w:szCs w:val="22"/>
        </w:rPr>
      </w:pPr>
      <w:r>
        <w:rPr>
          <w:sz w:val="22"/>
          <w:szCs w:val="22"/>
        </w:rPr>
        <w:t>Factors of production are the resources, or inputs, that are used in the production process together with raw material (or intermediary inputs) to produce output—that is, finished goods and services. This section will examine the capital (including capital stock) and the labour factors of production.</w:t>
      </w:r>
    </w:p>
    <w:p w14:paraId="000002AD" w14:textId="77777777" w:rsidR="00F8269C" w:rsidRDefault="00450D2D">
      <w:pPr>
        <w:pStyle w:val="Heading3"/>
        <w:numPr>
          <w:ilvl w:val="2"/>
          <w:numId w:val="5"/>
        </w:numPr>
      </w:pPr>
      <w:bookmarkStart w:id="99" w:name="_Toc90191868"/>
      <w:bookmarkStart w:id="100" w:name="_Toc93842788"/>
      <w:bookmarkStart w:id="101" w:name="_Toc93842974"/>
      <w:bookmarkStart w:id="102" w:name="_Toc93843352"/>
      <w:r>
        <w:lastRenderedPageBreak/>
        <w:t>Capital Stock</w:t>
      </w:r>
      <w:bookmarkEnd w:id="99"/>
      <w:bookmarkEnd w:id="100"/>
      <w:bookmarkEnd w:id="101"/>
      <w:bookmarkEnd w:id="102"/>
    </w:p>
    <w:p w14:paraId="000002AE" w14:textId="77777777" w:rsidR="00F8269C" w:rsidRDefault="00450D2D" w:rsidP="004D3CE6">
      <w:pPr>
        <w:jc w:val="both"/>
        <w:rPr>
          <w:sz w:val="22"/>
          <w:szCs w:val="22"/>
        </w:rPr>
      </w:pPr>
      <w:r>
        <w:rPr>
          <w:sz w:val="22"/>
          <w:szCs w:val="22"/>
        </w:rPr>
        <w:t>The capital stock is the total value of the physical capital at any particular moment in time but is usually calculated and reported at the end of each year. Each year new capital stock is added but at the same time there is depreciation. The capital stock for the CCIs is based on the 2016 capital stock (SACO 2018) and then adjusted using figures from the CCI SAM and the AFS (capital formation). As with the GDP contributions, investment in capital stock is declining for most domains, with the exception of Audio-visual and Interactive Media (which also had the largest capital stock in 2020 (Table 10).</w:t>
      </w:r>
    </w:p>
    <w:p w14:paraId="000002AF" w14:textId="057447D4" w:rsidR="00F8269C" w:rsidRDefault="00450D2D">
      <w:pPr>
        <w:keepNext/>
        <w:pBdr>
          <w:top w:val="nil"/>
          <w:left w:val="nil"/>
          <w:bottom w:val="nil"/>
          <w:right w:val="nil"/>
          <w:between w:val="nil"/>
        </w:pBdr>
        <w:spacing w:after="200" w:line="240" w:lineRule="auto"/>
        <w:rPr>
          <w:i/>
          <w:color w:val="44546A"/>
          <w:sz w:val="18"/>
          <w:szCs w:val="18"/>
        </w:rPr>
      </w:pPr>
      <w:r>
        <w:rPr>
          <w:i/>
          <w:color w:val="44546A"/>
          <w:sz w:val="18"/>
          <w:szCs w:val="18"/>
        </w:rPr>
        <w:t xml:space="preserve">Table 10: CCI Capital Stock </w:t>
      </w:r>
      <w:r w:rsidR="00FF485D">
        <w:rPr>
          <w:i/>
          <w:color w:val="44546A"/>
          <w:sz w:val="18"/>
          <w:szCs w:val="18"/>
        </w:rPr>
        <w:t>(</w:t>
      </w:r>
      <w:r>
        <w:rPr>
          <w:i/>
          <w:color w:val="44546A"/>
          <w:sz w:val="18"/>
          <w:szCs w:val="18"/>
        </w:rPr>
        <w:t>R million 2015 constant prices)</w:t>
      </w:r>
    </w:p>
    <w:tbl>
      <w:tblPr>
        <w:tblStyle w:val="ab"/>
        <w:tblW w:w="9015" w:type="dxa"/>
        <w:tblInd w:w="-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985"/>
        <w:gridCol w:w="1004"/>
        <w:gridCol w:w="1004"/>
        <w:gridCol w:w="1004"/>
        <w:gridCol w:w="1005"/>
        <w:gridCol w:w="1004"/>
        <w:gridCol w:w="1004"/>
        <w:gridCol w:w="1005"/>
      </w:tblGrid>
      <w:tr w:rsidR="00C21250" w:rsidRPr="00C21250" w14:paraId="3A356E3C" w14:textId="77777777" w:rsidTr="009D3DA2">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85" w:type="dxa"/>
            <w:vAlign w:val="center"/>
          </w:tcPr>
          <w:p w14:paraId="000002B0" w14:textId="77777777" w:rsidR="00F8269C" w:rsidRPr="009D3DA2" w:rsidRDefault="00450D2D" w:rsidP="009D3DA2">
            <w:pPr>
              <w:spacing w:before="60" w:after="60"/>
              <w:rPr>
                <w:rFonts w:eastAsia="Calibri"/>
                <w:sz w:val="16"/>
                <w:szCs w:val="16"/>
              </w:rPr>
            </w:pPr>
            <w:r w:rsidRPr="009D3DA2">
              <w:rPr>
                <w:rFonts w:eastAsia="Calibri"/>
                <w:sz w:val="16"/>
                <w:szCs w:val="16"/>
              </w:rPr>
              <w:t> </w:t>
            </w:r>
          </w:p>
        </w:tc>
        <w:tc>
          <w:tcPr>
            <w:tcW w:w="1004" w:type="dxa"/>
            <w:vAlign w:val="center"/>
          </w:tcPr>
          <w:p w14:paraId="000002B1" w14:textId="77777777" w:rsidR="00F8269C" w:rsidRPr="009D3DA2" w:rsidRDefault="00450D2D" w:rsidP="009D3DA2">
            <w:pPr>
              <w:spacing w:before="60" w:after="60"/>
              <w:jc w:val="right"/>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2014</w:t>
            </w:r>
          </w:p>
        </w:tc>
        <w:tc>
          <w:tcPr>
            <w:tcW w:w="1004" w:type="dxa"/>
            <w:vAlign w:val="center"/>
          </w:tcPr>
          <w:p w14:paraId="000002B2" w14:textId="77777777" w:rsidR="00F8269C" w:rsidRPr="009D3DA2" w:rsidRDefault="00450D2D" w:rsidP="009D3DA2">
            <w:pPr>
              <w:spacing w:before="60" w:after="60"/>
              <w:jc w:val="right"/>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2015</w:t>
            </w:r>
          </w:p>
        </w:tc>
        <w:tc>
          <w:tcPr>
            <w:tcW w:w="1004" w:type="dxa"/>
            <w:vAlign w:val="center"/>
          </w:tcPr>
          <w:p w14:paraId="000002B3" w14:textId="77777777" w:rsidR="00F8269C" w:rsidRPr="009D3DA2" w:rsidRDefault="00450D2D" w:rsidP="009D3DA2">
            <w:pPr>
              <w:spacing w:before="60" w:after="60"/>
              <w:jc w:val="right"/>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2 016</w:t>
            </w:r>
          </w:p>
        </w:tc>
        <w:tc>
          <w:tcPr>
            <w:tcW w:w="1005" w:type="dxa"/>
            <w:vAlign w:val="center"/>
          </w:tcPr>
          <w:p w14:paraId="000002B4" w14:textId="77777777" w:rsidR="00F8269C" w:rsidRPr="009D3DA2" w:rsidRDefault="00450D2D" w:rsidP="009D3DA2">
            <w:pPr>
              <w:spacing w:before="60" w:after="60"/>
              <w:jc w:val="right"/>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2017</w:t>
            </w:r>
          </w:p>
        </w:tc>
        <w:tc>
          <w:tcPr>
            <w:tcW w:w="1004" w:type="dxa"/>
            <w:vAlign w:val="center"/>
          </w:tcPr>
          <w:p w14:paraId="000002B5" w14:textId="77777777" w:rsidR="00F8269C" w:rsidRPr="009D3DA2" w:rsidRDefault="00450D2D" w:rsidP="009D3DA2">
            <w:pPr>
              <w:spacing w:before="60" w:after="60"/>
              <w:jc w:val="right"/>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2018</w:t>
            </w:r>
          </w:p>
        </w:tc>
        <w:tc>
          <w:tcPr>
            <w:tcW w:w="1004" w:type="dxa"/>
            <w:vAlign w:val="center"/>
          </w:tcPr>
          <w:p w14:paraId="000002B6" w14:textId="77777777" w:rsidR="00F8269C" w:rsidRPr="009D3DA2" w:rsidRDefault="00450D2D" w:rsidP="009D3DA2">
            <w:pPr>
              <w:spacing w:before="60" w:after="60"/>
              <w:jc w:val="right"/>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2019</w:t>
            </w:r>
          </w:p>
        </w:tc>
        <w:tc>
          <w:tcPr>
            <w:tcW w:w="1005" w:type="dxa"/>
            <w:vAlign w:val="center"/>
          </w:tcPr>
          <w:p w14:paraId="000002B7" w14:textId="77777777" w:rsidR="00F8269C" w:rsidRPr="009D3DA2" w:rsidRDefault="00450D2D" w:rsidP="009D3DA2">
            <w:pPr>
              <w:spacing w:before="60" w:after="60"/>
              <w:jc w:val="right"/>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2020</w:t>
            </w:r>
          </w:p>
        </w:tc>
      </w:tr>
      <w:tr w:rsidR="00C21250" w:rsidRPr="00C21250" w14:paraId="2ED2CC5D" w14:textId="77777777" w:rsidTr="009D3DA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85" w:type="dxa"/>
            <w:vAlign w:val="center"/>
          </w:tcPr>
          <w:p w14:paraId="000002B8" w14:textId="77777777" w:rsidR="00F8269C" w:rsidRPr="009D3DA2" w:rsidRDefault="00450D2D" w:rsidP="009D3DA2">
            <w:pPr>
              <w:spacing w:before="60" w:after="60"/>
              <w:rPr>
                <w:rFonts w:eastAsia="Calibri"/>
                <w:sz w:val="16"/>
                <w:szCs w:val="16"/>
              </w:rPr>
            </w:pPr>
            <w:r w:rsidRPr="009D3DA2">
              <w:rPr>
                <w:rFonts w:eastAsia="Calibri"/>
                <w:sz w:val="16"/>
                <w:szCs w:val="16"/>
              </w:rPr>
              <w:t xml:space="preserve">A. Cultural &amp; Natural Heritage </w:t>
            </w:r>
          </w:p>
        </w:tc>
        <w:tc>
          <w:tcPr>
            <w:tcW w:w="1004" w:type="dxa"/>
            <w:vAlign w:val="center"/>
          </w:tcPr>
          <w:p w14:paraId="000002B9"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5 362</w:t>
            </w:r>
          </w:p>
        </w:tc>
        <w:tc>
          <w:tcPr>
            <w:tcW w:w="1004" w:type="dxa"/>
            <w:vAlign w:val="center"/>
          </w:tcPr>
          <w:p w14:paraId="000002BA"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5 054</w:t>
            </w:r>
          </w:p>
        </w:tc>
        <w:tc>
          <w:tcPr>
            <w:tcW w:w="1004" w:type="dxa"/>
            <w:vAlign w:val="center"/>
          </w:tcPr>
          <w:p w14:paraId="000002BB"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4 474</w:t>
            </w:r>
          </w:p>
        </w:tc>
        <w:tc>
          <w:tcPr>
            <w:tcW w:w="1005" w:type="dxa"/>
            <w:vAlign w:val="center"/>
          </w:tcPr>
          <w:p w14:paraId="000002BC"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4 162</w:t>
            </w:r>
          </w:p>
        </w:tc>
        <w:tc>
          <w:tcPr>
            <w:tcW w:w="1004" w:type="dxa"/>
            <w:vAlign w:val="center"/>
          </w:tcPr>
          <w:p w14:paraId="000002BD"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3 850</w:t>
            </w:r>
          </w:p>
        </w:tc>
        <w:tc>
          <w:tcPr>
            <w:tcW w:w="1004" w:type="dxa"/>
            <w:vAlign w:val="center"/>
          </w:tcPr>
          <w:p w14:paraId="000002BE"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3 385</w:t>
            </w:r>
          </w:p>
        </w:tc>
        <w:tc>
          <w:tcPr>
            <w:tcW w:w="1005" w:type="dxa"/>
            <w:vAlign w:val="center"/>
          </w:tcPr>
          <w:p w14:paraId="000002BF"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2 919</w:t>
            </w:r>
          </w:p>
        </w:tc>
      </w:tr>
      <w:tr w:rsidR="00C21250" w:rsidRPr="00C21250" w14:paraId="67F6DA15" w14:textId="77777777" w:rsidTr="009D3DA2">
        <w:trPr>
          <w:trHeight w:val="315"/>
        </w:trPr>
        <w:tc>
          <w:tcPr>
            <w:cnfStyle w:val="001000000000" w:firstRow="0" w:lastRow="0" w:firstColumn="1" w:lastColumn="0" w:oddVBand="0" w:evenVBand="0" w:oddHBand="0" w:evenHBand="0" w:firstRowFirstColumn="0" w:firstRowLastColumn="0" w:lastRowFirstColumn="0" w:lastRowLastColumn="0"/>
            <w:tcW w:w="1985" w:type="dxa"/>
            <w:vAlign w:val="center"/>
          </w:tcPr>
          <w:p w14:paraId="000002C0" w14:textId="77777777" w:rsidR="00F8269C" w:rsidRPr="009D3DA2" w:rsidRDefault="00450D2D" w:rsidP="009D3DA2">
            <w:pPr>
              <w:spacing w:before="60" w:after="60"/>
              <w:rPr>
                <w:rFonts w:eastAsia="Calibri"/>
                <w:sz w:val="16"/>
                <w:szCs w:val="16"/>
              </w:rPr>
            </w:pPr>
            <w:r w:rsidRPr="009D3DA2">
              <w:rPr>
                <w:rFonts w:eastAsia="Calibri"/>
                <w:sz w:val="16"/>
                <w:szCs w:val="16"/>
              </w:rPr>
              <w:t xml:space="preserve">B. Performance &amp; Celebration </w:t>
            </w:r>
          </w:p>
        </w:tc>
        <w:tc>
          <w:tcPr>
            <w:tcW w:w="1004" w:type="dxa"/>
            <w:vAlign w:val="center"/>
          </w:tcPr>
          <w:p w14:paraId="000002C1"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11 365</w:t>
            </w:r>
          </w:p>
        </w:tc>
        <w:tc>
          <w:tcPr>
            <w:tcW w:w="1004" w:type="dxa"/>
            <w:vAlign w:val="center"/>
          </w:tcPr>
          <w:p w14:paraId="000002C2"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10 804</w:t>
            </w:r>
          </w:p>
        </w:tc>
        <w:tc>
          <w:tcPr>
            <w:tcW w:w="1004" w:type="dxa"/>
            <w:vAlign w:val="center"/>
          </w:tcPr>
          <w:p w14:paraId="000002C3"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9 716</w:t>
            </w:r>
          </w:p>
        </w:tc>
        <w:tc>
          <w:tcPr>
            <w:tcW w:w="1005" w:type="dxa"/>
            <w:vAlign w:val="center"/>
          </w:tcPr>
          <w:p w14:paraId="000002C4"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9 176</w:t>
            </w:r>
          </w:p>
        </w:tc>
        <w:tc>
          <w:tcPr>
            <w:tcW w:w="1004" w:type="dxa"/>
            <w:vAlign w:val="center"/>
          </w:tcPr>
          <w:p w14:paraId="000002C5"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8 637</w:t>
            </w:r>
          </w:p>
        </w:tc>
        <w:tc>
          <w:tcPr>
            <w:tcW w:w="1004" w:type="dxa"/>
            <w:vAlign w:val="center"/>
          </w:tcPr>
          <w:p w14:paraId="000002C6"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7 858</w:t>
            </w:r>
          </w:p>
        </w:tc>
        <w:tc>
          <w:tcPr>
            <w:tcW w:w="1005" w:type="dxa"/>
            <w:vAlign w:val="center"/>
          </w:tcPr>
          <w:p w14:paraId="000002C7"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7 073</w:t>
            </w:r>
          </w:p>
        </w:tc>
      </w:tr>
      <w:tr w:rsidR="00C21250" w:rsidRPr="00C21250" w14:paraId="041950B8" w14:textId="77777777" w:rsidTr="009D3DA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85" w:type="dxa"/>
            <w:vAlign w:val="center"/>
          </w:tcPr>
          <w:p w14:paraId="000002C8" w14:textId="77777777" w:rsidR="00F8269C" w:rsidRPr="009D3DA2" w:rsidRDefault="00450D2D" w:rsidP="009D3DA2">
            <w:pPr>
              <w:spacing w:before="60" w:after="60"/>
              <w:rPr>
                <w:rFonts w:eastAsia="Calibri"/>
                <w:sz w:val="16"/>
                <w:szCs w:val="16"/>
              </w:rPr>
            </w:pPr>
            <w:r w:rsidRPr="009D3DA2">
              <w:rPr>
                <w:rFonts w:eastAsia="Calibri"/>
                <w:sz w:val="16"/>
                <w:szCs w:val="16"/>
              </w:rPr>
              <w:t xml:space="preserve">C. Visual Arts &amp; Crafts </w:t>
            </w:r>
          </w:p>
        </w:tc>
        <w:tc>
          <w:tcPr>
            <w:tcW w:w="1004" w:type="dxa"/>
            <w:vAlign w:val="center"/>
          </w:tcPr>
          <w:p w14:paraId="000002C9"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21 653</w:t>
            </w:r>
          </w:p>
        </w:tc>
        <w:tc>
          <w:tcPr>
            <w:tcW w:w="1004" w:type="dxa"/>
            <w:vAlign w:val="center"/>
          </w:tcPr>
          <w:p w14:paraId="000002CA"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21 036</w:t>
            </w:r>
          </w:p>
        </w:tc>
        <w:tc>
          <w:tcPr>
            <w:tcW w:w="1004" w:type="dxa"/>
            <w:vAlign w:val="center"/>
          </w:tcPr>
          <w:p w14:paraId="000002CB"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19 502</w:t>
            </w:r>
          </w:p>
        </w:tc>
        <w:tc>
          <w:tcPr>
            <w:tcW w:w="1005" w:type="dxa"/>
            <w:vAlign w:val="center"/>
          </w:tcPr>
          <w:p w14:paraId="000002CC"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19 511</w:t>
            </w:r>
          </w:p>
        </w:tc>
        <w:tc>
          <w:tcPr>
            <w:tcW w:w="1004" w:type="dxa"/>
            <w:vAlign w:val="center"/>
          </w:tcPr>
          <w:p w14:paraId="000002CD"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19 521</w:t>
            </w:r>
          </w:p>
        </w:tc>
        <w:tc>
          <w:tcPr>
            <w:tcW w:w="1004" w:type="dxa"/>
            <w:vAlign w:val="center"/>
          </w:tcPr>
          <w:p w14:paraId="000002CE"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18 317</w:t>
            </w:r>
          </w:p>
        </w:tc>
        <w:tc>
          <w:tcPr>
            <w:tcW w:w="1005" w:type="dxa"/>
            <w:vAlign w:val="center"/>
          </w:tcPr>
          <w:p w14:paraId="000002CF"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16 512</w:t>
            </w:r>
          </w:p>
        </w:tc>
      </w:tr>
      <w:tr w:rsidR="00C21250" w:rsidRPr="00C21250" w14:paraId="5A3A4456" w14:textId="77777777" w:rsidTr="009D3DA2">
        <w:trPr>
          <w:trHeight w:val="315"/>
        </w:trPr>
        <w:tc>
          <w:tcPr>
            <w:cnfStyle w:val="001000000000" w:firstRow="0" w:lastRow="0" w:firstColumn="1" w:lastColumn="0" w:oddVBand="0" w:evenVBand="0" w:oddHBand="0" w:evenHBand="0" w:firstRowFirstColumn="0" w:firstRowLastColumn="0" w:lastRowFirstColumn="0" w:lastRowLastColumn="0"/>
            <w:tcW w:w="1985" w:type="dxa"/>
            <w:vAlign w:val="center"/>
          </w:tcPr>
          <w:p w14:paraId="000002D0" w14:textId="77777777" w:rsidR="00F8269C" w:rsidRPr="009D3DA2" w:rsidRDefault="00450D2D" w:rsidP="009D3DA2">
            <w:pPr>
              <w:spacing w:before="60" w:after="60"/>
              <w:rPr>
                <w:rFonts w:eastAsia="Calibri"/>
                <w:sz w:val="16"/>
                <w:szCs w:val="16"/>
              </w:rPr>
            </w:pPr>
            <w:r w:rsidRPr="009D3DA2">
              <w:rPr>
                <w:rFonts w:eastAsia="Calibri"/>
                <w:sz w:val="16"/>
                <w:szCs w:val="16"/>
              </w:rPr>
              <w:t xml:space="preserve">D. Books &amp; Press </w:t>
            </w:r>
          </w:p>
        </w:tc>
        <w:tc>
          <w:tcPr>
            <w:tcW w:w="1004" w:type="dxa"/>
            <w:vAlign w:val="center"/>
          </w:tcPr>
          <w:p w14:paraId="000002D1"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32 684</w:t>
            </w:r>
          </w:p>
        </w:tc>
        <w:tc>
          <w:tcPr>
            <w:tcW w:w="1004" w:type="dxa"/>
            <w:vAlign w:val="center"/>
          </w:tcPr>
          <w:p w14:paraId="000002D2"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30 785</w:t>
            </w:r>
          </w:p>
        </w:tc>
        <w:tc>
          <w:tcPr>
            <w:tcW w:w="1004" w:type="dxa"/>
            <w:vAlign w:val="center"/>
          </w:tcPr>
          <w:p w14:paraId="000002D3"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27 379</w:t>
            </w:r>
          </w:p>
        </w:tc>
        <w:tc>
          <w:tcPr>
            <w:tcW w:w="1005" w:type="dxa"/>
            <w:vAlign w:val="center"/>
          </w:tcPr>
          <w:p w14:paraId="000002D4"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26 183</w:t>
            </w:r>
          </w:p>
        </w:tc>
        <w:tc>
          <w:tcPr>
            <w:tcW w:w="1004" w:type="dxa"/>
            <w:vAlign w:val="center"/>
          </w:tcPr>
          <w:p w14:paraId="000002D5"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24 988</w:t>
            </w:r>
          </w:p>
        </w:tc>
        <w:tc>
          <w:tcPr>
            <w:tcW w:w="1004" w:type="dxa"/>
            <w:vAlign w:val="center"/>
          </w:tcPr>
          <w:p w14:paraId="000002D6"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23 623</w:t>
            </w:r>
          </w:p>
        </w:tc>
        <w:tc>
          <w:tcPr>
            <w:tcW w:w="1005" w:type="dxa"/>
            <w:vAlign w:val="center"/>
          </w:tcPr>
          <w:p w14:paraId="000002D7"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21 620</w:t>
            </w:r>
          </w:p>
        </w:tc>
      </w:tr>
      <w:tr w:rsidR="00C21250" w:rsidRPr="00C21250" w14:paraId="085C7881" w14:textId="77777777" w:rsidTr="009D3DA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85" w:type="dxa"/>
            <w:vAlign w:val="center"/>
          </w:tcPr>
          <w:p w14:paraId="000002D8" w14:textId="77777777" w:rsidR="00F8269C" w:rsidRPr="009D3DA2" w:rsidRDefault="00450D2D" w:rsidP="009D3DA2">
            <w:pPr>
              <w:spacing w:before="60" w:after="60"/>
              <w:rPr>
                <w:rFonts w:eastAsia="Calibri"/>
                <w:sz w:val="16"/>
                <w:szCs w:val="16"/>
              </w:rPr>
            </w:pPr>
            <w:r w:rsidRPr="009D3DA2">
              <w:rPr>
                <w:rFonts w:eastAsia="Calibri"/>
                <w:sz w:val="16"/>
                <w:szCs w:val="16"/>
              </w:rPr>
              <w:t xml:space="preserve">E. Audio-Visual &amp; Interactive Media </w:t>
            </w:r>
          </w:p>
        </w:tc>
        <w:tc>
          <w:tcPr>
            <w:tcW w:w="1004" w:type="dxa"/>
            <w:vAlign w:val="center"/>
          </w:tcPr>
          <w:p w14:paraId="000002D9"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18 225</w:t>
            </w:r>
          </w:p>
        </w:tc>
        <w:tc>
          <w:tcPr>
            <w:tcW w:w="1004" w:type="dxa"/>
            <w:vAlign w:val="center"/>
          </w:tcPr>
          <w:p w14:paraId="000002DA"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31 225</w:t>
            </w:r>
          </w:p>
        </w:tc>
        <w:tc>
          <w:tcPr>
            <w:tcW w:w="1004" w:type="dxa"/>
            <w:vAlign w:val="center"/>
          </w:tcPr>
          <w:p w14:paraId="000002DB"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42 961</w:t>
            </w:r>
          </w:p>
        </w:tc>
        <w:tc>
          <w:tcPr>
            <w:tcW w:w="1005" w:type="dxa"/>
            <w:vAlign w:val="center"/>
          </w:tcPr>
          <w:p w14:paraId="000002DC"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59 768</w:t>
            </w:r>
          </w:p>
        </w:tc>
        <w:tc>
          <w:tcPr>
            <w:tcW w:w="1004" w:type="dxa"/>
            <w:vAlign w:val="center"/>
          </w:tcPr>
          <w:p w14:paraId="000002DD"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74 315</w:t>
            </w:r>
          </w:p>
        </w:tc>
        <w:tc>
          <w:tcPr>
            <w:tcW w:w="1004" w:type="dxa"/>
            <w:vAlign w:val="center"/>
          </w:tcPr>
          <w:p w14:paraId="000002DE"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88 986</w:t>
            </w:r>
          </w:p>
        </w:tc>
        <w:tc>
          <w:tcPr>
            <w:tcW w:w="1005" w:type="dxa"/>
            <w:vAlign w:val="center"/>
          </w:tcPr>
          <w:p w14:paraId="000002DF"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105 679</w:t>
            </w:r>
          </w:p>
        </w:tc>
      </w:tr>
      <w:tr w:rsidR="00C21250" w:rsidRPr="00C21250" w14:paraId="5E87977F" w14:textId="77777777" w:rsidTr="009D3DA2">
        <w:trPr>
          <w:trHeight w:val="315"/>
        </w:trPr>
        <w:tc>
          <w:tcPr>
            <w:cnfStyle w:val="001000000000" w:firstRow="0" w:lastRow="0" w:firstColumn="1" w:lastColumn="0" w:oddVBand="0" w:evenVBand="0" w:oddHBand="0" w:evenHBand="0" w:firstRowFirstColumn="0" w:firstRowLastColumn="0" w:lastRowFirstColumn="0" w:lastRowLastColumn="0"/>
            <w:tcW w:w="1985" w:type="dxa"/>
            <w:vAlign w:val="center"/>
          </w:tcPr>
          <w:p w14:paraId="000002E0" w14:textId="77777777" w:rsidR="00F8269C" w:rsidRPr="009D3DA2" w:rsidRDefault="00450D2D" w:rsidP="009D3DA2">
            <w:pPr>
              <w:spacing w:before="60" w:after="60"/>
              <w:rPr>
                <w:rFonts w:eastAsia="Calibri"/>
                <w:sz w:val="16"/>
                <w:szCs w:val="16"/>
              </w:rPr>
            </w:pPr>
            <w:r w:rsidRPr="009D3DA2">
              <w:rPr>
                <w:rFonts w:eastAsia="Calibri"/>
                <w:sz w:val="16"/>
                <w:szCs w:val="16"/>
              </w:rPr>
              <w:t xml:space="preserve">F. Design &amp; Creative Services </w:t>
            </w:r>
          </w:p>
        </w:tc>
        <w:tc>
          <w:tcPr>
            <w:tcW w:w="1004" w:type="dxa"/>
            <w:vAlign w:val="center"/>
          </w:tcPr>
          <w:p w14:paraId="000002E1"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105 725</w:t>
            </w:r>
          </w:p>
        </w:tc>
        <w:tc>
          <w:tcPr>
            <w:tcW w:w="1004" w:type="dxa"/>
            <w:vAlign w:val="center"/>
          </w:tcPr>
          <w:p w14:paraId="000002E2"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105 121</w:t>
            </w:r>
          </w:p>
        </w:tc>
        <w:tc>
          <w:tcPr>
            <w:tcW w:w="1004" w:type="dxa"/>
            <w:vAlign w:val="center"/>
          </w:tcPr>
          <w:p w14:paraId="000002E3"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99 152</w:t>
            </w:r>
          </w:p>
        </w:tc>
        <w:tc>
          <w:tcPr>
            <w:tcW w:w="1005" w:type="dxa"/>
            <w:vAlign w:val="center"/>
          </w:tcPr>
          <w:p w14:paraId="000002E4"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98 382</w:t>
            </w:r>
          </w:p>
        </w:tc>
        <w:tc>
          <w:tcPr>
            <w:tcW w:w="1004" w:type="dxa"/>
            <w:vAlign w:val="center"/>
          </w:tcPr>
          <w:p w14:paraId="000002E5"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97 613</w:t>
            </w:r>
          </w:p>
        </w:tc>
        <w:tc>
          <w:tcPr>
            <w:tcW w:w="1004" w:type="dxa"/>
            <w:vAlign w:val="center"/>
          </w:tcPr>
          <w:p w14:paraId="000002E6"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97 161</w:t>
            </w:r>
          </w:p>
        </w:tc>
        <w:tc>
          <w:tcPr>
            <w:tcW w:w="1005" w:type="dxa"/>
            <w:vAlign w:val="center"/>
          </w:tcPr>
          <w:p w14:paraId="000002E7"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96 862</w:t>
            </w:r>
          </w:p>
        </w:tc>
      </w:tr>
      <w:tr w:rsidR="00C21250" w:rsidRPr="00C21250" w14:paraId="12CBCA8A" w14:textId="77777777" w:rsidTr="009D3DA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85" w:type="dxa"/>
            <w:vAlign w:val="center"/>
          </w:tcPr>
          <w:p w14:paraId="000002E8" w14:textId="403F4726" w:rsidR="00F8269C" w:rsidRPr="009D3DA2" w:rsidRDefault="00450D2D" w:rsidP="009D3DA2">
            <w:pPr>
              <w:spacing w:before="60" w:after="60"/>
              <w:rPr>
                <w:rFonts w:eastAsia="Calibri"/>
                <w:sz w:val="16"/>
                <w:szCs w:val="16"/>
              </w:rPr>
            </w:pPr>
            <w:r w:rsidRPr="009D3DA2">
              <w:rPr>
                <w:rFonts w:eastAsia="Calibri"/>
                <w:sz w:val="16"/>
                <w:szCs w:val="16"/>
              </w:rPr>
              <w:t xml:space="preserve">Transversal </w:t>
            </w:r>
            <w:r w:rsidR="00CD6602">
              <w:rPr>
                <w:rFonts w:eastAsia="Calibri"/>
                <w:sz w:val="16"/>
                <w:szCs w:val="16"/>
              </w:rPr>
              <w:t>Domain:</w:t>
            </w:r>
            <w:r w:rsidRPr="009D3DA2">
              <w:rPr>
                <w:rFonts w:eastAsia="Calibri"/>
                <w:sz w:val="16"/>
                <w:szCs w:val="16"/>
              </w:rPr>
              <w:t xml:space="preserve"> Education </w:t>
            </w:r>
            <w:r w:rsidR="00CD6602">
              <w:rPr>
                <w:rFonts w:eastAsia="Calibri"/>
                <w:sz w:val="16"/>
                <w:szCs w:val="16"/>
              </w:rPr>
              <w:t>and Training</w:t>
            </w:r>
            <w:r w:rsidRPr="009D3DA2">
              <w:rPr>
                <w:rFonts w:eastAsia="Calibri"/>
                <w:sz w:val="16"/>
                <w:szCs w:val="16"/>
              </w:rPr>
              <w:t xml:space="preserve"> </w:t>
            </w:r>
          </w:p>
        </w:tc>
        <w:tc>
          <w:tcPr>
            <w:tcW w:w="1004" w:type="dxa"/>
            <w:vAlign w:val="center"/>
          </w:tcPr>
          <w:p w14:paraId="000002E9"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31 849</w:t>
            </w:r>
          </w:p>
        </w:tc>
        <w:tc>
          <w:tcPr>
            <w:tcW w:w="1004" w:type="dxa"/>
            <w:vAlign w:val="center"/>
          </w:tcPr>
          <w:p w14:paraId="000002EA"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30 190</w:t>
            </w:r>
          </w:p>
        </w:tc>
        <w:tc>
          <w:tcPr>
            <w:tcW w:w="1004" w:type="dxa"/>
            <w:vAlign w:val="center"/>
          </w:tcPr>
          <w:p w14:paraId="000002EB"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26 363</w:t>
            </w:r>
          </w:p>
        </w:tc>
        <w:tc>
          <w:tcPr>
            <w:tcW w:w="1005" w:type="dxa"/>
            <w:vAlign w:val="center"/>
          </w:tcPr>
          <w:p w14:paraId="000002EC"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24 329</w:t>
            </w:r>
          </w:p>
        </w:tc>
        <w:tc>
          <w:tcPr>
            <w:tcW w:w="1004" w:type="dxa"/>
            <w:vAlign w:val="center"/>
          </w:tcPr>
          <w:p w14:paraId="000002ED"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22 295</w:t>
            </w:r>
          </w:p>
        </w:tc>
        <w:tc>
          <w:tcPr>
            <w:tcW w:w="1004" w:type="dxa"/>
            <w:vAlign w:val="center"/>
          </w:tcPr>
          <w:p w14:paraId="000002EE"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19 307</w:t>
            </w:r>
          </w:p>
        </w:tc>
        <w:tc>
          <w:tcPr>
            <w:tcW w:w="1005" w:type="dxa"/>
            <w:vAlign w:val="center"/>
          </w:tcPr>
          <w:p w14:paraId="000002EF"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15 796</w:t>
            </w:r>
          </w:p>
        </w:tc>
      </w:tr>
      <w:tr w:rsidR="00C21250" w:rsidRPr="00C21250" w14:paraId="2F25DD16" w14:textId="77777777" w:rsidTr="009D3DA2">
        <w:trPr>
          <w:trHeight w:val="315"/>
        </w:trPr>
        <w:tc>
          <w:tcPr>
            <w:cnfStyle w:val="001000000000" w:firstRow="0" w:lastRow="0" w:firstColumn="1" w:lastColumn="0" w:oddVBand="0" w:evenVBand="0" w:oddHBand="0" w:evenHBand="0" w:firstRowFirstColumn="0" w:firstRowLastColumn="0" w:lastRowFirstColumn="0" w:lastRowLastColumn="0"/>
            <w:tcW w:w="1985" w:type="dxa"/>
            <w:vAlign w:val="center"/>
          </w:tcPr>
          <w:p w14:paraId="000002F0" w14:textId="77777777" w:rsidR="00F8269C" w:rsidRPr="009D3DA2" w:rsidRDefault="00450D2D" w:rsidP="009D3DA2">
            <w:pPr>
              <w:spacing w:before="60" w:after="60"/>
              <w:rPr>
                <w:rFonts w:eastAsia="Calibri"/>
                <w:sz w:val="16"/>
                <w:szCs w:val="16"/>
              </w:rPr>
            </w:pPr>
            <w:r w:rsidRPr="009D3DA2">
              <w:rPr>
                <w:rFonts w:eastAsia="Calibri"/>
                <w:sz w:val="16"/>
                <w:szCs w:val="16"/>
              </w:rPr>
              <w:t xml:space="preserve">Total </w:t>
            </w:r>
          </w:p>
        </w:tc>
        <w:tc>
          <w:tcPr>
            <w:tcW w:w="1004" w:type="dxa"/>
            <w:vAlign w:val="center"/>
          </w:tcPr>
          <w:p w14:paraId="000002F1"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226 861</w:t>
            </w:r>
          </w:p>
        </w:tc>
        <w:tc>
          <w:tcPr>
            <w:tcW w:w="1004" w:type="dxa"/>
            <w:vAlign w:val="center"/>
          </w:tcPr>
          <w:p w14:paraId="000002F2"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234 215</w:t>
            </w:r>
          </w:p>
        </w:tc>
        <w:tc>
          <w:tcPr>
            <w:tcW w:w="1004" w:type="dxa"/>
            <w:vAlign w:val="center"/>
          </w:tcPr>
          <w:p w14:paraId="000002F3"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241 626</w:t>
            </w:r>
          </w:p>
        </w:tc>
        <w:tc>
          <w:tcPr>
            <w:tcW w:w="1005" w:type="dxa"/>
            <w:vAlign w:val="center"/>
          </w:tcPr>
          <w:p w14:paraId="000002F4"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241 512</w:t>
            </w:r>
          </w:p>
        </w:tc>
        <w:tc>
          <w:tcPr>
            <w:tcW w:w="1004" w:type="dxa"/>
            <w:vAlign w:val="center"/>
          </w:tcPr>
          <w:p w14:paraId="000002F5"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251 218</w:t>
            </w:r>
          </w:p>
        </w:tc>
        <w:tc>
          <w:tcPr>
            <w:tcW w:w="1004" w:type="dxa"/>
            <w:vAlign w:val="center"/>
          </w:tcPr>
          <w:p w14:paraId="000002F6"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258 638</w:t>
            </w:r>
          </w:p>
        </w:tc>
        <w:tc>
          <w:tcPr>
            <w:tcW w:w="1005" w:type="dxa"/>
            <w:vAlign w:val="center"/>
          </w:tcPr>
          <w:p w14:paraId="000002F7"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R 266 461</w:t>
            </w:r>
          </w:p>
        </w:tc>
      </w:tr>
    </w:tbl>
    <w:p w14:paraId="000002F8" w14:textId="77777777" w:rsidR="00F8269C" w:rsidRPr="009D3DA2" w:rsidRDefault="00F8269C">
      <w:pPr>
        <w:rPr>
          <w:sz w:val="16"/>
          <w:szCs w:val="16"/>
        </w:rPr>
      </w:pPr>
    </w:p>
    <w:p w14:paraId="000002F9" w14:textId="77777777" w:rsidR="00F8269C" w:rsidRDefault="00450D2D">
      <w:pPr>
        <w:pStyle w:val="Heading3"/>
        <w:numPr>
          <w:ilvl w:val="2"/>
          <w:numId w:val="5"/>
        </w:numPr>
      </w:pPr>
      <w:bookmarkStart w:id="103" w:name="_Toc90191869"/>
      <w:bookmarkStart w:id="104" w:name="_Toc93842789"/>
      <w:bookmarkStart w:id="105" w:name="_Toc93842975"/>
      <w:bookmarkStart w:id="106" w:name="_Toc93843353"/>
      <w:r>
        <w:t>Capital Formation</w:t>
      </w:r>
      <w:bookmarkEnd w:id="103"/>
      <w:bookmarkEnd w:id="104"/>
      <w:bookmarkEnd w:id="105"/>
      <w:bookmarkEnd w:id="106"/>
    </w:p>
    <w:p w14:paraId="000002FA" w14:textId="776E5220" w:rsidR="00F8269C" w:rsidRDefault="00450D2D">
      <w:pPr>
        <w:jc w:val="both"/>
        <w:rPr>
          <w:sz w:val="22"/>
          <w:szCs w:val="22"/>
        </w:rPr>
      </w:pPr>
      <w:r>
        <w:rPr>
          <w:sz w:val="22"/>
          <w:szCs w:val="22"/>
        </w:rPr>
        <w:t>Table 11 shows the gross fixed capital formation for 2020. Buildings and construction works cannot be derived from the SAM. Nevertheless, as would be expected the audio-visual and interactive media domain invested in computers</w:t>
      </w:r>
      <w:r w:rsidR="00812A2B">
        <w:rPr>
          <w:sz w:val="22"/>
          <w:szCs w:val="22"/>
        </w:rPr>
        <w:t xml:space="preserve"> and </w:t>
      </w:r>
      <w:r>
        <w:rPr>
          <w:sz w:val="22"/>
          <w:szCs w:val="22"/>
        </w:rPr>
        <w:t>related equipment as well as computer software. They also invested in R&amp;D and transfer costs.</w:t>
      </w:r>
    </w:p>
    <w:p w14:paraId="000002FB" w14:textId="77777777" w:rsidR="00F8269C" w:rsidRDefault="00450D2D">
      <w:pPr>
        <w:keepNext/>
        <w:pBdr>
          <w:top w:val="nil"/>
          <w:left w:val="nil"/>
          <w:bottom w:val="nil"/>
          <w:right w:val="nil"/>
          <w:between w:val="nil"/>
        </w:pBdr>
        <w:spacing w:after="200" w:line="240" w:lineRule="auto"/>
        <w:rPr>
          <w:i/>
          <w:color w:val="44546A"/>
          <w:sz w:val="18"/>
          <w:szCs w:val="18"/>
        </w:rPr>
      </w:pPr>
      <w:r>
        <w:rPr>
          <w:i/>
          <w:color w:val="44546A"/>
          <w:sz w:val="18"/>
          <w:szCs w:val="18"/>
        </w:rPr>
        <w:t>Table 11: Gross fixed capital formation (GFCF) 2020 (R million 2015 constant prices)</w:t>
      </w:r>
    </w:p>
    <w:tbl>
      <w:tblPr>
        <w:tblStyle w:val="ac"/>
        <w:tblW w:w="9015" w:type="dxa"/>
        <w:tblInd w:w="-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985"/>
        <w:gridCol w:w="1406"/>
        <w:gridCol w:w="1406"/>
        <w:gridCol w:w="1406"/>
        <w:gridCol w:w="1406"/>
        <w:gridCol w:w="1406"/>
      </w:tblGrid>
      <w:tr w:rsidR="00F8269C" w14:paraId="2ECDF12F" w14:textId="77777777" w:rsidTr="009D3D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000002FC" w14:textId="77777777" w:rsidR="00F8269C" w:rsidRPr="009D3DA2" w:rsidRDefault="00F8269C" w:rsidP="009D3DA2">
            <w:pPr>
              <w:spacing w:before="60" w:after="60"/>
              <w:rPr>
                <w:rFonts w:eastAsia="Times New Roman"/>
                <w:color w:val="FF0000"/>
                <w:sz w:val="16"/>
                <w:szCs w:val="16"/>
              </w:rPr>
            </w:pPr>
          </w:p>
        </w:tc>
        <w:tc>
          <w:tcPr>
            <w:tcW w:w="1406" w:type="dxa"/>
          </w:tcPr>
          <w:p w14:paraId="000002FD"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Transport equipment</w:t>
            </w:r>
          </w:p>
        </w:tc>
        <w:tc>
          <w:tcPr>
            <w:tcW w:w="1406" w:type="dxa"/>
          </w:tcPr>
          <w:p w14:paraId="000002FE"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Machinery and other equipment</w:t>
            </w:r>
          </w:p>
        </w:tc>
        <w:tc>
          <w:tcPr>
            <w:tcW w:w="1406" w:type="dxa"/>
          </w:tcPr>
          <w:p w14:paraId="000002FF"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Computers, related equipment Computer Software</w:t>
            </w:r>
          </w:p>
        </w:tc>
        <w:tc>
          <w:tcPr>
            <w:tcW w:w="1406" w:type="dxa"/>
          </w:tcPr>
          <w:p w14:paraId="00000300"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Research and development, and Transfer costs</w:t>
            </w:r>
          </w:p>
        </w:tc>
        <w:tc>
          <w:tcPr>
            <w:tcW w:w="1406" w:type="dxa"/>
          </w:tcPr>
          <w:p w14:paraId="00000301"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6"/>
                <w:szCs w:val="16"/>
              </w:rPr>
            </w:pPr>
            <w:r w:rsidRPr="009D3DA2">
              <w:rPr>
                <w:rFonts w:eastAsia="Calibri"/>
                <w:sz w:val="16"/>
                <w:szCs w:val="16"/>
              </w:rPr>
              <w:t>Change in inventories</w:t>
            </w:r>
            <w:r w:rsidRPr="009D3DA2">
              <w:rPr>
                <w:rFonts w:eastAsia="Calibri"/>
                <w:sz w:val="16"/>
                <w:szCs w:val="16"/>
                <w:vertAlign w:val="superscript"/>
              </w:rPr>
              <w:footnoteReference w:id="9"/>
            </w:r>
          </w:p>
        </w:tc>
      </w:tr>
      <w:tr w:rsidR="00F8269C" w14:paraId="2DAA7297" w14:textId="77777777" w:rsidTr="009D3DA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985" w:type="dxa"/>
          </w:tcPr>
          <w:p w14:paraId="00000302" w14:textId="77777777" w:rsidR="00F8269C" w:rsidRPr="00BC65D2" w:rsidRDefault="00450D2D" w:rsidP="009D3DA2">
            <w:pPr>
              <w:spacing w:before="60" w:after="60"/>
              <w:rPr>
                <w:rFonts w:ascii="Calibri" w:eastAsia="Calibri" w:hAnsi="Calibri" w:cs="Calibri"/>
                <w:sz w:val="18"/>
                <w:szCs w:val="18"/>
              </w:rPr>
            </w:pPr>
            <w:r w:rsidRPr="00BC65D2">
              <w:rPr>
                <w:rFonts w:ascii="Calibri" w:eastAsia="Calibri" w:hAnsi="Calibri" w:cs="Calibri"/>
                <w:sz w:val="18"/>
                <w:szCs w:val="18"/>
              </w:rPr>
              <w:t>A: Cultural and natural heritage</w:t>
            </w:r>
          </w:p>
        </w:tc>
        <w:tc>
          <w:tcPr>
            <w:tcW w:w="1406" w:type="dxa"/>
            <w:tcMar>
              <w:right w:w="567" w:type="dxa"/>
            </w:tcMar>
            <w:vAlign w:val="center"/>
          </w:tcPr>
          <w:p w14:paraId="00000303"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13</w:t>
            </w:r>
          </w:p>
        </w:tc>
        <w:tc>
          <w:tcPr>
            <w:tcW w:w="1406" w:type="dxa"/>
            <w:tcMar>
              <w:right w:w="567" w:type="dxa"/>
            </w:tcMar>
            <w:vAlign w:val="center"/>
          </w:tcPr>
          <w:p w14:paraId="00000304"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38</w:t>
            </w:r>
          </w:p>
        </w:tc>
        <w:tc>
          <w:tcPr>
            <w:tcW w:w="1406" w:type="dxa"/>
            <w:tcMar>
              <w:right w:w="567" w:type="dxa"/>
            </w:tcMar>
            <w:vAlign w:val="center"/>
          </w:tcPr>
          <w:p w14:paraId="00000305"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4</w:t>
            </w:r>
          </w:p>
        </w:tc>
        <w:tc>
          <w:tcPr>
            <w:tcW w:w="1406" w:type="dxa"/>
            <w:tcMar>
              <w:right w:w="567" w:type="dxa"/>
            </w:tcMar>
            <w:vAlign w:val="center"/>
          </w:tcPr>
          <w:p w14:paraId="00000306"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4</w:t>
            </w:r>
          </w:p>
        </w:tc>
        <w:tc>
          <w:tcPr>
            <w:tcW w:w="1406" w:type="dxa"/>
            <w:tcMar>
              <w:right w:w="567" w:type="dxa"/>
            </w:tcMar>
            <w:vAlign w:val="center"/>
          </w:tcPr>
          <w:p w14:paraId="00000307"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-1</w:t>
            </w:r>
          </w:p>
        </w:tc>
      </w:tr>
      <w:tr w:rsidR="00F8269C" w14:paraId="7EFACE83" w14:textId="77777777" w:rsidTr="009D3DA2">
        <w:trPr>
          <w:trHeight w:val="318"/>
        </w:trPr>
        <w:tc>
          <w:tcPr>
            <w:cnfStyle w:val="001000000000" w:firstRow="0" w:lastRow="0" w:firstColumn="1" w:lastColumn="0" w:oddVBand="0" w:evenVBand="0" w:oddHBand="0" w:evenHBand="0" w:firstRowFirstColumn="0" w:firstRowLastColumn="0" w:lastRowFirstColumn="0" w:lastRowLastColumn="0"/>
            <w:tcW w:w="1985" w:type="dxa"/>
          </w:tcPr>
          <w:p w14:paraId="00000308" w14:textId="77777777" w:rsidR="00F8269C" w:rsidRPr="009D3DA2" w:rsidRDefault="00450D2D" w:rsidP="009D3DA2">
            <w:pPr>
              <w:spacing w:before="60" w:after="60"/>
              <w:rPr>
                <w:rFonts w:eastAsia="Calibri"/>
                <w:sz w:val="16"/>
                <w:szCs w:val="16"/>
              </w:rPr>
            </w:pPr>
            <w:r w:rsidRPr="009D3DA2">
              <w:rPr>
                <w:rFonts w:eastAsia="Calibri"/>
                <w:sz w:val="16"/>
                <w:szCs w:val="16"/>
              </w:rPr>
              <w:t>B: Performance and celebration</w:t>
            </w:r>
          </w:p>
        </w:tc>
        <w:tc>
          <w:tcPr>
            <w:tcW w:w="1406" w:type="dxa"/>
            <w:tcMar>
              <w:right w:w="567" w:type="dxa"/>
            </w:tcMar>
            <w:vAlign w:val="center"/>
          </w:tcPr>
          <w:p w14:paraId="00000309"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0</w:t>
            </w:r>
          </w:p>
        </w:tc>
        <w:tc>
          <w:tcPr>
            <w:tcW w:w="1406" w:type="dxa"/>
            <w:tcMar>
              <w:right w:w="567" w:type="dxa"/>
            </w:tcMar>
            <w:vAlign w:val="center"/>
          </w:tcPr>
          <w:p w14:paraId="0000030A"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5</w:t>
            </w:r>
          </w:p>
        </w:tc>
        <w:tc>
          <w:tcPr>
            <w:tcW w:w="1406" w:type="dxa"/>
            <w:tcMar>
              <w:right w:w="567" w:type="dxa"/>
            </w:tcMar>
            <w:vAlign w:val="center"/>
          </w:tcPr>
          <w:p w14:paraId="0000030B"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5</w:t>
            </w:r>
          </w:p>
        </w:tc>
        <w:tc>
          <w:tcPr>
            <w:tcW w:w="1406" w:type="dxa"/>
            <w:tcMar>
              <w:right w:w="567" w:type="dxa"/>
            </w:tcMar>
            <w:vAlign w:val="center"/>
          </w:tcPr>
          <w:p w14:paraId="0000030C"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6</w:t>
            </w:r>
          </w:p>
        </w:tc>
        <w:tc>
          <w:tcPr>
            <w:tcW w:w="1406" w:type="dxa"/>
            <w:tcMar>
              <w:right w:w="567" w:type="dxa"/>
            </w:tcMar>
            <w:vAlign w:val="center"/>
          </w:tcPr>
          <w:p w14:paraId="0000030D"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0</w:t>
            </w:r>
          </w:p>
        </w:tc>
      </w:tr>
      <w:tr w:rsidR="00F8269C" w14:paraId="76D1789D" w14:textId="77777777" w:rsidTr="009D3DA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985" w:type="dxa"/>
          </w:tcPr>
          <w:p w14:paraId="0000030E" w14:textId="77777777" w:rsidR="00F8269C" w:rsidRPr="009D3DA2" w:rsidRDefault="00450D2D" w:rsidP="009D3DA2">
            <w:pPr>
              <w:spacing w:before="60" w:after="60"/>
              <w:rPr>
                <w:rFonts w:eastAsia="Calibri"/>
                <w:sz w:val="16"/>
                <w:szCs w:val="16"/>
              </w:rPr>
            </w:pPr>
            <w:r w:rsidRPr="009D3DA2">
              <w:rPr>
                <w:rFonts w:eastAsia="Calibri"/>
                <w:sz w:val="16"/>
                <w:szCs w:val="16"/>
              </w:rPr>
              <w:t>C: Visual art and crafts</w:t>
            </w:r>
          </w:p>
        </w:tc>
        <w:tc>
          <w:tcPr>
            <w:tcW w:w="1406" w:type="dxa"/>
            <w:tcMar>
              <w:right w:w="567" w:type="dxa"/>
            </w:tcMar>
            <w:vAlign w:val="center"/>
          </w:tcPr>
          <w:p w14:paraId="0000030F"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12</w:t>
            </w:r>
          </w:p>
        </w:tc>
        <w:tc>
          <w:tcPr>
            <w:tcW w:w="1406" w:type="dxa"/>
            <w:tcMar>
              <w:right w:w="567" w:type="dxa"/>
            </w:tcMar>
            <w:vAlign w:val="center"/>
          </w:tcPr>
          <w:p w14:paraId="00000310"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516</w:t>
            </w:r>
          </w:p>
        </w:tc>
        <w:tc>
          <w:tcPr>
            <w:tcW w:w="1406" w:type="dxa"/>
            <w:tcMar>
              <w:right w:w="567" w:type="dxa"/>
            </w:tcMar>
            <w:vAlign w:val="center"/>
          </w:tcPr>
          <w:p w14:paraId="00000311"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25</w:t>
            </w:r>
          </w:p>
        </w:tc>
        <w:tc>
          <w:tcPr>
            <w:tcW w:w="1406" w:type="dxa"/>
            <w:tcMar>
              <w:right w:w="567" w:type="dxa"/>
            </w:tcMar>
            <w:vAlign w:val="center"/>
          </w:tcPr>
          <w:p w14:paraId="00000312"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21</w:t>
            </w:r>
          </w:p>
        </w:tc>
        <w:tc>
          <w:tcPr>
            <w:tcW w:w="1406" w:type="dxa"/>
            <w:tcMar>
              <w:right w:w="567" w:type="dxa"/>
            </w:tcMar>
            <w:vAlign w:val="center"/>
          </w:tcPr>
          <w:p w14:paraId="00000313"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-114</w:t>
            </w:r>
          </w:p>
        </w:tc>
      </w:tr>
      <w:tr w:rsidR="00F8269C" w14:paraId="5D0D1725" w14:textId="77777777" w:rsidTr="009D3DA2">
        <w:trPr>
          <w:trHeight w:val="318"/>
        </w:trPr>
        <w:tc>
          <w:tcPr>
            <w:cnfStyle w:val="001000000000" w:firstRow="0" w:lastRow="0" w:firstColumn="1" w:lastColumn="0" w:oddVBand="0" w:evenVBand="0" w:oddHBand="0" w:evenHBand="0" w:firstRowFirstColumn="0" w:firstRowLastColumn="0" w:lastRowFirstColumn="0" w:lastRowLastColumn="0"/>
            <w:tcW w:w="1985" w:type="dxa"/>
          </w:tcPr>
          <w:p w14:paraId="00000314" w14:textId="5E5189C3" w:rsidR="00F8269C" w:rsidRPr="009D3DA2" w:rsidRDefault="00450D2D" w:rsidP="009D3DA2">
            <w:pPr>
              <w:spacing w:before="60" w:after="60"/>
              <w:rPr>
                <w:rFonts w:eastAsia="Calibri"/>
                <w:sz w:val="16"/>
                <w:szCs w:val="16"/>
              </w:rPr>
            </w:pPr>
            <w:r w:rsidRPr="009D3DA2">
              <w:rPr>
                <w:rFonts w:eastAsia="Calibri"/>
                <w:sz w:val="16"/>
                <w:szCs w:val="16"/>
              </w:rPr>
              <w:t xml:space="preserve">D: Books and </w:t>
            </w:r>
            <w:r w:rsidR="00A732E6" w:rsidRPr="009D3DA2">
              <w:rPr>
                <w:rFonts w:eastAsia="Calibri"/>
                <w:sz w:val="16"/>
                <w:szCs w:val="16"/>
              </w:rPr>
              <w:t>Press</w:t>
            </w:r>
          </w:p>
        </w:tc>
        <w:tc>
          <w:tcPr>
            <w:tcW w:w="1406" w:type="dxa"/>
            <w:tcMar>
              <w:right w:w="567" w:type="dxa"/>
            </w:tcMar>
            <w:vAlign w:val="center"/>
          </w:tcPr>
          <w:p w14:paraId="00000315"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12</w:t>
            </w:r>
          </w:p>
        </w:tc>
        <w:tc>
          <w:tcPr>
            <w:tcW w:w="1406" w:type="dxa"/>
            <w:tcMar>
              <w:right w:w="567" w:type="dxa"/>
            </w:tcMar>
            <w:vAlign w:val="center"/>
          </w:tcPr>
          <w:p w14:paraId="00000316"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36</w:t>
            </w:r>
          </w:p>
        </w:tc>
        <w:tc>
          <w:tcPr>
            <w:tcW w:w="1406" w:type="dxa"/>
            <w:tcMar>
              <w:right w:w="567" w:type="dxa"/>
            </w:tcMar>
            <w:vAlign w:val="center"/>
          </w:tcPr>
          <w:p w14:paraId="00000317"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1 542</w:t>
            </w:r>
          </w:p>
        </w:tc>
        <w:tc>
          <w:tcPr>
            <w:tcW w:w="1406" w:type="dxa"/>
            <w:tcMar>
              <w:right w:w="567" w:type="dxa"/>
            </w:tcMar>
            <w:vAlign w:val="center"/>
          </w:tcPr>
          <w:p w14:paraId="00000318"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1 276</w:t>
            </w:r>
          </w:p>
        </w:tc>
        <w:tc>
          <w:tcPr>
            <w:tcW w:w="1406" w:type="dxa"/>
            <w:tcMar>
              <w:right w:w="567" w:type="dxa"/>
            </w:tcMar>
            <w:vAlign w:val="center"/>
          </w:tcPr>
          <w:p w14:paraId="00000319"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-439</w:t>
            </w:r>
          </w:p>
        </w:tc>
      </w:tr>
      <w:tr w:rsidR="00F8269C" w14:paraId="5A3DC6DF" w14:textId="77777777" w:rsidTr="009D3DA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985" w:type="dxa"/>
          </w:tcPr>
          <w:p w14:paraId="0000031A" w14:textId="77777777" w:rsidR="00F8269C" w:rsidRPr="009D3DA2" w:rsidRDefault="00450D2D" w:rsidP="009D3DA2">
            <w:pPr>
              <w:spacing w:before="60" w:after="60"/>
              <w:rPr>
                <w:rFonts w:eastAsia="Calibri"/>
                <w:sz w:val="16"/>
                <w:szCs w:val="16"/>
              </w:rPr>
            </w:pPr>
            <w:r w:rsidRPr="009D3DA2">
              <w:rPr>
                <w:rFonts w:eastAsia="Calibri"/>
                <w:sz w:val="16"/>
                <w:szCs w:val="16"/>
              </w:rPr>
              <w:t>E: Audio-visual and interactive media</w:t>
            </w:r>
          </w:p>
        </w:tc>
        <w:tc>
          <w:tcPr>
            <w:tcW w:w="1406" w:type="dxa"/>
            <w:tcMar>
              <w:right w:w="567" w:type="dxa"/>
            </w:tcMar>
            <w:vAlign w:val="center"/>
          </w:tcPr>
          <w:p w14:paraId="0000031B"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1</w:t>
            </w:r>
          </w:p>
        </w:tc>
        <w:tc>
          <w:tcPr>
            <w:tcW w:w="1406" w:type="dxa"/>
            <w:tcMar>
              <w:right w:w="567" w:type="dxa"/>
            </w:tcMar>
            <w:vAlign w:val="center"/>
          </w:tcPr>
          <w:p w14:paraId="0000031C"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4</w:t>
            </w:r>
          </w:p>
        </w:tc>
        <w:tc>
          <w:tcPr>
            <w:tcW w:w="1406" w:type="dxa"/>
            <w:tcMar>
              <w:right w:w="567" w:type="dxa"/>
            </w:tcMar>
            <w:vAlign w:val="center"/>
          </w:tcPr>
          <w:p w14:paraId="0000031D"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8 793</w:t>
            </w:r>
          </w:p>
        </w:tc>
        <w:tc>
          <w:tcPr>
            <w:tcW w:w="1406" w:type="dxa"/>
            <w:tcMar>
              <w:right w:w="567" w:type="dxa"/>
            </w:tcMar>
            <w:vAlign w:val="center"/>
          </w:tcPr>
          <w:p w14:paraId="0000031E"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7 274</w:t>
            </w:r>
          </w:p>
        </w:tc>
        <w:tc>
          <w:tcPr>
            <w:tcW w:w="1406" w:type="dxa"/>
            <w:tcMar>
              <w:right w:w="567" w:type="dxa"/>
            </w:tcMar>
            <w:vAlign w:val="center"/>
          </w:tcPr>
          <w:p w14:paraId="0000031F"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-49</w:t>
            </w:r>
          </w:p>
        </w:tc>
      </w:tr>
      <w:tr w:rsidR="00F8269C" w14:paraId="0F035073" w14:textId="77777777" w:rsidTr="009D3DA2">
        <w:trPr>
          <w:trHeight w:val="318"/>
        </w:trPr>
        <w:tc>
          <w:tcPr>
            <w:cnfStyle w:val="001000000000" w:firstRow="0" w:lastRow="0" w:firstColumn="1" w:lastColumn="0" w:oddVBand="0" w:evenVBand="0" w:oddHBand="0" w:evenHBand="0" w:firstRowFirstColumn="0" w:firstRowLastColumn="0" w:lastRowFirstColumn="0" w:lastRowLastColumn="0"/>
            <w:tcW w:w="1985" w:type="dxa"/>
          </w:tcPr>
          <w:p w14:paraId="00000320" w14:textId="77777777" w:rsidR="00F8269C" w:rsidRPr="009D3DA2" w:rsidRDefault="00450D2D" w:rsidP="009D3DA2">
            <w:pPr>
              <w:spacing w:before="60" w:after="60"/>
              <w:rPr>
                <w:rFonts w:eastAsia="Calibri"/>
                <w:sz w:val="16"/>
                <w:szCs w:val="16"/>
              </w:rPr>
            </w:pPr>
            <w:r w:rsidRPr="009D3DA2">
              <w:rPr>
                <w:rFonts w:eastAsia="Calibri"/>
                <w:sz w:val="16"/>
                <w:szCs w:val="16"/>
              </w:rPr>
              <w:t>F: Design and creative services</w:t>
            </w:r>
          </w:p>
        </w:tc>
        <w:tc>
          <w:tcPr>
            <w:tcW w:w="1406" w:type="dxa"/>
            <w:tcMar>
              <w:right w:w="567" w:type="dxa"/>
            </w:tcMar>
            <w:vAlign w:val="center"/>
          </w:tcPr>
          <w:p w14:paraId="00000321"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0</w:t>
            </w:r>
          </w:p>
        </w:tc>
        <w:tc>
          <w:tcPr>
            <w:tcW w:w="1406" w:type="dxa"/>
            <w:tcMar>
              <w:right w:w="567" w:type="dxa"/>
            </w:tcMar>
            <w:vAlign w:val="center"/>
          </w:tcPr>
          <w:p w14:paraId="00000322"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0</w:t>
            </w:r>
          </w:p>
        </w:tc>
        <w:tc>
          <w:tcPr>
            <w:tcW w:w="1406" w:type="dxa"/>
            <w:tcMar>
              <w:right w:w="567" w:type="dxa"/>
            </w:tcMar>
            <w:vAlign w:val="center"/>
          </w:tcPr>
          <w:p w14:paraId="00000323"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984</w:t>
            </w:r>
          </w:p>
        </w:tc>
        <w:tc>
          <w:tcPr>
            <w:tcW w:w="1406" w:type="dxa"/>
            <w:tcMar>
              <w:right w:w="567" w:type="dxa"/>
            </w:tcMar>
            <w:vAlign w:val="center"/>
          </w:tcPr>
          <w:p w14:paraId="00000324"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816</w:t>
            </w:r>
          </w:p>
        </w:tc>
        <w:tc>
          <w:tcPr>
            <w:tcW w:w="1406" w:type="dxa"/>
            <w:tcMar>
              <w:right w:w="567" w:type="dxa"/>
            </w:tcMar>
            <w:vAlign w:val="center"/>
          </w:tcPr>
          <w:p w14:paraId="00000325"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-24</w:t>
            </w:r>
          </w:p>
        </w:tc>
      </w:tr>
      <w:tr w:rsidR="00F8269C" w14:paraId="0D3213C9" w14:textId="77777777" w:rsidTr="009D3DA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985" w:type="dxa"/>
          </w:tcPr>
          <w:p w14:paraId="00000326" w14:textId="019312FE" w:rsidR="00F8269C" w:rsidRPr="009D3DA2" w:rsidRDefault="00450D2D" w:rsidP="009D3DA2">
            <w:pPr>
              <w:spacing w:before="60" w:after="60"/>
              <w:rPr>
                <w:rFonts w:eastAsia="Calibri"/>
                <w:sz w:val="16"/>
                <w:szCs w:val="16"/>
              </w:rPr>
            </w:pPr>
            <w:r w:rsidRPr="009D3DA2">
              <w:rPr>
                <w:rFonts w:eastAsia="Calibri"/>
                <w:sz w:val="16"/>
                <w:szCs w:val="16"/>
              </w:rPr>
              <w:lastRenderedPageBreak/>
              <w:t xml:space="preserve">Transversal </w:t>
            </w:r>
            <w:r w:rsidR="00946F53">
              <w:rPr>
                <w:rFonts w:eastAsia="Calibri"/>
                <w:sz w:val="16"/>
                <w:szCs w:val="16"/>
              </w:rPr>
              <w:t>d</w:t>
            </w:r>
            <w:r w:rsidR="00CD6602">
              <w:rPr>
                <w:rFonts w:eastAsia="Calibri"/>
                <w:sz w:val="16"/>
                <w:szCs w:val="16"/>
              </w:rPr>
              <w:t>omain: Education</w:t>
            </w:r>
            <w:r w:rsidRPr="009D3DA2">
              <w:rPr>
                <w:rFonts w:eastAsia="Calibri"/>
                <w:sz w:val="16"/>
                <w:szCs w:val="16"/>
              </w:rPr>
              <w:t xml:space="preserve"> and </w:t>
            </w:r>
            <w:r w:rsidR="00946F53">
              <w:rPr>
                <w:rFonts w:eastAsia="Calibri"/>
                <w:sz w:val="16"/>
                <w:szCs w:val="16"/>
              </w:rPr>
              <w:t>t</w:t>
            </w:r>
            <w:r w:rsidRPr="009D3DA2">
              <w:rPr>
                <w:rFonts w:eastAsia="Calibri"/>
                <w:sz w:val="16"/>
                <w:szCs w:val="16"/>
              </w:rPr>
              <w:t xml:space="preserve">raining </w:t>
            </w:r>
          </w:p>
        </w:tc>
        <w:tc>
          <w:tcPr>
            <w:tcW w:w="1406" w:type="dxa"/>
            <w:tcMar>
              <w:right w:w="567" w:type="dxa"/>
            </w:tcMar>
            <w:vAlign w:val="center"/>
          </w:tcPr>
          <w:p w14:paraId="00000327"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0</w:t>
            </w:r>
          </w:p>
        </w:tc>
        <w:tc>
          <w:tcPr>
            <w:tcW w:w="1406" w:type="dxa"/>
            <w:tcMar>
              <w:right w:w="567" w:type="dxa"/>
            </w:tcMar>
            <w:vAlign w:val="center"/>
          </w:tcPr>
          <w:p w14:paraId="00000328"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0</w:t>
            </w:r>
          </w:p>
        </w:tc>
        <w:tc>
          <w:tcPr>
            <w:tcW w:w="1406" w:type="dxa"/>
            <w:tcMar>
              <w:right w:w="567" w:type="dxa"/>
            </w:tcMar>
            <w:vAlign w:val="center"/>
          </w:tcPr>
          <w:p w14:paraId="00000329"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4</w:t>
            </w:r>
          </w:p>
        </w:tc>
        <w:tc>
          <w:tcPr>
            <w:tcW w:w="1406" w:type="dxa"/>
            <w:tcMar>
              <w:right w:w="567" w:type="dxa"/>
            </w:tcMar>
            <w:vAlign w:val="center"/>
          </w:tcPr>
          <w:p w14:paraId="0000032A"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5</w:t>
            </w:r>
          </w:p>
        </w:tc>
        <w:tc>
          <w:tcPr>
            <w:tcW w:w="1406" w:type="dxa"/>
            <w:tcMar>
              <w:right w:w="567" w:type="dxa"/>
            </w:tcMar>
            <w:vAlign w:val="center"/>
          </w:tcPr>
          <w:p w14:paraId="0000032B" w14:textId="77777777" w:rsidR="00F8269C" w:rsidRPr="009D3DA2"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6"/>
                <w:szCs w:val="16"/>
              </w:rPr>
            </w:pPr>
            <w:r w:rsidRPr="009D3DA2">
              <w:rPr>
                <w:rFonts w:eastAsia="Calibri"/>
                <w:color w:val="000000"/>
                <w:sz w:val="16"/>
                <w:szCs w:val="16"/>
              </w:rPr>
              <w:t>31</w:t>
            </w:r>
          </w:p>
        </w:tc>
      </w:tr>
      <w:tr w:rsidR="00F8269C" w14:paraId="552DCED9" w14:textId="77777777" w:rsidTr="009D3DA2">
        <w:trPr>
          <w:trHeight w:val="318"/>
        </w:trPr>
        <w:tc>
          <w:tcPr>
            <w:cnfStyle w:val="001000000000" w:firstRow="0" w:lastRow="0" w:firstColumn="1" w:lastColumn="0" w:oddVBand="0" w:evenVBand="0" w:oddHBand="0" w:evenHBand="0" w:firstRowFirstColumn="0" w:firstRowLastColumn="0" w:lastRowFirstColumn="0" w:lastRowLastColumn="0"/>
            <w:tcW w:w="1985" w:type="dxa"/>
          </w:tcPr>
          <w:p w14:paraId="0000032C" w14:textId="77777777" w:rsidR="00F8269C" w:rsidRPr="009D3DA2" w:rsidRDefault="00450D2D" w:rsidP="009D3DA2">
            <w:pPr>
              <w:spacing w:before="60" w:after="60"/>
              <w:rPr>
                <w:rFonts w:eastAsia="Calibri"/>
                <w:sz w:val="16"/>
                <w:szCs w:val="16"/>
              </w:rPr>
            </w:pPr>
            <w:r w:rsidRPr="009D3DA2">
              <w:rPr>
                <w:rFonts w:eastAsia="Calibri"/>
                <w:sz w:val="16"/>
                <w:szCs w:val="16"/>
              </w:rPr>
              <w:t>H: Sports and recreation</w:t>
            </w:r>
          </w:p>
        </w:tc>
        <w:tc>
          <w:tcPr>
            <w:tcW w:w="1406" w:type="dxa"/>
            <w:tcMar>
              <w:right w:w="567" w:type="dxa"/>
            </w:tcMar>
            <w:vAlign w:val="center"/>
          </w:tcPr>
          <w:p w14:paraId="0000032D"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129</w:t>
            </w:r>
          </w:p>
        </w:tc>
        <w:tc>
          <w:tcPr>
            <w:tcW w:w="1406" w:type="dxa"/>
            <w:tcMar>
              <w:right w:w="567" w:type="dxa"/>
            </w:tcMar>
            <w:vAlign w:val="center"/>
          </w:tcPr>
          <w:p w14:paraId="0000032E"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368</w:t>
            </w:r>
          </w:p>
        </w:tc>
        <w:tc>
          <w:tcPr>
            <w:tcW w:w="1406" w:type="dxa"/>
            <w:tcMar>
              <w:right w:w="567" w:type="dxa"/>
            </w:tcMar>
            <w:vAlign w:val="center"/>
          </w:tcPr>
          <w:p w14:paraId="0000032F"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27</w:t>
            </w:r>
          </w:p>
        </w:tc>
        <w:tc>
          <w:tcPr>
            <w:tcW w:w="1406" w:type="dxa"/>
            <w:tcMar>
              <w:right w:w="567" w:type="dxa"/>
            </w:tcMar>
            <w:vAlign w:val="center"/>
          </w:tcPr>
          <w:p w14:paraId="00000330"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23</w:t>
            </w:r>
          </w:p>
        </w:tc>
        <w:tc>
          <w:tcPr>
            <w:tcW w:w="1406" w:type="dxa"/>
            <w:tcMar>
              <w:right w:w="567" w:type="dxa"/>
            </w:tcMar>
            <w:vAlign w:val="center"/>
          </w:tcPr>
          <w:p w14:paraId="00000331" w14:textId="77777777" w:rsidR="00F8269C" w:rsidRPr="009D3DA2"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6"/>
                <w:szCs w:val="16"/>
              </w:rPr>
            </w:pPr>
            <w:r w:rsidRPr="009D3DA2">
              <w:rPr>
                <w:rFonts w:eastAsia="Calibri"/>
                <w:color w:val="000000"/>
                <w:sz w:val="16"/>
                <w:szCs w:val="16"/>
              </w:rPr>
              <w:t>-240</w:t>
            </w:r>
          </w:p>
        </w:tc>
      </w:tr>
    </w:tbl>
    <w:p w14:paraId="00000332" w14:textId="77777777" w:rsidR="00F8269C" w:rsidRDefault="00F8269C"/>
    <w:p w14:paraId="00000333" w14:textId="573A7387" w:rsidR="00F8269C" w:rsidRDefault="00450D2D" w:rsidP="004D3CE6">
      <w:pPr>
        <w:jc w:val="both"/>
        <w:rPr>
          <w:sz w:val="22"/>
          <w:szCs w:val="22"/>
        </w:rPr>
      </w:pPr>
      <w:r>
        <w:rPr>
          <w:sz w:val="22"/>
          <w:szCs w:val="22"/>
        </w:rPr>
        <w:t xml:space="preserve">The change inventory shows how the various sectors have responded to COVID-19 and the subsequent recession. Typically, during the recession firms do not buy new stock but rather sell what they have until confidence in the economy returns and stock levels rise. Table 11 shows </w:t>
      </w:r>
      <w:sdt>
        <w:sdtPr>
          <w:tag w:val="goog_rdk_49"/>
          <w:id w:val="-1295434843"/>
        </w:sdtPr>
        <w:sdtEndPr/>
        <w:sdtContent/>
      </w:sdt>
      <w:r>
        <w:rPr>
          <w:sz w:val="22"/>
          <w:szCs w:val="22"/>
        </w:rPr>
        <w:t>tha</w:t>
      </w:r>
      <w:r w:rsidR="00163C1E">
        <w:rPr>
          <w:sz w:val="22"/>
          <w:szCs w:val="22"/>
        </w:rPr>
        <w:t>t</w:t>
      </w:r>
      <w:r>
        <w:rPr>
          <w:sz w:val="22"/>
          <w:szCs w:val="22"/>
        </w:rPr>
        <w:t xml:space="preserve"> most domains were running down their inventories in 2020, but this is especially evident in Visual Arts and Crafts (minus R114 million) and Books and Press (minus R439 million).</w:t>
      </w:r>
    </w:p>
    <w:p w14:paraId="00000334" w14:textId="77777777" w:rsidR="00F8269C" w:rsidRDefault="00450D2D" w:rsidP="004D3CE6">
      <w:pPr>
        <w:jc w:val="both"/>
        <w:rPr>
          <w:sz w:val="22"/>
          <w:szCs w:val="22"/>
        </w:rPr>
      </w:pPr>
      <w:r>
        <w:rPr>
          <w:sz w:val="22"/>
          <w:szCs w:val="22"/>
        </w:rPr>
        <w:t>The Audio-visual and Interactive Media domain has acquired the most computers and related equipment and also software. They have also spent a great deal on research and development which includes the development of creative content. The Books and Press domain has also invested in computers and software and the development of creative content. It is encouraging that the domain is still investing even though it is a sector’s contribution to GDP has fallen.</w:t>
      </w:r>
    </w:p>
    <w:p w14:paraId="00000335" w14:textId="6C079B6D" w:rsidR="00F8269C" w:rsidRDefault="00450D2D" w:rsidP="00452002">
      <w:pPr>
        <w:pStyle w:val="Heading3"/>
        <w:numPr>
          <w:ilvl w:val="2"/>
          <w:numId w:val="5"/>
        </w:numPr>
      </w:pPr>
      <w:bookmarkStart w:id="107" w:name="_Toc90191870"/>
      <w:bookmarkStart w:id="108" w:name="_Toc93842790"/>
      <w:bookmarkStart w:id="109" w:name="_Toc93842976"/>
      <w:bookmarkStart w:id="110" w:name="_Toc93843354"/>
      <w:r>
        <w:t>Labour</w:t>
      </w:r>
      <w:bookmarkEnd w:id="107"/>
      <w:bookmarkEnd w:id="108"/>
      <w:bookmarkEnd w:id="109"/>
      <w:bookmarkEnd w:id="110"/>
    </w:p>
    <w:p w14:paraId="00000336" w14:textId="02293393" w:rsidR="00F8269C" w:rsidRPr="009D3DA2" w:rsidRDefault="00450D2D" w:rsidP="009D3DA2">
      <w:pPr>
        <w:jc w:val="both"/>
        <w:rPr>
          <w:sz w:val="22"/>
          <w:szCs w:val="22"/>
        </w:rPr>
      </w:pPr>
      <w:r w:rsidRPr="009D3DA2">
        <w:rPr>
          <w:sz w:val="22"/>
          <w:szCs w:val="22"/>
        </w:rPr>
        <w:t>Human capital is an essential ingredient in the production of any goods or services. For the sector to compete globally, firms require a highly skilled or skilled workforce. Nevertheless, the sector can also be an important entry point for low-skilled workers. Table</w:t>
      </w:r>
      <w:r w:rsidR="00812A2B">
        <w:rPr>
          <w:sz w:val="22"/>
          <w:szCs w:val="22"/>
        </w:rPr>
        <w:t xml:space="preserve"> 12</w:t>
      </w:r>
      <w:r w:rsidRPr="009D3DA2">
        <w:rPr>
          <w:sz w:val="22"/>
          <w:szCs w:val="22"/>
        </w:rPr>
        <w:t xml:space="preserve"> below shows the skills levels of the workers in each domain.</w:t>
      </w:r>
    </w:p>
    <w:p w14:paraId="00000337" w14:textId="22E99DE5" w:rsidR="00F8269C" w:rsidRDefault="00450D2D">
      <w:pPr>
        <w:pBdr>
          <w:top w:val="nil"/>
          <w:left w:val="nil"/>
          <w:bottom w:val="nil"/>
          <w:right w:val="nil"/>
          <w:between w:val="nil"/>
        </w:pBdr>
        <w:spacing w:after="200" w:line="240" w:lineRule="auto"/>
        <w:rPr>
          <w:i/>
          <w:color w:val="44546A"/>
          <w:sz w:val="18"/>
          <w:szCs w:val="18"/>
        </w:rPr>
      </w:pPr>
      <w:r>
        <w:rPr>
          <w:i/>
          <w:color w:val="44546A"/>
          <w:sz w:val="18"/>
          <w:szCs w:val="18"/>
        </w:rPr>
        <w:t>Table 12</w:t>
      </w:r>
      <w:r w:rsidR="00FF485D">
        <w:rPr>
          <w:i/>
          <w:color w:val="44546A"/>
          <w:sz w:val="18"/>
          <w:szCs w:val="18"/>
        </w:rPr>
        <w:t>:</w:t>
      </w:r>
      <w:r>
        <w:rPr>
          <w:i/>
          <w:color w:val="44546A"/>
          <w:sz w:val="18"/>
          <w:szCs w:val="18"/>
        </w:rPr>
        <w:t xml:space="preserve"> Labour skills levels by domain (derived from total compensation data)</w:t>
      </w:r>
    </w:p>
    <w:tbl>
      <w:tblPr>
        <w:tblStyle w:val="ad"/>
        <w:tblW w:w="901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2179"/>
        <w:gridCol w:w="1139"/>
        <w:gridCol w:w="1139"/>
        <w:gridCol w:w="1140"/>
        <w:gridCol w:w="1139"/>
        <w:gridCol w:w="1139"/>
        <w:gridCol w:w="1140"/>
      </w:tblGrid>
      <w:tr w:rsidR="00F8269C" w14:paraId="48BA9C8C" w14:textId="77777777" w:rsidTr="009D3DA2">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00000338" w14:textId="77777777" w:rsidR="00F8269C" w:rsidRPr="009D3DA2" w:rsidRDefault="00F8269C" w:rsidP="009D3DA2">
            <w:pPr>
              <w:spacing w:before="60" w:after="60"/>
              <w:rPr>
                <w:sz w:val="16"/>
                <w:szCs w:val="16"/>
              </w:rPr>
            </w:pPr>
          </w:p>
        </w:tc>
        <w:tc>
          <w:tcPr>
            <w:tcW w:w="1110" w:type="dxa"/>
          </w:tcPr>
          <w:p w14:paraId="00000339" w14:textId="3407048B"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 xml:space="preserve">A: </w:t>
            </w:r>
            <w:r w:rsidR="001827E8">
              <w:rPr>
                <w:sz w:val="16"/>
                <w:szCs w:val="16"/>
              </w:rPr>
              <w:br/>
            </w:r>
            <w:r w:rsidRPr="009D3DA2">
              <w:rPr>
                <w:sz w:val="16"/>
                <w:szCs w:val="16"/>
              </w:rPr>
              <w:t>Cultural and natural heritage</w:t>
            </w:r>
          </w:p>
        </w:tc>
        <w:tc>
          <w:tcPr>
            <w:tcW w:w="1110" w:type="dxa"/>
            <w:tcMar>
              <w:left w:w="57" w:type="dxa"/>
              <w:right w:w="57" w:type="dxa"/>
            </w:tcMar>
          </w:tcPr>
          <w:p w14:paraId="0000033A" w14:textId="77777777"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B: Performance and celebration</w:t>
            </w:r>
          </w:p>
        </w:tc>
        <w:tc>
          <w:tcPr>
            <w:tcW w:w="1111" w:type="dxa"/>
          </w:tcPr>
          <w:p w14:paraId="0000033B" w14:textId="4DA14D8B"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 xml:space="preserve">C: </w:t>
            </w:r>
            <w:r w:rsidR="001827E8">
              <w:rPr>
                <w:sz w:val="16"/>
                <w:szCs w:val="16"/>
              </w:rPr>
              <w:br/>
            </w:r>
            <w:r w:rsidRPr="009D3DA2">
              <w:rPr>
                <w:sz w:val="16"/>
                <w:szCs w:val="16"/>
              </w:rPr>
              <w:t>Visual art and crafts</w:t>
            </w:r>
          </w:p>
        </w:tc>
        <w:tc>
          <w:tcPr>
            <w:tcW w:w="1110" w:type="dxa"/>
          </w:tcPr>
          <w:p w14:paraId="0000033C" w14:textId="775B10A9"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 xml:space="preserve">D: </w:t>
            </w:r>
            <w:r w:rsidR="001827E8">
              <w:rPr>
                <w:sz w:val="16"/>
                <w:szCs w:val="16"/>
              </w:rPr>
              <w:br/>
            </w:r>
            <w:r w:rsidRPr="009D3DA2">
              <w:rPr>
                <w:sz w:val="16"/>
                <w:szCs w:val="16"/>
              </w:rPr>
              <w:t xml:space="preserve">Books and </w:t>
            </w:r>
            <w:r w:rsidR="00A732E6" w:rsidRPr="009D3DA2">
              <w:rPr>
                <w:sz w:val="16"/>
                <w:szCs w:val="16"/>
              </w:rPr>
              <w:t>Press</w:t>
            </w:r>
          </w:p>
        </w:tc>
        <w:tc>
          <w:tcPr>
            <w:tcW w:w="1110" w:type="dxa"/>
          </w:tcPr>
          <w:p w14:paraId="0000033D" w14:textId="2A80075C"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 xml:space="preserve">E: </w:t>
            </w:r>
            <w:r w:rsidR="001827E8">
              <w:rPr>
                <w:sz w:val="16"/>
                <w:szCs w:val="16"/>
              </w:rPr>
              <w:br/>
            </w:r>
            <w:r w:rsidRPr="009D3DA2">
              <w:rPr>
                <w:sz w:val="16"/>
                <w:szCs w:val="16"/>
              </w:rPr>
              <w:t>Audio-visual and interactive media</w:t>
            </w:r>
          </w:p>
        </w:tc>
        <w:tc>
          <w:tcPr>
            <w:tcW w:w="1111" w:type="dxa"/>
          </w:tcPr>
          <w:p w14:paraId="0000033E" w14:textId="22128A8E" w:rsidR="00F8269C" w:rsidRPr="009D3DA2"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 xml:space="preserve">F: </w:t>
            </w:r>
            <w:r w:rsidR="001827E8">
              <w:rPr>
                <w:sz w:val="16"/>
                <w:szCs w:val="16"/>
              </w:rPr>
              <w:br/>
            </w:r>
            <w:r w:rsidRPr="009D3DA2">
              <w:rPr>
                <w:sz w:val="16"/>
                <w:szCs w:val="16"/>
              </w:rPr>
              <w:t>Design and creative services</w:t>
            </w:r>
          </w:p>
        </w:tc>
      </w:tr>
      <w:tr w:rsidR="00F8269C" w14:paraId="3A146FEA" w14:textId="77777777" w:rsidTr="009D3DA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0000033F" w14:textId="77777777" w:rsidR="00F8269C" w:rsidRPr="009D3DA2" w:rsidRDefault="00450D2D" w:rsidP="009D3DA2">
            <w:pPr>
              <w:spacing w:before="60" w:after="60"/>
              <w:rPr>
                <w:sz w:val="16"/>
                <w:szCs w:val="16"/>
              </w:rPr>
            </w:pPr>
            <w:r w:rsidRPr="009D3DA2">
              <w:rPr>
                <w:sz w:val="16"/>
                <w:szCs w:val="16"/>
              </w:rPr>
              <w:t>High-skilled labour</w:t>
            </w:r>
          </w:p>
        </w:tc>
        <w:tc>
          <w:tcPr>
            <w:tcW w:w="1110" w:type="dxa"/>
            <w:vAlign w:val="center"/>
          </w:tcPr>
          <w:p w14:paraId="00000340"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47%</w:t>
            </w:r>
          </w:p>
        </w:tc>
        <w:tc>
          <w:tcPr>
            <w:tcW w:w="1110" w:type="dxa"/>
            <w:tcMar>
              <w:left w:w="57" w:type="dxa"/>
              <w:right w:w="57" w:type="dxa"/>
            </w:tcMar>
            <w:vAlign w:val="center"/>
          </w:tcPr>
          <w:p w14:paraId="00000341"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52%</w:t>
            </w:r>
          </w:p>
        </w:tc>
        <w:tc>
          <w:tcPr>
            <w:tcW w:w="1111" w:type="dxa"/>
            <w:vAlign w:val="center"/>
          </w:tcPr>
          <w:p w14:paraId="00000342"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36%</w:t>
            </w:r>
          </w:p>
        </w:tc>
        <w:tc>
          <w:tcPr>
            <w:tcW w:w="1110" w:type="dxa"/>
            <w:vAlign w:val="center"/>
          </w:tcPr>
          <w:p w14:paraId="00000343"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39%</w:t>
            </w:r>
          </w:p>
        </w:tc>
        <w:tc>
          <w:tcPr>
            <w:tcW w:w="1110" w:type="dxa"/>
            <w:vAlign w:val="center"/>
          </w:tcPr>
          <w:p w14:paraId="00000344"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61%</w:t>
            </w:r>
          </w:p>
        </w:tc>
        <w:tc>
          <w:tcPr>
            <w:tcW w:w="1111" w:type="dxa"/>
            <w:vAlign w:val="center"/>
          </w:tcPr>
          <w:p w14:paraId="00000345"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58%</w:t>
            </w:r>
          </w:p>
        </w:tc>
      </w:tr>
      <w:tr w:rsidR="00F8269C" w14:paraId="3D1641AB" w14:textId="77777777" w:rsidTr="009D3DA2">
        <w:trPr>
          <w:trHeight w:val="318"/>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00000346" w14:textId="77777777" w:rsidR="00F8269C" w:rsidRPr="009D3DA2" w:rsidRDefault="00450D2D" w:rsidP="009D3DA2">
            <w:pPr>
              <w:spacing w:before="60" w:after="60"/>
              <w:rPr>
                <w:sz w:val="16"/>
                <w:szCs w:val="16"/>
              </w:rPr>
            </w:pPr>
            <w:r w:rsidRPr="009D3DA2">
              <w:rPr>
                <w:sz w:val="16"/>
                <w:szCs w:val="16"/>
              </w:rPr>
              <w:t>Skilled labour</w:t>
            </w:r>
          </w:p>
        </w:tc>
        <w:tc>
          <w:tcPr>
            <w:tcW w:w="1110" w:type="dxa"/>
            <w:vAlign w:val="center"/>
          </w:tcPr>
          <w:p w14:paraId="00000347" w14:textId="77777777" w:rsidR="00F8269C" w:rsidRPr="009D3DA2"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35%</w:t>
            </w:r>
          </w:p>
        </w:tc>
        <w:tc>
          <w:tcPr>
            <w:tcW w:w="1110" w:type="dxa"/>
            <w:tcMar>
              <w:left w:w="57" w:type="dxa"/>
              <w:right w:w="57" w:type="dxa"/>
            </w:tcMar>
            <w:vAlign w:val="center"/>
          </w:tcPr>
          <w:p w14:paraId="00000348" w14:textId="77777777" w:rsidR="00F8269C" w:rsidRPr="009D3DA2"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31%</w:t>
            </w:r>
          </w:p>
        </w:tc>
        <w:tc>
          <w:tcPr>
            <w:tcW w:w="1111" w:type="dxa"/>
            <w:vAlign w:val="center"/>
          </w:tcPr>
          <w:p w14:paraId="00000349" w14:textId="77777777" w:rsidR="00F8269C" w:rsidRPr="009D3DA2"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38%</w:t>
            </w:r>
          </w:p>
        </w:tc>
        <w:tc>
          <w:tcPr>
            <w:tcW w:w="1110" w:type="dxa"/>
            <w:vAlign w:val="center"/>
          </w:tcPr>
          <w:p w14:paraId="0000034A" w14:textId="77777777" w:rsidR="00F8269C" w:rsidRPr="009D3DA2"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45%</w:t>
            </w:r>
          </w:p>
        </w:tc>
        <w:tc>
          <w:tcPr>
            <w:tcW w:w="1110" w:type="dxa"/>
            <w:vAlign w:val="center"/>
          </w:tcPr>
          <w:p w14:paraId="0000034B" w14:textId="77777777" w:rsidR="00F8269C" w:rsidRPr="009D3DA2"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27%</w:t>
            </w:r>
          </w:p>
        </w:tc>
        <w:tc>
          <w:tcPr>
            <w:tcW w:w="1111" w:type="dxa"/>
            <w:vAlign w:val="center"/>
          </w:tcPr>
          <w:p w14:paraId="0000034C" w14:textId="77777777" w:rsidR="00F8269C" w:rsidRPr="009D3DA2"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30%</w:t>
            </w:r>
          </w:p>
        </w:tc>
      </w:tr>
      <w:tr w:rsidR="00F8269C" w14:paraId="19E218E9" w14:textId="77777777" w:rsidTr="009D3DA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0000034D" w14:textId="77777777" w:rsidR="00F8269C" w:rsidRPr="009D3DA2" w:rsidRDefault="00450D2D" w:rsidP="009D3DA2">
            <w:pPr>
              <w:spacing w:before="60" w:after="60"/>
              <w:rPr>
                <w:sz w:val="16"/>
                <w:szCs w:val="16"/>
              </w:rPr>
            </w:pPr>
            <w:r w:rsidRPr="009D3DA2">
              <w:rPr>
                <w:sz w:val="16"/>
                <w:szCs w:val="16"/>
              </w:rPr>
              <w:t>Low-skilled labour</w:t>
            </w:r>
          </w:p>
        </w:tc>
        <w:tc>
          <w:tcPr>
            <w:tcW w:w="1110" w:type="dxa"/>
            <w:vAlign w:val="center"/>
          </w:tcPr>
          <w:p w14:paraId="0000034E"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10%</w:t>
            </w:r>
          </w:p>
        </w:tc>
        <w:tc>
          <w:tcPr>
            <w:tcW w:w="1110" w:type="dxa"/>
            <w:tcMar>
              <w:left w:w="57" w:type="dxa"/>
              <w:right w:w="57" w:type="dxa"/>
            </w:tcMar>
            <w:vAlign w:val="center"/>
          </w:tcPr>
          <w:p w14:paraId="0000034F"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9%</w:t>
            </w:r>
          </w:p>
        </w:tc>
        <w:tc>
          <w:tcPr>
            <w:tcW w:w="1111" w:type="dxa"/>
            <w:vAlign w:val="center"/>
          </w:tcPr>
          <w:p w14:paraId="00000350"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17%</w:t>
            </w:r>
          </w:p>
        </w:tc>
        <w:tc>
          <w:tcPr>
            <w:tcW w:w="1110" w:type="dxa"/>
            <w:vAlign w:val="center"/>
          </w:tcPr>
          <w:p w14:paraId="00000351"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8%</w:t>
            </w:r>
          </w:p>
        </w:tc>
        <w:tc>
          <w:tcPr>
            <w:tcW w:w="1110" w:type="dxa"/>
            <w:vAlign w:val="center"/>
          </w:tcPr>
          <w:p w14:paraId="00000352"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6%</w:t>
            </w:r>
          </w:p>
        </w:tc>
        <w:tc>
          <w:tcPr>
            <w:tcW w:w="1111" w:type="dxa"/>
            <w:vAlign w:val="center"/>
          </w:tcPr>
          <w:p w14:paraId="00000353" w14:textId="77777777" w:rsidR="00F8269C" w:rsidRPr="009D3DA2"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5%</w:t>
            </w:r>
          </w:p>
        </w:tc>
      </w:tr>
      <w:tr w:rsidR="00F8269C" w14:paraId="11E269AE" w14:textId="77777777" w:rsidTr="009D3DA2">
        <w:trPr>
          <w:trHeight w:val="318"/>
        </w:trPr>
        <w:tc>
          <w:tcPr>
            <w:cnfStyle w:val="001000000000" w:firstRow="0" w:lastRow="0" w:firstColumn="1" w:lastColumn="0" w:oddVBand="0" w:evenVBand="0" w:oddHBand="0" w:evenHBand="0" w:firstRowFirstColumn="0" w:firstRowLastColumn="0" w:lastRowFirstColumn="0" w:lastRowLastColumn="0"/>
            <w:tcW w:w="2122" w:type="dxa"/>
            <w:vAlign w:val="center"/>
          </w:tcPr>
          <w:p w14:paraId="00000354" w14:textId="77777777" w:rsidR="00F8269C" w:rsidRPr="009D3DA2" w:rsidRDefault="00450D2D" w:rsidP="009D3DA2">
            <w:pPr>
              <w:spacing w:before="60" w:after="60"/>
              <w:rPr>
                <w:sz w:val="16"/>
                <w:szCs w:val="16"/>
              </w:rPr>
            </w:pPr>
            <w:r w:rsidRPr="009D3DA2">
              <w:rPr>
                <w:sz w:val="16"/>
                <w:szCs w:val="16"/>
              </w:rPr>
              <w:t>Informal labour</w:t>
            </w:r>
          </w:p>
        </w:tc>
        <w:tc>
          <w:tcPr>
            <w:tcW w:w="1110" w:type="dxa"/>
            <w:vAlign w:val="center"/>
          </w:tcPr>
          <w:p w14:paraId="00000355" w14:textId="77777777" w:rsidR="00F8269C" w:rsidRPr="009D3DA2"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8%</w:t>
            </w:r>
          </w:p>
        </w:tc>
        <w:tc>
          <w:tcPr>
            <w:tcW w:w="1110" w:type="dxa"/>
            <w:tcMar>
              <w:left w:w="57" w:type="dxa"/>
              <w:right w:w="57" w:type="dxa"/>
            </w:tcMar>
            <w:vAlign w:val="center"/>
          </w:tcPr>
          <w:p w14:paraId="00000356" w14:textId="77777777" w:rsidR="00F8269C" w:rsidRPr="009D3DA2"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7%</w:t>
            </w:r>
          </w:p>
        </w:tc>
        <w:tc>
          <w:tcPr>
            <w:tcW w:w="1111" w:type="dxa"/>
            <w:vAlign w:val="center"/>
          </w:tcPr>
          <w:p w14:paraId="00000357" w14:textId="77777777" w:rsidR="00F8269C" w:rsidRPr="009D3DA2"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9%</w:t>
            </w:r>
          </w:p>
        </w:tc>
        <w:tc>
          <w:tcPr>
            <w:tcW w:w="1110" w:type="dxa"/>
            <w:vAlign w:val="center"/>
          </w:tcPr>
          <w:p w14:paraId="00000358" w14:textId="77777777" w:rsidR="00F8269C" w:rsidRPr="009D3DA2"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7%</w:t>
            </w:r>
          </w:p>
        </w:tc>
        <w:tc>
          <w:tcPr>
            <w:tcW w:w="1110" w:type="dxa"/>
            <w:vAlign w:val="center"/>
          </w:tcPr>
          <w:p w14:paraId="00000359" w14:textId="77777777" w:rsidR="00F8269C" w:rsidRPr="009D3DA2"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6%</w:t>
            </w:r>
          </w:p>
        </w:tc>
        <w:tc>
          <w:tcPr>
            <w:tcW w:w="1111" w:type="dxa"/>
            <w:vAlign w:val="center"/>
          </w:tcPr>
          <w:p w14:paraId="0000035A" w14:textId="77777777" w:rsidR="00F8269C" w:rsidRPr="009D3DA2" w:rsidRDefault="00450D2D" w:rsidP="009D3DA2">
            <w:pPr>
              <w:keepNext/>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7%</w:t>
            </w:r>
          </w:p>
        </w:tc>
      </w:tr>
    </w:tbl>
    <w:p w14:paraId="0000035B" w14:textId="77777777" w:rsidR="00F8269C" w:rsidRDefault="00F8269C"/>
    <w:p w14:paraId="0000035C" w14:textId="7B9B259E" w:rsidR="00F8269C" w:rsidRDefault="00450D2D">
      <w:pPr>
        <w:jc w:val="both"/>
        <w:rPr>
          <w:sz w:val="22"/>
          <w:szCs w:val="22"/>
        </w:rPr>
      </w:pPr>
      <w:r>
        <w:rPr>
          <w:sz w:val="22"/>
          <w:szCs w:val="22"/>
        </w:rPr>
        <w:t>Most workers in the various CCI domains are highly skilled or skilled. Visual Arts and Crafts have the higher proportions of both low-skilled labour and informal labour. (Chapter 2 covers employment in greater detail</w:t>
      </w:r>
      <w:r w:rsidR="001827E8">
        <w:rPr>
          <w:sz w:val="22"/>
          <w:szCs w:val="22"/>
        </w:rPr>
        <w:t>.</w:t>
      </w:r>
      <w:r>
        <w:rPr>
          <w:sz w:val="22"/>
          <w:szCs w:val="22"/>
        </w:rPr>
        <w:t>)</w:t>
      </w:r>
    </w:p>
    <w:p w14:paraId="0000035D" w14:textId="77777777" w:rsidR="00F8269C" w:rsidRDefault="00450D2D">
      <w:pPr>
        <w:pStyle w:val="Heading2"/>
        <w:numPr>
          <w:ilvl w:val="1"/>
          <w:numId w:val="5"/>
        </w:numPr>
      </w:pPr>
      <w:bookmarkStart w:id="111" w:name="_Toc93842791"/>
      <w:bookmarkStart w:id="112" w:name="_Toc93842977"/>
      <w:bookmarkStart w:id="113" w:name="_Toc93843355"/>
      <w:r>
        <w:t>Distribution of Income Within Each Domain</w:t>
      </w:r>
      <w:bookmarkEnd w:id="111"/>
      <w:bookmarkEnd w:id="112"/>
      <w:bookmarkEnd w:id="113"/>
    </w:p>
    <w:p w14:paraId="0000035E" w14:textId="413CC8BF" w:rsidR="00F8269C" w:rsidRDefault="00450D2D" w:rsidP="009D3DA2">
      <w:pPr>
        <w:jc w:val="both"/>
        <w:rPr>
          <w:sz w:val="22"/>
          <w:szCs w:val="22"/>
        </w:rPr>
      </w:pPr>
      <w:r>
        <w:rPr>
          <w:sz w:val="22"/>
          <w:szCs w:val="22"/>
        </w:rPr>
        <w:t>The CCI SAM provides information on household income earned per industrial sector as well as per CCI domain. Although overall income is an important part of each domain’s contribution to the national GDP, this section analyses distribution of the income derived by households from each domain</w:t>
      </w:r>
      <w:r w:rsidR="00CF192B">
        <w:rPr>
          <w:sz w:val="22"/>
          <w:szCs w:val="22"/>
        </w:rPr>
        <w:t xml:space="preserve"> in which they work</w:t>
      </w:r>
      <w:r>
        <w:rPr>
          <w:sz w:val="22"/>
          <w:szCs w:val="22"/>
        </w:rPr>
        <w:t xml:space="preserve"> according to </w:t>
      </w:r>
      <w:r w:rsidR="00CF192B">
        <w:rPr>
          <w:sz w:val="22"/>
          <w:szCs w:val="22"/>
        </w:rPr>
        <w:t>their</w:t>
      </w:r>
      <w:r>
        <w:rPr>
          <w:sz w:val="22"/>
          <w:szCs w:val="22"/>
        </w:rPr>
        <w:t xml:space="preserve"> decile. Income deciles are derived by ranking all household</w:t>
      </w:r>
      <w:r w:rsidR="001827E8">
        <w:rPr>
          <w:sz w:val="22"/>
          <w:szCs w:val="22"/>
        </w:rPr>
        <w:t>s</w:t>
      </w:r>
      <w:r>
        <w:rPr>
          <w:sz w:val="22"/>
          <w:szCs w:val="22"/>
        </w:rPr>
        <w:t xml:space="preserve"> in an economy from poorest to wealthiest (in terms of their income) and then dividing them into </w:t>
      </w:r>
      <w:r w:rsidR="00EA5836">
        <w:rPr>
          <w:sz w:val="22"/>
          <w:szCs w:val="22"/>
        </w:rPr>
        <w:t>10</w:t>
      </w:r>
      <w:r>
        <w:rPr>
          <w:sz w:val="22"/>
          <w:szCs w:val="22"/>
        </w:rPr>
        <w:t xml:space="preserve"> groups, with an equal number of households in each group. To examine the distribution of household income in each domain, the Gini coefficient is calculated for each domain according to the decile to which the household is included.</w:t>
      </w:r>
    </w:p>
    <w:p w14:paraId="0000035F" w14:textId="2CBB9EB7" w:rsidR="00F8269C" w:rsidRDefault="00450D2D" w:rsidP="009D3DA2">
      <w:pPr>
        <w:jc w:val="both"/>
        <w:rPr>
          <w:sz w:val="22"/>
          <w:szCs w:val="22"/>
        </w:rPr>
      </w:pPr>
      <w:r>
        <w:rPr>
          <w:sz w:val="22"/>
          <w:szCs w:val="22"/>
        </w:rPr>
        <w:t xml:space="preserve">The Gini coefficient (also called the Gini index or Gini ratio) is a statistical measure of economic inequality in a population and can be used in the analysis of income distribution within a sector. The coefficient can take any values between 0 to 1 (or 0% to 100%). A coefficient of zero </w:t>
      </w:r>
      <w:r>
        <w:rPr>
          <w:sz w:val="22"/>
          <w:szCs w:val="22"/>
        </w:rPr>
        <w:lastRenderedPageBreak/>
        <w:t xml:space="preserve">indicates a perfectly equal distribution of income. A coefficient of one represents perfect inequality when one household in a population receives all the income. The Gini coefficient is calculated from the Lorenz curve (Figure </w:t>
      </w:r>
      <w:r w:rsidR="009D4963">
        <w:rPr>
          <w:sz w:val="22"/>
          <w:szCs w:val="22"/>
        </w:rPr>
        <w:t>8</w:t>
      </w:r>
      <w:r>
        <w:rPr>
          <w:sz w:val="22"/>
          <w:szCs w:val="22"/>
        </w:rPr>
        <w:t>).</w:t>
      </w:r>
    </w:p>
    <w:p w14:paraId="00000360" w14:textId="77777777" w:rsidR="00F8269C" w:rsidRDefault="00450D2D">
      <w:pPr>
        <w:keepNext/>
        <w:spacing w:before="280" w:after="280" w:line="240" w:lineRule="auto"/>
      </w:pPr>
      <w:r>
        <w:rPr>
          <w:noProof/>
        </w:rPr>
        <w:drawing>
          <wp:inline distT="0" distB="0" distL="0" distR="0" wp14:anchorId="4C373354" wp14:editId="7CB8F088">
            <wp:extent cx="2609850" cy="2609850"/>
            <wp:effectExtent l="0" t="0" r="0" b="0"/>
            <wp:docPr id="339" name="image6.png" descr="A picture containing text, knif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picture containing text, knife&#10;&#10;Description automatically generated"/>
                    <pic:cNvPicPr preferRelativeResize="0"/>
                  </pic:nvPicPr>
                  <pic:blipFill>
                    <a:blip r:embed="rId17"/>
                    <a:srcRect/>
                    <a:stretch>
                      <a:fillRect/>
                    </a:stretch>
                  </pic:blipFill>
                  <pic:spPr>
                    <a:xfrm>
                      <a:off x="0" y="0"/>
                      <a:ext cx="2609850" cy="2609850"/>
                    </a:xfrm>
                    <a:prstGeom prst="rect">
                      <a:avLst/>
                    </a:prstGeom>
                    <a:ln/>
                  </pic:spPr>
                </pic:pic>
              </a:graphicData>
            </a:graphic>
          </wp:inline>
        </w:drawing>
      </w:r>
    </w:p>
    <w:p w14:paraId="00000361" w14:textId="77777777" w:rsidR="00F8269C" w:rsidRDefault="00450D2D">
      <w:pPr>
        <w:pBdr>
          <w:top w:val="nil"/>
          <w:left w:val="nil"/>
          <w:bottom w:val="nil"/>
          <w:right w:val="nil"/>
          <w:between w:val="nil"/>
        </w:pBdr>
        <w:spacing w:after="200" w:line="240" w:lineRule="auto"/>
        <w:rPr>
          <w:rFonts w:ascii="Times New Roman" w:eastAsia="Times New Roman" w:hAnsi="Times New Roman" w:cs="Times New Roman"/>
          <w:i/>
          <w:color w:val="44546A"/>
          <w:sz w:val="24"/>
          <w:szCs w:val="24"/>
        </w:rPr>
      </w:pPr>
      <w:r>
        <w:rPr>
          <w:i/>
          <w:color w:val="44546A"/>
          <w:sz w:val="18"/>
          <w:szCs w:val="18"/>
        </w:rPr>
        <w:t>Figure 8: The Lorenz curve</w:t>
      </w:r>
    </w:p>
    <w:p w14:paraId="00000362" w14:textId="47CAB5A2" w:rsidR="00F8269C" w:rsidRDefault="00450D2D" w:rsidP="009D3DA2">
      <w:pPr>
        <w:jc w:val="both"/>
        <w:rPr>
          <w:sz w:val="22"/>
          <w:szCs w:val="22"/>
        </w:rPr>
      </w:pPr>
      <w:r>
        <w:rPr>
          <w:sz w:val="22"/>
          <w:szCs w:val="22"/>
        </w:rPr>
        <w:t>The Gini coefficient is equal to the area marked A divided by the sum of the areas marked A and B, that is, Gini = A/(A + B). The Gini coefficient was calculated</w:t>
      </w:r>
      <w:r>
        <w:rPr>
          <w:sz w:val="22"/>
          <w:szCs w:val="22"/>
          <w:vertAlign w:val="superscript"/>
        </w:rPr>
        <w:footnoteReference w:id="10"/>
      </w:r>
      <w:r>
        <w:rPr>
          <w:sz w:val="22"/>
          <w:szCs w:val="22"/>
          <w:vertAlign w:val="superscript"/>
        </w:rPr>
        <w:t xml:space="preserve"> </w:t>
      </w:r>
      <w:r>
        <w:rPr>
          <w:sz w:val="22"/>
          <w:szCs w:val="22"/>
        </w:rPr>
        <w:t xml:space="preserve">for each domain shown in Table 13. </w:t>
      </w:r>
      <w:r w:rsidR="00C815B6">
        <w:rPr>
          <w:sz w:val="22"/>
          <w:szCs w:val="22"/>
        </w:rPr>
        <w:t>Table 19 (</w:t>
      </w:r>
      <w:r>
        <w:rPr>
          <w:sz w:val="22"/>
          <w:szCs w:val="22"/>
        </w:rPr>
        <w:t xml:space="preserve">Appendix </w:t>
      </w:r>
      <w:r w:rsidR="00D43CA5">
        <w:rPr>
          <w:sz w:val="22"/>
          <w:szCs w:val="22"/>
        </w:rPr>
        <w:t>4</w:t>
      </w:r>
      <w:r w:rsidR="00C815B6">
        <w:rPr>
          <w:sz w:val="22"/>
          <w:szCs w:val="22"/>
        </w:rPr>
        <w:t>)</w:t>
      </w:r>
      <w:r w:rsidR="00D43CA5">
        <w:rPr>
          <w:sz w:val="22"/>
          <w:szCs w:val="22"/>
        </w:rPr>
        <w:t xml:space="preserve"> </w:t>
      </w:r>
      <w:r>
        <w:rPr>
          <w:sz w:val="22"/>
          <w:szCs w:val="22"/>
        </w:rPr>
        <w:t>shows household distribution by decile.</w:t>
      </w:r>
    </w:p>
    <w:p w14:paraId="00000363" w14:textId="78755310" w:rsidR="00F8269C" w:rsidRDefault="00450D2D" w:rsidP="009D3DA2">
      <w:pPr>
        <w:jc w:val="both"/>
        <w:rPr>
          <w:sz w:val="22"/>
          <w:szCs w:val="22"/>
        </w:rPr>
      </w:pPr>
      <w:r>
        <w:rPr>
          <w:sz w:val="22"/>
          <w:szCs w:val="22"/>
        </w:rPr>
        <w:t xml:space="preserve">South Africa is acknowledged as having one of the most unequal distributions of household income in the world (of those countries </w:t>
      </w:r>
      <w:r w:rsidR="001B66E8">
        <w:rPr>
          <w:sz w:val="22"/>
          <w:szCs w:val="22"/>
        </w:rPr>
        <w:t xml:space="preserve">which </w:t>
      </w:r>
      <w:r>
        <w:rPr>
          <w:sz w:val="22"/>
          <w:szCs w:val="22"/>
        </w:rPr>
        <w:t>measure inequality in this way). In 2006 the country had a per capita expenditure Gini coefficient of 0.67, dropping to 0.65 in 2015. The top 10% of the population spent 8.6 times more than the bottom 40% in 2006 and 7.9 in 2015 (Stats SA, 2019). The origins of this inequality can be traced back to apartheid, but the current cause is the country’s high unemployment. Without the social grant system inequality would have been far worse. Increasing employment would have a positive impact. Nevertheless, even among employed South Africans the Gini coefficient is too high.</w:t>
      </w:r>
    </w:p>
    <w:p w14:paraId="00000364" w14:textId="77777777" w:rsidR="00F8269C" w:rsidRDefault="00450D2D" w:rsidP="009D3DA2">
      <w:pPr>
        <w:jc w:val="both"/>
        <w:rPr>
          <w:sz w:val="22"/>
          <w:szCs w:val="22"/>
        </w:rPr>
      </w:pPr>
      <w:r>
        <w:rPr>
          <w:sz w:val="22"/>
          <w:szCs w:val="22"/>
        </w:rPr>
        <w:t>Using the CCI SAM it is possible to determine the Gini coefficients for each of the CCI domains (Table 13). The higher the ratio, the more unequal is the distribution of income in each domain.</w:t>
      </w:r>
    </w:p>
    <w:p w14:paraId="00000365" w14:textId="77777777" w:rsidR="00F8269C" w:rsidRDefault="00450D2D">
      <w:pPr>
        <w:keepNext/>
        <w:pBdr>
          <w:top w:val="nil"/>
          <w:left w:val="nil"/>
          <w:bottom w:val="nil"/>
          <w:right w:val="nil"/>
          <w:between w:val="nil"/>
        </w:pBdr>
        <w:spacing w:after="200" w:line="240" w:lineRule="auto"/>
        <w:rPr>
          <w:i/>
          <w:color w:val="44546A"/>
          <w:sz w:val="18"/>
          <w:szCs w:val="18"/>
        </w:rPr>
      </w:pPr>
      <w:r>
        <w:rPr>
          <w:i/>
          <w:color w:val="44546A"/>
          <w:sz w:val="18"/>
          <w:szCs w:val="18"/>
        </w:rPr>
        <w:t>Table 13: Gini coefficients per domain</w:t>
      </w:r>
    </w:p>
    <w:tbl>
      <w:tblPr>
        <w:tblStyle w:val="ae"/>
        <w:tblW w:w="5524"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3681"/>
        <w:gridCol w:w="1843"/>
      </w:tblGrid>
      <w:tr w:rsidR="00F8269C" w14:paraId="5B78AA49" w14:textId="77777777" w:rsidTr="009D3DA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00000366" w14:textId="77777777" w:rsidR="00F8269C" w:rsidRDefault="00450D2D" w:rsidP="009D3DA2">
            <w:pPr>
              <w:spacing w:before="60" w:after="60"/>
              <w:rPr>
                <w:sz w:val="16"/>
                <w:szCs w:val="16"/>
              </w:rPr>
            </w:pPr>
            <w:r>
              <w:rPr>
                <w:b w:val="0"/>
                <w:sz w:val="16"/>
                <w:szCs w:val="16"/>
              </w:rPr>
              <w:t>Domain</w:t>
            </w:r>
          </w:p>
        </w:tc>
        <w:tc>
          <w:tcPr>
            <w:tcW w:w="1843" w:type="dxa"/>
            <w:vAlign w:val="center"/>
          </w:tcPr>
          <w:p w14:paraId="00000367" w14:textId="109179C7" w:rsidR="00F8269C"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r>
              <w:rPr>
                <w:b w:val="0"/>
                <w:sz w:val="16"/>
                <w:szCs w:val="16"/>
              </w:rPr>
              <w:t>Gini</w:t>
            </w:r>
          </w:p>
        </w:tc>
      </w:tr>
      <w:tr w:rsidR="00F8269C" w14:paraId="3F298996" w14:textId="77777777" w:rsidTr="009D3D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00000368" w14:textId="77777777" w:rsidR="00F8269C" w:rsidRDefault="00450D2D" w:rsidP="009D3DA2">
            <w:pPr>
              <w:spacing w:before="60" w:after="60"/>
              <w:rPr>
                <w:sz w:val="16"/>
                <w:szCs w:val="16"/>
              </w:rPr>
            </w:pPr>
            <w:r>
              <w:rPr>
                <w:b w:val="0"/>
                <w:sz w:val="16"/>
                <w:szCs w:val="16"/>
              </w:rPr>
              <w:t>A: Cultural and natural heritage</w:t>
            </w:r>
          </w:p>
        </w:tc>
        <w:tc>
          <w:tcPr>
            <w:tcW w:w="1843" w:type="dxa"/>
            <w:vAlign w:val="center"/>
          </w:tcPr>
          <w:p w14:paraId="00000369"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0.60292</w:t>
            </w:r>
          </w:p>
        </w:tc>
      </w:tr>
      <w:tr w:rsidR="00F8269C" w14:paraId="37901BE1" w14:textId="77777777" w:rsidTr="009D3DA2">
        <w:trPr>
          <w:trHeight w:val="300"/>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0000036A" w14:textId="77777777" w:rsidR="00F8269C" w:rsidRDefault="00450D2D" w:rsidP="009D3DA2">
            <w:pPr>
              <w:spacing w:before="60" w:after="60"/>
              <w:rPr>
                <w:sz w:val="16"/>
                <w:szCs w:val="16"/>
              </w:rPr>
            </w:pPr>
            <w:r>
              <w:rPr>
                <w:b w:val="0"/>
                <w:sz w:val="16"/>
                <w:szCs w:val="16"/>
              </w:rPr>
              <w:t>B: Performance and celebration</w:t>
            </w:r>
          </w:p>
        </w:tc>
        <w:tc>
          <w:tcPr>
            <w:tcW w:w="1843" w:type="dxa"/>
            <w:vAlign w:val="center"/>
          </w:tcPr>
          <w:p w14:paraId="0000036B"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0.63555</w:t>
            </w:r>
          </w:p>
        </w:tc>
      </w:tr>
      <w:tr w:rsidR="00F8269C" w14:paraId="2E8A5F28" w14:textId="77777777" w:rsidTr="009D3D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0000036C" w14:textId="77777777" w:rsidR="00F8269C" w:rsidRDefault="00450D2D" w:rsidP="009D3DA2">
            <w:pPr>
              <w:spacing w:before="60" w:after="60"/>
              <w:rPr>
                <w:sz w:val="16"/>
                <w:szCs w:val="16"/>
              </w:rPr>
            </w:pPr>
            <w:r>
              <w:rPr>
                <w:b w:val="0"/>
                <w:sz w:val="16"/>
                <w:szCs w:val="16"/>
              </w:rPr>
              <w:t>C: Visual art and crafts</w:t>
            </w:r>
          </w:p>
        </w:tc>
        <w:tc>
          <w:tcPr>
            <w:tcW w:w="1843" w:type="dxa"/>
            <w:vAlign w:val="center"/>
          </w:tcPr>
          <w:p w14:paraId="0000036D"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0.68988</w:t>
            </w:r>
          </w:p>
        </w:tc>
      </w:tr>
      <w:tr w:rsidR="00F8269C" w14:paraId="0D7141E6" w14:textId="77777777" w:rsidTr="009D3DA2">
        <w:trPr>
          <w:trHeight w:val="300"/>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0000036E" w14:textId="77777777" w:rsidR="00F8269C" w:rsidRDefault="00450D2D" w:rsidP="009D3DA2">
            <w:pPr>
              <w:spacing w:before="60" w:after="60"/>
              <w:rPr>
                <w:sz w:val="16"/>
                <w:szCs w:val="16"/>
              </w:rPr>
            </w:pPr>
            <w:r>
              <w:rPr>
                <w:b w:val="0"/>
                <w:sz w:val="16"/>
                <w:szCs w:val="16"/>
              </w:rPr>
              <w:t>D: Books and press</w:t>
            </w:r>
          </w:p>
        </w:tc>
        <w:tc>
          <w:tcPr>
            <w:tcW w:w="1843" w:type="dxa"/>
            <w:vAlign w:val="center"/>
          </w:tcPr>
          <w:p w14:paraId="0000036F"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0.60953</w:t>
            </w:r>
          </w:p>
        </w:tc>
      </w:tr>
      <w:tr w:rsidR="00F8269C" w14:paraId="4CF9C927" w14:textId="77777777" w:rsidTr="009D3D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00000370" w14:textId="77777777" w:rsidR="00F8269C" w:rsidRDefault="00450D2D" w:rsidP="009D3DA2">
            <w:pPr>
              <w:spacing w:before="60" w:after="60"/>
              <w:rPr>
                <w:sz w:val="16"/>
                <w:szCs w:val="16"/>
              </w:rPr>
            </w:pPr>
            <w:r>
              <w:rPr>
                <w:b w:val="0"/>
                <w:sz w:val="16"/>
                <w:szCs w:val="16"/>
              </w:rPr>
              <w:t>E: Audio-visual and interactive media</w:t>
            </w:r>
          </w:p>
        </w:tc>
        <w:tc>
          <w:tcPr>
            <w:tcW w:w="1843" w:type="dxa"/>
            <w:vAlign w:val="center"/>
          </w:tcPr>
          <w:p w14:paraId="00000371"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0.57861</w:t>
            </w:r>
          </w:p>
        </w:tc>
      </w:tr>
      <w:tr w:rsidR="00F8269C" w14:paraId="25A6CAA4" w14:textId="77777777" w:rsidTr="009D3DA2">
        <w:trPr>
          <w:trHeight w:val="300"/>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00000372" w14:textId="4800738A" w:rsidR="00F8269C" w:rsidRDefault="00450D2D" w:rsidP="009D3DA2">
            <w:pPr>
              <w:spacing w:before="60" w:after="60"/>
              <w:rPr>
                <w:sz w:val="16"/>
                <w:szCs w:val="16"/>
              </w:rPr>
            </w:pPr>
            <w:r>
              <w:rPr>
                <w:b w:val="0"/>
                <w:sz w:val="16"/>
                <w:szCs w:val="16"/>
              </w:rPr>
              <w:t xml:space="preserve">F: </w:t>
            </w:r>
            <w:r w:rsidR="00BD30F7">
              <w:rPr>
                <w:b w:val="0"/>
                <w:sz w:val="16"/>
                <w:szCs w:val="16"/>
              </w:rPr>
              <w:t>Design and creative services</w:t>
            </w:r>
          </w:p>
        </w:tc>
        <w:tc>
          <w:tcPr>
            <w:tcW w:w="1843" w:type="dxa"/>
            <w:vAlign w:val="center"/>
          </w:tcPr>
          <w:p w14:paraId="00000373" w14:textId="77777777" w:rsidR="00F8269C" w:rsidRDefault="00450D2D" w:rsidP="009D3DA2">
            <w:pPr>
              <w:spacing w:before="60" w:after="6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0.58431</w:t>
            </w:r>
          </w:p>
        </w:tc>
      </w:tr>
      <w:tr w:rsidR="00F8269C" w14:paraId="0AB8B785" w14:textId="77777777" w:rsidTr="009D3D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00000374" w14:textId="545D502B" w:rsidR="00F8269C" w:rsidRDefault="00450D2D" w:rsidP="009D3DA2">
            <w:pPr>
              <w:spacing w:before="60" w:after="60"/>
              <w:rPr>
                <w:sz w:val="16"/>
                <w:szCs w:val="16"/>
              </w:rPr>
            </w:pPr>
            <w:r>
              <w:rPr>
                <w:b w:val="0"/>
                <w:sz w:val="16"/>
                <w:szCs w:val="16"/>
              </w:rPr>
              <w:t xml:space="preserve">Transversal Education and Training </w:t>
            </w:r>
          </w:p>
        </w:tc>
        <w:tc>
          <w:tcPr>
            <w:tcW w:w="1843" w:type="dxa"/>
            <w:vAlign w:val="center"/>
          </w:tcPr>
          <w:p w14:paraId="00000375" w14:textId="77777777" w:rsidR="00F8269C" w:rsidRDefault="00450D2D" w:rsidP="009D3DA2">
            <w:pPr>
              <w:spacing w:before="60" w:after="6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0.61708</w:t>
            </w:r>
          </w:p>
        </w:tc>
      </w:tr>
    </w:tbl>
    <w:p w14:paraId="00000376" w14:textId="77777777" w:rsidR="00F8269C" w:rsidRDefault="00F8269C"/>
    <w:p w14:paraId="00000377" w14:textId="08518195" w:rsidR="00F8269C" w:rsidRDefault="00450D2D" w:rsidP="004D3CE6">
      <w:pPr>
        <w:jc w:val="both"/>
        <w:rPr>
          <w:sz w:val="22"/>
          <w:szCs w:val="22"/>
        </w:rPr>
      </w:pPr>
      <w:r w:rsidRPr="004D3CE6">
        <w:rPr>
          <w:sz w:val="22"/>
          <w:szCs w:val="22"/>
        </w:rPr>
        <w:lastRenderedPageBreak/>
        <w:t xml:space="preserve">The Lorenz curves for each domain </w:t>
      </w:r>
      <w:sdt>
        <w:sdtPr>
          <w:rPr>
            <w:sz w:val="22"/>
            <w:szCs w:val="22"/>
          </w:rPr>
          <w:tag w:val="goog_rdk_51"/>
          <w:id w:val="-691453872"/>
        </w:sdtPr>
        <w:sdtEndPr/>
        <w:sdtContent/>
      </w:sdt>
      <w:r w:rsidRPr="009D3DA2">
        <w:rPr>
          <w:sz w:val="22"/>
          <w:szCs w:val="22"/>
        </w:rPr>
        <w:t>ha</w:t>
      </w:r>
      <w:r w:rsidR="00163C1E" w:rsidRPr="004D3CE6">
        <w:rPr>
          <w:sz w:val="22"/>
          <w:szCs w:val="22"/>
        </w:rPr>
        <w:t>ve</w:t>
      </w:r>
      <w:r w:rsidRPr="004D3CE6">
        <w:rPr>
          <w:sz w:val="22"/>
          <w:szCs w:val="22"/>
        </w:rPr>
        <w:t xml:space="preserve"> been</w:t>
      </w:r>
      <w:r>
        <w:rPr>
          <w:sz w:val="22"/>
          <w:szCs w:val="22"/>
        </w:rPr>
        <w:t xml:space="preserve"> plotted as well as the line of equality. These are shown and discussed below.</w:t>
      </w:r>
    </w:p>
    <w:tbl>
      <w:tblPr>
        <w:tblStyle w:val="af"/>
        <w:tblW w:w="985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4896"/>
        <w:gridCol w:w="4956"/>
      </w:tblGrid>
      <w:tr w:rsidR="00F8269C" w14:paraId="25231316" w14:textId="77777777">
        <w:tc>
          <w:tcPr>
            <w:tcW w:w="4896" w:type="dxa"/>
          </w:tcPr>
          <w:p w14:paraId="00000378" w14:textId="77777777" w:rsidR="00F8269C" w:rsidRDefault="00450D2D">
            <w:r>
              <w:rPr>
                <w:noProof/>
              </w:rPr>
              <w:drawing>
                <wp:inline distT="0" distB="0" distL="0" distR="0" wp14:anchorId="5DF09B7F" wp14:editId="0C117643">
                  <wp:extent cx="2971800" cy="1838325"/>
                  <wp:effectExtent l="0" t="0" r="0" b="0"/>
                  <wp:docPr id="310" name="Chart 3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c>
          <w:tcPr>
            <w:tcW w:w="4956" w:type="dxa"/>
          </w:tcPr>
          <w:p w14:paraId="00000379" w14:textId="77777777" w:rsidR="00F8269C" w:rsidRDefault="00450D2D">
            <w:r>
              <w:rPr>
                <w:noProof/>
              </w:rPr>
              <w:drawing>
                <wp:inline distT="0" distB="0" distL="0" distR="0" wp14:anchorId="3EEC85CC" wp14:editId="12D5B875">
                  <wp:extent cx="3009900" cy="1838325"/>
                  <wp:effectExtent l="0" t="0" r="0" b="0"/>
                  <wp:docPr id="313" name="Chart 3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r w:rsidR="00F8269C" w14:paraId="4DA003B0" w14:textId="77777777">
        <w:tc>
          <w:tcPr>
            <w:tcW w:w="4896" w:type="dxa"/>
          </w:tcPr>
          <w:p w14:paraId="0000037A" w14:textId="77777777" w:rsidR="00F8269C" w:rsidRDefault="00450D2D">
            <w:r>
              <w:rPr>
                <w:noProof/>
              </w:rPr>
              <w:drawing>
                <wp:inline distT="0" distB="0" distL="0" distR="0" wp14:anchorId="2C120FB6" wp14:editId="4BF17D3A">
                  <wp:extent cx="2809875" cy="1866900"/>
                  <wp:effectExtent l="0" t="0" r="0" b="0"/>
                  <wp:docPr id="311" name="Chart 3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c>
          <w:tcPr>
            <w:tcW w:w="4956" w:type="dxa"/>
          </w:tcPr>
          <w:p w14:paraId="0000037B" w14:textId="77777777" w:rsidR="00F8269C" w:rsidRDefault="00450D2D">
            <w:r>
              <w:rPr>
                <w:noProof/>
              </w:rPr>
              <w:drawing>
                <wp:inline distT="0" distB="0" distL="0" distR="0" wp14:anchorId="0A5DF82F" wp14:editId="7816BBE3">
                  <wp:extent cx="2828925" cy="1866900"/>
                  <wp:effectExtent l="0" t="0" r="0" b="0"/>
                  <wp:docPr id="312" name="Chart 3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r>
      <w:tr w:rsidR="00F8269C" w14:paraId="0EBA68D5" w14:textId="77777777">
        <w:tc>
          <w:tcPr>
            <w:tcW w:w="4896" w:type="dxa"/>
          </w:tcPr>
          <w:p w14:paraId="0000037C" w14:textId="77777777" w:rsidR="00F8269C" w:rsidRDefault="00450D2D">
            <w:r>
              <w:rPr>
                <w:noProof/>
              </w:rPr>
              <w:drawing>
                <wp:inline distT="0" distB="0" distL="0" distR="0" wp14:anchorId="6C30A795" wp14:editId="2199E2B6">
                  <wp:extent cx="2838450" cy="1866900"/>
                  <wp:effectExtent l="0" t="0" r="0" b="0"/>
                  <wp:docPr id="314" name="Chart 3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c>
          <w:tcPr>
            <w:tcW w:w="4956" w:type="dxa"/>
          </w:tcPr>
          <w:p w14:paraId="0000037D" w14:textId="77777777" w:rsidR="00F8269C" w:rsidRDefault="00450D2D">
            <w:r>
              <w:rPr>
                <w:noProof/>
              </w:rPr>
              <w:drawing>
                <wp:inline distT="0" distB="0" distL="0" distR="0" wp14:anchorId="279B2308" wp14:editId="3FB2D0FA">
                  <wp:extent cx="2952750" cy="1971675"/>
                  <wp:effectExtent l="0" t="0" r="0" b="9525"/>
                  <wp:docPr id="315" name="Chart 3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c>
      </w:tr>
    </w:tbl>
    <w:p w14:paraId="0000037E" w14:textId="1ABAD1A9" w:rsidR="00F8269C" w:rsidRDefault="00450D2D" w:rsidP="009D3DA2">
      <w:pPr>
        <w:pBdr>
          <w:top w:val="nil"/>
          <w:left w:val="nil"/>
          <w:bottom w:val="nil"/>
          <w:right w:val="nil"/>
          <w:between w:val="nil"/>
        </w:pBdr>
        <w:spacing w:before="160"/>
        <w:rPr>
          <w:i/>
          <w:color w:val="44546A"/>
          <w:sz w:val="18"/>
          <w:szCs w:val="18"/>
        </w:rPr>
      </w:pPr>
      <w:r>
        <w:rPr>
          <w:i/>
          <w:color w:val="44546A"/>
          <w:sz w:val="18"/>
          <w:szCs w:val="18"/>
        </w:rPr>
        <w:t>Figure 9</w:t>
      </w:r>
      <w:r w:rsidR="009D4963">
        <w:rPr>
          <w:i/>
          <w:color w:val="44546A"/>
          <w:sz w:val="18"/>
          <w:szCs w:val="18"/>
        </w:rPr>
        <w:t>:</w:t>
      </w:r>
      <w:r>
        <w:rPr>
          <w:i/>
          <w:color w:val="44546A"/>
          <w:sz w:val="18"/>
          <w:szCs w:val="18"/>
        </w:rPr>
        <w:t xml:space="preserve"> Lorenz Curves by Domain</w:t>
      </w:r>
    </w:p>
    <w:p w14:paraId="0000037F" w14:textId="46A6F0AD" w:rsidR="00F8269C" w:rsidRDefault="00450D2D" w:rsidP="004D3CE6">
      <w:pPr>
        <w:jc w:val="both"/>
        <w:rPr>
          <w:sz w:val="22"/>
          <w:szCs w:val="22"/>
        </w:rPr>
      </w:pPr>
      <w:r>
        <w:rPr>
          <w:sz w:val="22"/>
          <w:szCs w:val="22"/>
        </w:rPr>
        <w:t xml:space="preserve">Not surprisingly, the domain with the most unequally distributed income is Visual Arts and Crafts. This domain includes both fine artists whose works sell internationally, </w:t>
      </w:r>
      <w:sdt>
        <w:sdtPr>
          <w:tag w:val="goog_rdk_52"/>
          <w:id w:val="1084801800"/>
        </w:sdtPr>
        <w:sdtEndPr/>
        <w:sdtContent/>
      </w:sdt>
      <w:r>
        <w:rPr>
          <w:sz w:val="22"/>
          <w:szCs w:val="22"/>
        </w:rPr>
        <w:t>sometime</w:t>
      </w:r>
      <w:r w:rsidR="00163C1E">
        <w:rPr>
          <w:sz w:val="22"/>
          <w:szCs w:val="22"/>
        </w:rPr>
        <w:t>s</w:t>
      </w:r>
      <w:r>
        <w:rPr>
          <w:sz w:val="22"/>
          <w:szCs w:val="22"/>
        </w:rPr>
        <w:t xml:space="preserve"> for very high prices, and crafters who may be operating informally on a small scale. 50% of the poorest </w:t>
      </w:r>
      <w:sdt>
        <w:sdtPr>
          <w:tag w:val="goog_rdk_53"/>
          <w:id w:val="570168141"/>
        </w:sdtPr>
        <w:sdtEndPr/>
        <w:sdtContent/>
      </w:sdt>
      <w:r>
        <w:rPr>
          <w:sz w:val="22"/>
          <w:szCs w:val="22"/>
        </w:rPr>
        <w:t>household</w:t>
      </w:r>
      <w:r w:rsidR="00163C1E">
        <w:rPr>
          <w:sz w:val="22"/>
          <w:szCs w:val="22"/>
        </w:rPr>
        <w:t>s</w:t>
      </w:r>
      <w:r>
        <w:rPr>
          <w:sz w:val="22"/>
          <w:szCs w:val="22"/>
        </w:rPr>
        <w:t xml:space="preserve"> in this domain earn only 8% of the total income. Audio-visual and Interactive Media has one of the lowest Gini coefficients in the sector.</w:t>
      </w:r>
    </w:p>
    <w:p w14:paraId="00000380" w14:textId="77777777" w:rsidR="00F8269C" w:rsidRDefault="00450D2D">
      <w:pPr>
        <w:pStyle w:val="Heading1"/>
        <w:numPr>
          <w:ilvl w:val="0"/>
          <w:numId w:val="5"/>
        </w:numPr>
      </w:pPr>
      <w:bookmarkStart w:id="114" w:name="_Toc93842792"/>
      <w:bookmarkStart w:id="115" w:name="_Toc93842978"/>
      <w:bookmarkStart w:id="116" w:name="_Toc93843356"/>
      <w:r>
        <w:t>Consumption Expenditure on Recreation and Entertainment</w:t>
      </w:r>
      <w:bookmarkEnd w:id="114"/>
      <w:bookmarkEnd w:id="115"/>
      <w:bookmarkEnd w:id="116"/>
    </w:p>
    <w:p w14:paraId="00000381" w14:textId="0B3F3384" w:rsidR="00F8269C" w:rsidRDefault="00450D2D" w:rsidP="004D3CE6">
      <w:pPr>
        <w:jc w:val="both"/>
        <w:rPr>
          <w:sz w:val="22"/>
          <w:szCs w:val="22"/>
        </w:rPr>
      </w:pPr>
      <w:r>
        <w:rPr>
          <w:sz w:val="22"/>
          <w:szCs w:val="22"/>
        </w:rPr>
        <w:t xml:space="preserve">Until now this </w:t>
      </w:r>
      <w:r w:rsidR="00BD30F7">
        <w:rPr>
          <w:sz w:val="22"/>
          <w:szCs w:val="22"/>
        </w:rPr>
        <w:t xml:space="preserve">chapter </w:t>
      </w:r>
      <w:r>
        <w:rPr>
          <w:sz w:val="22"/>
          <w:szCs w:val="22"/>
        </w:rPr>
        <w:t>has focused on the supply side of the economy. However, the demand side is equally important. How consumers spend their income also affects which products and services are provided. Although most products and services are produced and consumed in South Africa</w:t>
      </w:r>
      <w:r w:rsidR="00BF4C54">
        <w:rPr>
          <w:sz w:val="22"/>
          <w:szCs w:val="22"/>
        </w:rPr>
        <w:t>,</w:t>
      </w:r>
      <w:r>
        <w:rPr>
          <w:sz w:val="22"/>
          <w:szCs w:val="22"/>
        </w:rPr>
        <w:t xml:space="preserve"> many of them are produced in foreign countries and imported into South Africa. South Africa also exports to foreign countries.</w:t>
      </w:r>
    </w:p>
    <w:p w14:paraId="00000382" w14:textId="42286A86" w:rsidR="00F8269C" w:rsidRDefault="00450D2D" w:rsidP="004D3CE6">
      <w:pPr>
        <w:jc w:val="both"/>
        <w:rPr>
          <w:sz w:val="22"/>
          <w:szCs w:val="22"/>
        </w:rPr>
      </w:pPr>
      <w:r>
        <w:rPr>
          <w:sz w:val="22"/>
          <w:szCs w:val="22"/>
        </w:rPr>
        <w:lastRenderedPageBreak/>
        <w:t>Consumers purchase goods and services for a variety of reasons. The types of products and services that they purchase also change over time. Figure 10 shows the value of recreational and entertainment goods and services bought by consumers in South Africa since 1970. Four categories are shown</w:t>
      </w:r>
      <w:r w:rsidR="00BF4C54">
        <w:rPr>
          <w:sz w:val="22"/>
          <w:szCs w:val="22"/>
        </w:rPr>
        <w:t>:</w:t>
      </w:r>
      <w:r>
        <w:rPr>
          <w:sz w:val="22"/>
          <w:szCs w:val="22"/>
        </w:rPr>
        <w:t xml:space="preserve"> durable goods</w:t>
      </w:r>
      <w:r w:rsidR="00BF4C54">
        <w:rPr>
          <w:sz w:val="22"/>
          <w:szCs w:val="22"/>
        </w:rPr>
        <w:t>,</w:t>
      </w:r>
      <w:r>
        <w:rPr>
          <w:sz w:val="22"/>
          <w:szCs w:val="22"/>
        </w:rPr>
        <w:t xml:space="preserve"> semi-durable goods</w:t>
      </w:r>
      <w:r w:rsidR="00BF4C54">
        <w:rPr>
          <w:sz w:val="22"/>
          <w:szCs w:val="22"/>
        </w:rPr>
        <w:t>,</w:t>
      </w:r>
      <w:r>
        <w:rPr>
          <w:sz w:val="22"/>
          <w:szCs w:val="22"/>
        </w:rPr>
        <w:t xml:space="preserve"> non-durable goods</w:t>
      </w:r>
      <w:r w:rsidR="00BF4C54">
        <w:rPr>
          <w:sz w:val="22"/>
          <w:szCs w:val="22"/>
        </w:rPr>
        <w:t>,</w:t>
      </w:r>
      <w:r>
        <w:rPr>
          <w:sz w:val="22"/>
          <w:szCs w:val="22"/>
        </w:rPr>
        <w:t xml:space="preserve"> and services. The largest category is “recreational, entertainment and educational services.” This category </w:t>
      </w:r>
      <w:sdt>
        <w:sdtPr>
          <w:tag w:val="goog_rdk_54"/>
          <w:id w:val="-560250860"/>
        </w:sdtPr>
        <w:sdtEndPr/>
        <w:sdtContent/>
      </w:sdt>
      <w:r>
        <w:rPr>
          <w:sz w:val="22"/>
          <w:szCs w:val="22"/>
        </w:rPr>
        <w:t>co</w:t>
      </w:r>
      <w:r w:rsidR="00163C1E">
        <w:rPr>
          <w:sz w:val="22"/>
          <w:szCs w:val="22"/>
        </w:rPr>
        <w:t>nsists</w:t>
      </w:r>
      <w:r>
        <w:rPr>
          <w:sz w:val="22"/>
          <w:szCs w:val="22"/>
        </w:rPr>
        <w:t xml:space="preserve"> of spending at cinemas, parks, museums, and theatres. It also includes subscriptions to television services and licences and the hiring of equipment. </w:t>
      </w:r>
      <w:r w:rsidR="00BF4C54">
        <w:rPr>
          <w:sz w:val="22"/>
          <w:szCs w:val="22"/>
        </w:rPr>
        <w:t>T</w:t>
      </w:r>
      <w:r>
        <w:rPr>
          <w:sz w:val="22"/>
          <w:szCs w:val="22"/>
        </w:rPr>
        <w:t>his is the largest category</w:t>
      </w:r>
      <w:r w:rsidR="00BF4C54">
        <w:rPr>
          <w:sz w:val="22"/>
          <w:szCs w:val="22"/>
        </w:rPr>
        <w:t xml:space="preserve">, and </w:t>
      </w:r>
      <w:r>
        <w:rPr>
          <w:sz w:val="22"/>
          <w:szCs w:val="22"/>
        </w:rPr>
        <w:t>it experienced rapid growth from 1997.</w:t>
      </w:r>
    </w:p>
    <w:p w14:paraId="00000383" w14:textId="2C16AA4F" w:rsidR="00F8269C" w:rsidRDefault="00450D2D" w:rsidP="004D3CE6">
      <w:pPr>
        <w:jc w:val="both"/>
        <w:rPr>
          <w:sz w:val="22"/>
          <w:szCs w:val="22"/>
        </w:rPr>
      </w:pPr>
      <w:r>
        <w:rPr>
          <w:sz w:val="22"/>
          <w:szCs w:val="22"/>
        </w:rPr>
        <w:t xml:space="preserve">Durable recreational and entertainment goods (including audio-visual, photographic and communications equipment) </w:t>
      </w:r>
      <w:sdt>
        <w:sdtPr>
          <w:tag w:val="goog_rdk_55"/>
          <w:id w:val="1082878743"/>
        </w:sdtPr>
        <w:sdtEndPr/>
        <w:sdtContent/>
      </w:sdt>
      <w:r>
        <w:rPr>
          <w:sz w:val="22"/>
          <w:szCs w:val="22"/>
        </w:rPr>
        <w:t>ha</w:t>
      </w:r>
      <w:r w:rsidR="00163C1E">
        <w:rPr>
          <w:sz w:val="22"/>
          <w:szCs w:val="22"/>
        </w:rPr>
        <w:t>ve</w:t>
      </w:r>
      <w:r>
        <w:rPr>
          <w:sz w:val="22"/>
          <w:szCs w:val="22"/>
        </w:rPr>
        <w:t xml:space="preserve"> exhibited an increase since 2003. There has been no noticeable change in the consumption patterns of semi-durable (comprising sport and camping equipment, games, hobbies, toys, books and recorded media) and non-durable (</w:t>
      </w:r>
      <w:sdt>
        <w:sdtPr>
          <w:tag w:val="goog_rdk_56"/>
          <w:id w:val="-220058352"/>
        </w:sdtPr>
        <w:sdtEndPr/>
        <w:sdtContent/>
      </w:sdt>
      <w:r>
        <w:rPr>
          <w:sz w:val="22"/>
          <w:szCs w:val="22"/>
        </w:rPr>
        <w:t>co</w:t>
      </w:r>
      <w:r w:rsidR="00163C1E">
        <w:rPr>
          <w:sz w:val="22"/>
          <w:szCs w:val="22"/>
        </w:rPr>
        <w:t>nsist</w:t>
      </w:r>
      <w:r>
        <w:rPr>
          <w:sz w:val="22"/>
          <w:szCs w:val="22"/>
        </w:rPr>
        <w:t>ing of newspapers, magazines, stationery, pets and related products as well as garden) recreational and entertainment goods.</w:t>
      </w:r>
    </w:p>
    <w:p w14:paraId="00000384" w14:textId="77777777" w:rsidR="00F8269C" w:rsidRDefault="00450D2D">
      <w:pPr>
        <w:keepNext/>
      </w:pPr>
      <w:r>
        <w:rPr>
          <w:noProof/>
        </w:rPr>
        <w:drawing>
          <wp:inline distT="0" distB="0" distL="0" distR="0" wp14:anchorId="3F1F5CB2" wp14:editId="3133E757">
            <wp:extent cx="5731510" cy="4733925"/>
            <wp:effectExtent l="0" t="0" r="0" b="0"/>
            <wp:docPr id="316" name="Chart 3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0000385" w14:textId="77777777" w:rsidR="00F8269C" w:rsidRDefault="00450D2D">
      <w:pPr>
        <w:pBdr>
          <w:top w:val="nil"/>
          <w:left w:val="nil"/>
          <w:bottom w:val="nil"/>
          <w:right w:val="nil"/>
          <w:between w:val="nil"/>
        </w:pBdr>
        <w:spacing w:after="200" w:line="240" w:lineRule="auto"/>
        <w:rPr>
          <w:i/>
          <w:color w:val="44546A"/>
          <w:sz w:val="18"/>
          <w:szCs w:val="18"/>
        </w:rPr>
      </w:pPr>
      <w:r>
        <w:rPr>
          <w:i/>
          <w:color w:val="44546A"/>
          <w:sz w:val="18"/>
          <w:szCs w:val="18"/>
        </w:rPr>
        <w:t>Figure 10: Consumption expenditure of Recreation and Entertainment goods and services</w:t>
      </w:r>
    </w:p>
    <w:p w14:paraId="00000386" w14:textId="76A788BD" w:rsidR="00F8269C" w:rsidRPr="009D3DA2" w:rsidRDefault="00450D2D">
      <w:pPr>
        <w:rPr>
          <w:sz w:val="18"/>
          <w:szCs w:val="18"/>
        </w:rPr>
      </w:pPr>
      <w:r w:rsidRPr="009D3DA2">
        <w:rPr>
          <w:sz w:val="18"/>
          <w:szCs w:val="18"/>
        </w:rPr>
        <w:t>Source: SARB (20</w:t>
      </w:r>
      <w:r w:rsidR="00D44073">
        <w:rPr>
          <w:sz w:val="18"/>
          <w:szCs w:val="18"/>
        </w:rPr>
        <w:t>21</w:t>
      </w:r>
      <w:r w:rsidRPr="009D3DA2">
        <w:rPr>
          <w:sz w:val="18"/>
          <w:szCs w:val="18"/>
        </w:rPr>
        <w:t>), Quantec (20</w:t>
      </w:r>
      <w:r w:rsidR="00D44073">
        <w:rPr>
          <w:sz w:val="18"/>
          <w:szCs w:val="18"/>
        </w:rPr>
        <w:t>21</w:t>
      </w:r>
      <w:r w:rsidRPr="009D3DA2">
        <w:rPr>
          <w:sz w:val="18"/>
          <w:szCs w:val="18"/>
        </w:rPr>
        <w:t>) and own calculations</w:t>
      </w:r>
    </w:p>
    <w:p w14:paraId="00000387" w14:textId="0D6BFB1C" w:rsidR="00F8269C" w:rsidRDefault="00450D2D" w:rsidP="004D3CE6">
      <w:pPr>
        <w:jc w:val="both"/>
        <w:rPr>
          <w:sz w:val="22"/>
          <w:szCs w:val="22"/>
        </w:rPr>
      </w:pPr>
      <w:r>
        <w:rPr>
          <w:sz w:val="22"/>
          <w:szCs w:val="22"/>
        </w:rPr>
        <w:t xml:space="preserve">With the first wave of the COVID-19 pandemic in early 2020, consumers changed, or were forced to change, their consumption patterns as business models changed and government regulations were implemented. </w:t>
      </w:r>
      <w:sdt>
        <w:sdtPr>
          <w:tag w:val="goog_rdk_57"/>
          <w:id w:val="-929343132"/>
        </w:sdtPr>
        <w:sdtEndPr/>
        <w:sdtContent/>
      </w:sdt>
      <w:r>
        <w:rPr>
          <w:sz w:val="22"/>
          <w:szCs w:val="22"/>
        </w:rPr>
        <w:t>There is a clear drop in the consumption</w:t>
      </w:r>
      <w:r w:rsidR="00163C1E">
        <w:rPr>
          <w:sz w:val="22"/>
          <w:szCs w:val="22"/>
        </w:rPr>
        <w:t>,</w:t>
      </w:r>
      <w:r>
        <w:rPr>
          <w:sz w:val="22"/>
          <w:szCs w:val="22"/>
        </w:rPr>
        <w:t xml:space="preserve"> </w:t>
      </w:r>
      <w:r w:rsidR="00E34254">
        <w:rPr>
          <w:sz w:val="22"/>
          <w:szCs w:val="22"/>
        </w:rPr>
        <w:t xml:space="preserve">of </w:t>
      </w:r>
      <w:r>
        <w:rPr>
          <w:sz w:val="22"/>
          <w:szCs w:val="22"/>
        </w:rPr>
        <w:t>particularly services</w:t>
      </w:r>
      <w:r w:rsidR="00163C1E">
        <w:rPr>
          <w:sz w:val="22"/>
          <w:szCs w:val="22"/>
        </w:rPr>
        <w:t>,</w:t>
      </w:r>
      <w:r>
        <w:rPr>
          <w:sz w:val="22"/>
          <w:szCs w:val="22"/>
        </w:rPr>
        <w:t xml:space="preserve"> but also </w:t>
      </w:r>
      <w:r w:rsidR="00E34254">
        <w:rPr>
          <w:sz w:val="22"/>
          <w:szCs w:val="22"/>
        </w:rPr>
        <w:t xml:space="preserve">of </w:t>
      </w:r>
      <w:r>
        <w:rPr>
          <w:sz w:val="22"/>
          <w:szCs w:val="22"/>
        </w:rPr>
        <w:t>non-durable and semi-durable recreational and entertainment goods. Durable recreational and entertainment goods</w:t>
      </w:r>
      <w:r w:rsidR="00BF4C54">
        <w:rPr>
          <w:sz w:val="22"/>
          <w:szCs w:val="22"/>
        </w:rPr>
        <w:t>,</w:t>
      </w:r>
      <w:r>
        <w:rPr>
          <w:sz w:val="22"/>
          <w:szCs w:val="22"/>
        </w:rPr>
        <w:t xml:space="preserve"> however, continued on an upward trajectory. </w:t>
      </w:r>
      <w:r>
        <w:rPr>
          <w:sz w:val="22"/>
          <w:szCs w:val="22"/>
        </w:rPr>
        <w:lastRenderedPageBreak/>
        <w:t>This trend can be better seen when the figures have been converted to indices (2015 equals 100) in Figure 11.</w:t>
      </w:r>
    </w:p>
    <w:p w14:paraId="00000388" w14:textId="77777777" w:rsidR="00F8269C" w:rsidRDefault="00450D2D">
      <w:r>
        <w:rPr>
          <w:noProof/>
        </w:rPr>
        <w:drawing>
          <wp:inline distT="0" distB="0" distL="0" distR="0" wp14:anchorId="2F3EC3CE" wp14:editId="15EA8F74">
            <wp:extent cx="5731510" cy="4157980"/>
            <wp:effectExtent l="0" t="0" r="0" b="0"/>
            <wp:docPr id="317" name="Chart 3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0000389" w14:textId="6F240C5E" w:rsidR="00F8269C" w:rsidRDefault="00450D2D">
      <w:pPr>
        <w:pBdr>
          <w:top w:val="nil"/>
          <w:left w:val="nil"/>
          <w:bottom w:val="nil"/>
          <w:right w:val="nil"/>
          <w:between w:val="nil"/>
        </w:pBdr>
        <w:spacing w:after="200" w:line="240" w:lineRule="auto"/>
        <w:rPr>
          <w:i/>
          <w:color w:val="44546A"/>
          <w:sz w:val="18"/>
          <w:szCs w:val="18"/>
        </w:rPr>
      </w:pPr>
      <w:r>
        <w:rPr>
          <w:i/>
          <w:color w:val="44546A"/>
          <w:sz w:val="18"/>
          <w:szCs w:val="18"/>
        </w:rPr>
        <w:t xml:space="preserve">Figure 11: Index of </w:t>
      </w:r>
      <w:r w:rsidR="009D4963">
        <w:rPr>
          <w:i/>
          <w:color w:val="44546A"/>
          <w:sz w:val="18"/>
          <w:szCs w:val="18"/>
        </w:rPr>
        <w:t xml:space="preserve">consumption </w:t>
      </w:r>
      <w:r>
        <w:rPr>
          <w:i/>
          <w:color w:val="44546A"/>
          <w:sz w:val="18"/>
          <w:szCs w:val="18"/>
        </w:rPr>
        <w:t>expenditure of Recreation and Entertainment goods and services</w:t>
      </w:r>
    </w:p>
    <w:p w14:paraId="0000038A" w14:textId="77777777" w:rsidR="00F8269C" w:rsidRPr="009D3DA2" w:rsidRDefault="00450D2D">
      <w:pPr>
        <w:rPr>
          <w:sz w:val="18"/>
          <w:szCs w:val="18"/>
        </w:rPr>
      </w:pPr>
      <w:r w:rsidRPr="009D3DA2">
        <w:rPr>
          <w:sz w:val="18"/>
          <w:szCs w:val="18"/>
        </w:rPr>
        <w:t>Source: SARB (2015), Quantec (2005) and own calculations</w:t>
      </w:r>
    </w:p>
    <w:p w14:paraId="0000038B" w14:textId="77777777" w:rsidR="00F8269C" w:rsidRDefault="00450D2D">
      <w:pPr>
        <w:pStyle w:val="Heading1"/>
        <w:numPr>
          <w:ilvl w:val="0"/>
          <w:numId w:val="5"/>
        </w:numPr>
      </w:pPr>
      <w:bookmarkStart w:id="117" w:name="_Toc93842793"/>
      <w:bookmarkStart w:id="118" w:name="_Toc93842979"/>
      <w:bookmarkStart w:id="119" w:name="_Toc93843357"/>
      <w:r>
        <w:t>Inflation</w:t>
      </w:r>
      <w:bookmarkEnd w:id="117"/>
      <w:bookmarkEnd w:id="118"/>
      <w:bookmarkEnd w:id="119"/>
    </w:p>
    <w:p w14:paraId="0000038C" w14:textId="334BF8D6" w:rsidR="00F8269C" w:rsidRDefault="00450D2D" w:rsidP="004D3CE6">
      <w:pPr>
        <w:jc w:val="both"/>
        <w:rPr>
          <w:sz w:val="22"/>
          <w:szCs w:val="22"/>
        </w:rPr>
      </w:pPr>
      <w:r>
        <w:rPr>
          <w:sz w:val="22"/>
          <w:szCs w:val="22"/>
        </w:rPr>
        <w:t>Inflation</w:t>
      </w:r>
      <w:r>
        <w:rPr>
          <w:sz w:val="22"/>
          <w:szCs w:val="22"/>
          <w:vertAlign w:val="superscript"/>
        </w:rPr>
        <w:footnoteReference w:id="11"/>
      </w:r>
      <w:r>
        <w:rPr>
          <w:sz w:val="22"/>
          <w:szCs w:val="22"/>
        </w:rPr>
        <w:t xml:space="preserve"> refers to a general progressive increase in prices of goods and services in an economy. With price level rises, each unit of currency buys fewer goods and services and leads to a reduction in the purchasing power of money. Inflation also influences the cost of manufacturing goods and services. There are several measures of the price level</w:t>
      </w:r>
      <w:r w:rsidR="00666966">
        <w:rPr>
          <w:sz w:val="22"/>
          <w:szCs w:val="22"/>
        </w:rPr>
        <w:t>,</w:t>
      </w:r>
      <w:r>
        <w:rPr>
          <w:sz w:val="22"/>
          <w:szCs w:val="22"/>
        </w:rPr>
        <w:t xml:space="preserve"> including the Consumer Price Index (CPI), the Producer Price index (PPI) and the GDP deflator. These are broad or weighted average price indices.</w:t>
      </w:r>
    </w:p>
    <w:p w14:paraId="0000038D" w14:textId="77777777" w:rsidR="00F8269C" w:rsidRDefault="00450D2D" w:rsidP="004D3CE6">
      <w:pPr>
        <w:jc w:val="both"/>
        <w:rPr>
          <w:sz w:val="22"/>
          <w:szCs w:val="22"/>
        </w:rPr>
      </w:pPr>
      <w:r>
        <w:rPr>
          <w:sz w:val="22"/>
          <w:szCs w:val="22"/>
        </w:rPr>
        <w:t>Prices will not all increase at the same rates. Each component of the “basket” can have its own inflation. The amount of each product or service demanded depends on the various elasticities. (Elasticity measures the percentage change of one economic variable in response to a change in another.) If the price of a good or service rises (generally relative to other goods or services), the demand for that good or service would be expected to drop. How much demand drops (if at all) depends on its price elasticity of demand.</w:t>
      </w:r>
    </w:p>
    <w:p w14:paraId="0000038E" w14:textId="3F980F9A" w:rsidR="00F8269C" w:rsidRDefault="00450D2D" w:rsidP="004D3CE6">
      <w:pPr>
        <w:jc w:val="both"/>
        <w:rPr>
          <w:sz w:val="22"/>
          <w:szCs w:val="22"/>
        </w:rPr>
      </w:pPr>
      <w:r>
        <w:rPr>
          <w:sz w:val="22"/>
          <w:szCs w:val="22"/>
        </w:rPr>
        <w:t xml:space="preserve">Graphical depictions of the CPI, used as a measure of price change over time, for a variety of cultural and creative industries in </w:t>
      </w:r>
      <w:sdt>
        <w:sdtPr>
          <w:tag w:val="goog_rdk_58"/>
          <w:id w:val="-923807120"/>
        </w:sdtPr>
        <w:sdtEndPr/>
        <w:sdtContent/>
      </w:sdt>
      <w:r>
        <w:rPr>
          <w:sz w:val="22"/>
          <w:szCs w:val="22"/>
        </w:rPr>
        <w:t xml:space="preserve">South </w:t>
      </w:r>
      <w:r w:rsidR="00163C1E">
        <w:rPr>
          <w:sz w:val="22"/>
          <w:szCs w:val="22"/>
        </w:rPr>
        <w:t xml:space="preserve">Africa </w:t>
      </w:r>
      <w:r>
        <w:rPr>
          <w:sz w:val="22"/>
          <w:szCs w:val="22"/>
        </w:rPr>
        <w:t xml:space="preserve">are shown in Figures 12 to 15 below. The prices of recreation and culture, and recreational equipment have generally risen slower than South </w:t>
      </w:r>
      <w:r>
        <w:rPr>
          <w:sz w:val="22"/>
          <w:szCs w:val="22"/>
        </w:rPr>
        <w:lastRenderedPageBreak/>
        <w:t xml:space="preserve">Africa’s overall inflation rate. Similarly, the prices of books, newspapers and stationery have risen more slowly than for other goods and services, generally declining since 2002. This may in part be because of the way that digital online products are affecting this domain. When disaggregating books from newspapers and periodicals, the drop in price of books is a main contributor. The prices of cinemas, theatres, and concerts has increased approximately 35 basis points since 2017, while TV licences and </w:t>
      </w:r>
      <w:r w:rsidR="00243DEC">
        <w:rPr>
          <w:sz w:val="22"/>
          <w:szCs w:val="22"/>
        </w:rPr>
        <w:t xml:space="preserve">similar </w:t>
      </w:r>
      <w:r>
        <w:rPr>
          <w:sz w:val="22"/>
          <w:szCs w:val="22"/>
        </w:rPr>
        <w:t xml:space="preserve">subscriptions </w:t>
      </w:r>
      <w:sdt>
        <w:sdtPr>
          <w:tag w:val="goog_rdk_59"/>
          <w:id w:val="-1583520125"/>
        </w:sdtPr>
        <w:sdtEndPr/>
        <w:sdtContent/>
      </w:sdt>
      <w:r>
        <w:rPr>
          <w:sz w:val="22"/>
          <w:szCs w:val="22"/>
        </w:rPr>
        <w:t>ha</w:t>
      </w:r>
      <w:r w:rsidR="00163C1E">
        <w:rPr>
          <w:sz w:val="22"/>
          <w:szCs w:val="22"/>
        </w:rPr>
        <w:t>ve</w:t>
      </w:r>
      <w:r>
        <w:rPr>
          <w:sz w:val="22"/>
          <w:szCs w:val="22"/>
        </w:rPr>
        <w:t xml:space="preserve"> only risen by </w:t>
      </w:r>
      <w:r w:rsidR="00D878DE">
        <w:rPr>
          <w:sz w:val="22"/>
          <w:szCs w:val="22"/>
        </w:rPr>
        <w:t>five</w:t>
      </w:r>
      <w:r>
        <w:rPr>
          <w:sz w:val="22"/>
          <w:szCs w:val="22"/>
        </w:rPr>
        <w:t xml:space="preserve"> basis points over the same period.</w:t>
      </w:r>
    </w:p>
    <w:p w14:paraId="0000038F" w14:textId="77777777" w:rsidR="00F8269C" w:rsidRDefault="00450D2D">
      <w:pPr>
        <w:keepNext/>
      </w:pPr>
      <w:r>
        <w:rPr>
          <w:noProof/>
        </w:rPr>
        <w:drawing>
          <wp:inline distT="0" distB="0" distL="0" distR="0" wp14:anchorId="628E11E8" wp14:editId="7F51D708">
            <wp:extent cx="5731510" cy="3619500"/>
            <wp:effectExtent l="0" t="0" r="0" b="0"/>
            <wp:docPr id="318" name="Chart 3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0000390" w14:textId="77777777" w:rsidR="00F8269C" w:rsidRDefault="00450D2D">
      <w:pPr>
        <w:pBdr>
          <w:top w:val="nil"/>
          <w:left w:val="nil"/>
          <w:bottom w:val="nil"/>
          <w:right w:val="nil"/>
          <w:between w:val="nil"/>
        </w:pBdr>
        <w:spacing w:after="200" w:line="240" w:lineRule="auto"/>
        <w:rPr>
          <w:i/>
          <w:color w:val="44546A"/>
          <w:sz w:val="18"/>
          <w:szCs w:val="18"/>
        </w:rPr>
      </w:pPr>
      <w:r>
        <w:rPr>
          <w:i/>
          <w:color w:val="44546A"/>
          <w:sz w:val="18"/>
          <w:szCs w:val="18"/>
        </w:rPr>
        <w:t>Figure 12: South Africa’s CPI and CPI of selected CCIs</w:t>
      </w:r>
    </w:p>
    <w:p w14:paraId="00000391" w14:textId="77777777" w:rsidR="00F8269C" w:rsidRPr="009D3DA2" w:rsidRDefault="00450D2D">
      <w:pPr>
        <w:rPr>
          <w:sz w:val="18"/>
          <w:szCs w:val="18"/>
        </w:rPr>
      </w:pPr>
      <w:r w:rsidRPr="009D3DA2">
        <w:rPr>
          <w:sz w:val="18"/>
          <w:szCs w:val="18"/>
        </w:rPr>
        <w:t>Source: Own calculations based on Stats SA (2021) and Quantec (2021)</w:t>
      </w:r>
    </w:p>
    <w:p w14:paraId="00000392" w14:textId="77777777" w:rsidR="00F8269C" w:rsidRDefault="00450D2D">
      <w:pPr>
        <w:keepNext/>
      </w:pPr>
      <w:r>
        <w:rPr>
          <w:noProof/>
        </w:rPr>
        <w:lastRenderedPageBreak/>
        <w:drawing>
          <wp:inline distT="0" distB="0" distL="0" distR="0" wp14:anchorId="01B34160" wp14:editId="54DFAFE7">
            <wp:extent cx="5731510" cy="3272155"/>
            <wp:effectExtent l="0" t="0" r="0" b="0"/>
            <wp:docPr id="319" name="Chart 3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0000393" w14:textId="77777777" w:rsidR="00F8269C" w:rsidRDefault="00450D2D">
      <w:pPr>
        <w:pBdr>
          <w:top w:val="nil"/>
          <w:left w:val="nil"/>
          <w:bottom w:val="nil"/>
          <w:right w:val="nil"/>
          <w:between w:val="nil"/>
        </w:pBdr>
        <w:spacing w:after="200" w:line="240" w:lineRule="auto"/>
        <w:rPr>
          <w:i/>
          <w:color w:val="44546A"/>
          <w:sz w:val="18"/>
          <w:szCs w:val="18"/>
        </w:rPr>
      </w:pPr>
      <w:r>
        <w:rPr>
          <w:i/>
          <w:color w:val="44546A"/>
          <w:sz w:val="18"/>
          <w:szCs w:val="18"/>
        </w:rPr>
        <w:t>Figure 13: CPI of books and newspapers and periodicals</w:t>
      </w:r>
    </w:p>
    <w:p w14:paraId="00000394" w14:textId="77777777" w:rsidR="00F8269C" w:rsidRPr="009D3DA2" w:rsidRDefault="00450D2D">
      <w:pPr>
        <w:rPr>
          <w:sz w:val="18"/>
          <w:szCs w:val="18"/>
        </w:rPr>
      </w:pPr>
      <w:r w:rsidRPr="009D3DA2">
        <w:rPr>
          <w:sz w:val="18"/>
          <w:szCs w:val="18"/>
        </w:rPr>
        <w:t>Source: Own calculations based on Stats SA (2021) and Quantec (2021)</w:t>
      </w:r>
    </w:p>
    <w:p w14:paraId="00000395" w14:textId="77777777" w:rsidR="00F8269C" w:rsidRDefault="00450D2D">
      <w:pPr>
        <w:keepNext/>
      </w:pPr>
      <w:r>
        <w:rPr>
          <w:noProof/>
        </w:rPr>
        <w:drawing>
          <wp:inline distT="0" distB="0" distL="0" distR="0" wp14:anchorId="246C1B52" wp14:editId="6260E092">
            <wp:extent cx="5731510" cy="3552825"/>
            <wp:effectExtent l="0" t="0" r="0" b="0"/>
            <wp:docPr id="320" name="Chart 3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0000396" w14:textId="77777777" w:rsidR="00F8269C" w:rsidRDefault="00450D2D">
      <w:pPr>
        <w:pBdr>
          <w:top w:val="nil"/>
          <w:left w:val="nil"/>
          <w:bottom w:val="nil"/>
          <w:right w:val="nil"/>
          <w:between w:val="nil"/>
        </w:pBdr>
        <w:spacing w:after="200" w:line="240" w:lineRule="auto"/>
        <w:rPr>
          <w:i/>
          <w:color w:val="44546A"/>
          <w:sz w:val="18"/>
          <w:szCs w:val="18"/>
        </w:rPr>
      </w:pPr>
      <w:r>
        <w:rPr>
          <w:i/>
          <w:color w:val="44546A"/>
          <w:sz w:val="18"/>
          <w:szCs w:val="18"/>
        </w:rPr>
        <w:t>Figure 14: CPI of Cinema and TV</w:t>
      </w:r>
    </w:p>
    <w:p w14:paraId="00000397" w14:textId="77777777" w:rsidR="00F8269C" w:rsidRPr="009D3DA2" w:rsidRDefault="00450D2D">
      <w:pPr>
        <w:rPr>
          <w:sz w:val="18"/>
          <w:szCs w:val="18"/>
        </w:rPr>
      </w:pPr>
      <w:r w:rsidRPr="009D3DA2">
        <w:rPr>
          <w:sz w:val="18"/>
          <w:szCs w:val="18"/>
        </w:rPr>
        <w:t>Source: Own calculations based on Stats SA (2021) and Quantec (2021)</w:t>
      </w:r>
    </w:p>
    <w:p w14:paraId="2CA7DED9" w14:textId="028D27FC" w:rsidR="00666966" w:rsidRDefault="00450D2D" w:rsidP="004D3CE6">
      <w:pPr>
        <w:jc w:val="both"/>
        <w:rPr>
          <w:sz w:val="22"/>
          <w:szCs w:val="22"/>
        </w:rPr>
      </w:pPr>
      <w:r>
        <w:rPr>
          <w:sz w:val="22"/>
          <w:szCs w:val="22"/>
        </w:rPr>
        <w:t>The prices of musical instruments have been rather volatile. It is noteworthy to see a slight drop in prices at the beginning of 2020 with COVID-19. A SACO study of the impact of COVID-19 on the live music sector found that some musicians reported selling their equipment in order to survive.</w:t>
      </w:r>
    </w:p>
    <w:p w14:paraId="00000398" w14:textId="0B112AE9" w:rsidR="00F8269C" w:rsidRDefault="00450D2D">
      <w:pPr>
        <w:jc w:val="both"/>
      </w:pPr>
      <w:r>
        <w:rPr>
          <w:noProof/>
        </w:rPr>
        <w:lastRenderedPageBreak/>
        <w:drawing>
          <wp:inline distT="0" distB="0" distL="0" distR="0" wp14:anchorId="39941B54" wp14:editId="01E93AA3">
            <wp:extent cx="5731510" cy="2981325"/>
            <wp:effectExtent l="0" t="0" r="0" b="0"/>
            <wp:docPr id="321" name="Chart 3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0000399" w14:textId="77777777" w:rsidR="00F8269C" w:rsidRDefault="00450D2D">
      <w:pPr>
        <w:pBdr>
          <w:top w:val="nil"/>
          <w:left w:val="nil"/>
          <w:bottom w:val="nil"/>
          <w:right w:val="nil"/>
          <w:between w:val="nil"/>
        </w:pBdr>
        <w:spacing w:after="200" w:line="240" w:lineRule="auto"/>
        <w:rPr>
          <w:i/>
          <w:color w:val="44546A"/>
          <w:sz w:val="18"/>
          <w:szCs w:val="18"/>
        </w:rPr>
      </w:pPr>
      <w:r>
        <w:rPr>
          <w:i/>
          <w:color w:val="44546A"/>
          <w:sz w:val="18"/>
          <w:szCs w:val="18"/>
        </w:rPr>
        <w:t>Figure 15: CPI of musical instruments</w:t>
      </w:r>
    </w:p>
    <w:p w14:paraId="731D34BF" w14:textId="77777777" w:rsidR="00F650CD" w:rsidRPr="009D3DA2" w:rsidRDefault="00F650CD" w:rsidP="00F650CD">
      <w:pPr>
        <w:rPr>
          <w:sz w:val="18"/>
          <w:szCs w:val="18"/>
        </w:rPr>
      </w:pPr>
      <w:r w:rsidRPr="009D3DA2">
        <w:rPr>
          <w:sz w:val="18"/>
          <w:szCs w:val="18"/>
        </w:rPr>
        <w:t>Source: Own calculations based on Stats SA (2021) and Quantec (2021)</w:t>
      </w:r>
    </w:p>
    <w:p w14:paraId="0000039A" w14:textId="77777777" w:rsidR="00F8269C" w:rsidRDefault="00F8269C"/>
    <w:p w14:paraId="0000039B" w14:textId="77777777" w:rsidR="00F8269C" w:rsidRDefault="00450D2D">
      <w:pPr>
        <w:pStyle w:val="Heading1"/>
        <w:numPr>
          <w:ilvl w:val="0"/>
          <w:numId w:val="5"/>
        </w:numPr>
      </w:pPr>
      <w:bookmarkStart w:id="120" w:name="_Toc93842794"/>
      <w:bookmarkStart w:id="121" w:name="_Toc93842980"/>
      <w:bookmarkStart w:id="122" w:name="_Toc93843358"/>
      <w:r>
        <w:t>Critique of the System of National Accounts</w:t>
      </w:r>
      <w:bookmarkEnd w:id="120"/>
      <w:bookmarkEnd w:id="121"/>
      <w:bookmarkEnd w:id="122"/>
    </w:p>
    <w:p w14:paraId="0000039C" w14:textId="647AB6B8" w:rsidR="00F8269C" w:rsidRDefault="00450D2D" w:rsidP="004D3CE6">
      <w:pPr>
        <w:jc w:val="both"/>
        <w:rPr>
          <w:sz w:val="22"/>
          <w:szCs w:val="22"/>
        </w:rPr>
      </w:pPr>
      <w:r>
        <w:rPr>
          <w:sz w:val="22"/>
          <w:szCs w:val="22"/>
        </w:rPr>
        <w:t>The SNA 2008 (United Nations, 2009) is an update of previous versions devised by the UN that is based on internationally agreed concepts, definitions, classification and accounting rules (Mohr, 2005). It is a coherent and integrated set of accounts that allows for international comparison. It can be a powerful analytical tool containing a rich set of information. Unfortunately, this richness is not always apparent or sufficient (European Union, 2016). The SNA is based on historic practices and needs as well as the technology that prevailed in the past. The classifications are therefore not always suitable to meet the needs of policy-makers in an ever-changing technological landscape. The information from the SNA needs to be “further detailed, re-worked, re-packaged, or expanded in order to be effectively used to address more specific, policy questions” (Svirchevskyy, 2021).</w:t>
      </w:r>
    </w:p>
    <w:p w14:paraId="0000039D" w14:textId="52C09060" w:rsidR="00F8269C" w:rsidRDefault="00450D2D" w:rsidP="004D3CE6">
      <w:pPr>
        <w:jc w:val="both"/>
        <w:rPr>
          <w:sz w:val="22"/>
          <w:szCs w:val="22"/>
        </w:rPr>
      </w:pPr>
      <w:r>
        <w:rPr>
          <w:sz w:val="22"/>
          <w:szCs w:val="22"/>
        </w:rPr>
        <w:t xml:space="preserve">Although the SNA and Stats SA data are generally very useful, South Africa faces the same problem as practically all countries in that there is a paucity of CCI-related data. Whatever data are available cannot always be standardised easily to make </w:t>
      </w:r>
      <w:r w:rsidR="008E2514">
        <w:rPr>
          <w:sz w:val="22"/>
          <w:szCs w:val="22"/>
        </w:rPr>
        <w:t xml:space="preserve">them </w:t>
      </w:r>
      <w:r>
        <w:rPr>
          <w:sz w:val="22"/>
          <w:szCs w:val="22"/>
        </w:rPr>
        <w:t>comparable or even compatible. This report has used numerous econometric techniques to develop models that can be used to extract the CCI-related data.</w:t>
      </w:r>
    </w:p>
    <w:p w14:paraId="0000039E" w14:textId="77777777" w:rsidR="00F8269C" w:rsidRDefault="00450D2D">
      <w:pPr>
        <w:pStyle w:val="Heading1"/>
        <w:numPr>
          <w:ilvl w:val="0"/>
          <w:numId w:val="5"/>
        </w:numPr>
      </w:pPr>
      <w:bookmarkStart w:id="123" w:name="_Toc93842795"/>
      <w:bookmarkStart w:id="124" w:name="_Toc93842981"/>
      <w:bookmarkStart w:id="125" w:name="_Toc93843359"/>
      <w:r>
        <w:t>Conclusion and Implications</w:t>
      </w:r>
      <w:bookmarkEnd w:id="123"/>
      <w:bookmarkEnd w:id="124"/>
      <w:bookmarkEnd w:id="125"/>
    </w:p>
    <w:p w14:paraId="0000039F" w14:textId="5A14D993" w:rsidR="00F8269C" w:rsidRDefault="00450D2D" w:rsidP="009D3DA2">
      <w:pPr>
        <w:jc w:val="both"/>
        <w:rPr>
          <w:sz w:val="24"/>
          <w:szCs w:val="24"/>
        </w:rPr>
      </w:pPr>
      <w:r>
        <w:rPr>
          <w:sz w:val="22"/>
          <w:szCs w:val="22"/>
        </w:rPr>
        <w:t xml:space="preserve">Although the information provided in this chapter, which makes up Chapter 1 of the SACO 2022 </w:t>
      </w:r>
      <w:r w:rsidR="004914E3">
        <w:rPr>
          <w:sz w:val="22"/>
          <w:szCs w:val="22"/>
        </w:rPr>
        <w:t>M</w:t>
      </w:r>
      <w:r>
        <w:rPr>
          <w:sz w:val="22"/>
          <w:szCs w:val="22"/>
        </w:rPr>
        <w:t xml:space="preserve">apping </w:t>
      </w:r>
      <w:r w:rsidR="004914E3">
        <w:rPr>
          <w:sz w:val="22"/>
          <w:szCs w:val="22"/>
        </w:rPr>
        <w:t>S</w:t>
      </w:r>
      <w:r>
        <w:rPr>
          <w:sz w:val="22"/>
          <w:szCs w:val="22"/>
        </w:rPr>
        <w:t xml:space="preserve">tudy, is economic </w:t>
      </w:r>
      <w:r w:rsidR="008E2514">
        <w:rPr>
          <w:sz w:val="22"/>
          <w:szCs w:val="22"/>
        </w:rPr>
        <w:t xml:space="preserve">in </w:t>
      </w:r>
      <w:r>
        <w:rPr>
          <w:sz w:val="22"/>
          <w:szCs w:val="22"/>
        </w:rPr>
        <w:t xml:space="preserve">nature, it is important to note that cultural and creative activities have an intrinsic value that can contribute to areas such as nation building and social cohesion. Nevertheless, highlighting the size of the CCIs in terms of its contribution to GDP (larger than the agricultural sector) emphasises </w:t>
      </w:r>
      <w:r w:rsidR="008E2514">
        <w:rPr>
          <w:sz w:val="22"/>
          <w:szCs w:val="22"/>
        </w:rPr>
        <w:t xml:space="preserve">the </w:t>
      </w:r>
      <w:r>
        <w:rPr>
          <w:sz w:val="22"/>
          <w:szCs w:val="22"/>
        </w:rPr>
        <w:t xml:space="preserve">importance </w:t>
      </w:r>
      <w:r w:rsidR="008E2514">
        <w:rPr>
          <w:sz w:val="22"/>
          <w:szCs w:val="22"/>
        </w:rPr>
        <w:t xml:space="preserve">of CCIs </w:t>
      </w:r>
      <w:r>
        <w:rPr>
          <w:sz w:val="22"/>
          <w:szCs w:val="22"/>
        </w:rPr>
        <w:t>as a sector in its own right.</w:t>
      </w:r>
    </w:p>
    <w:p w14:paraId="000003A0" w14:textId="77777777" w:rsidR="00F8269C" w:rsidRDefault="00450D2D" w:rsidP="009D3DA2">
      <w:pPr>
        <w:jc w:val="both"/>
        <w:rPr>
          <w:sz w:val="24"/>
          <w:szCs w:val="24"/>
        </w:rPr>
      </w:pPr>
      <w:r>
        <w:rPr>
          <w:sz w:val="22"/>
          <w:szCs w:val="22"/>
        </w:rPr>
        <w:t xml:space="preserve">A particular challenge that was faced in the compilation of this chapter was the rebasing of economic statistics from the 2010 base year to 2015. This required the researchers to firstly </w:t>
      </w:r>
      <w:r>
        <w:rPr>
          <w:sz w:val="22"/>
          <w:szCs w:val="22"/>
        </w:rPr>
        <w:lastRenderedPageBreak/>
        <w:t>wait for the new data to be published and then to re-estimate the various indicators. The data that is published in this chapter has been re-estimated to 1993 in some cases. This makes it possible to compare various years and see where progress has been made. Because of the rebasing, the data in this chapter is not always directly comparable to SACO’s previous mapping studies. However, because of the rebasing and additional data sources, the data presented is more representative and therefore more accurate. The findings justify the view that the creative economy can indeed be South Africa’s “new gold” as proposed with the publication of the Mzansi Golden Economy report (Gurney, 2012).</w:t>
      </w:r>
    </w:p>
    <w:p w14:paraId="000003A1" w14:textId="02B7024C" w:rsidR="00F8269C" w:rsidRDefault="00450D2D" w:rsidP="009D3DA2">
      <w:pPr>
        <w:jc w:val="both"/>
        <w:rPr>
          <w:sz w:val="22"/>
          <w:szCs w:val="22"/>
        </w:rPr>
      </w:pPr>
      <w:r>
        <w:rPr>
          <w:sz w:val="22"/>
          <w:szCs w:val="22"/>
        </w:rPr>
        <w:t>The chapter analysed both the supply and the demand sides of South Africa’s creative economy. The most important ingredient on the supply side is creativity. Although South Africa has an abundance of creativity, this component was not measured or given a monetary value. The study did</w:t>
      </w:r>
      <w:r w:rsidR="008E2514">
        <w:rPr>
          <w:sz w:val="22"/>
          <w:szCs w:val="22"/>
        </w:rPr>
        <w:t>,</w:t>
      </w:r>
      <w:r>
        <w:rPr>
          <w:sz w:val="22"/>
          <w:szCs w:val="22"/>
        </w:rPr>
        <w:t xml:space="preserve"> however</w:t>
      </w:r>
      <w:r w:rsidR="008E2514">
        <w:rPr>
          <w:sz w:val="22"/>
          <w:szCs w:val="22"/>
        </w:rPr>
        <w:t>,</w:t>
      </w:r>
      <w:r>
        <w:rPr>
          <w:sz w:val="22"/>
          <w:szCs w:val="22"/>
        </w:rPr>
        <w:t xml:space="preserve"> measure the inputs that are required to produce CCI products and services from other sectors of the economy.</w:t>
      </w:r>
    </w:p>
    <w:p w14:paraId="000003A2" w14:textId="7C43949B" w:rsidR="00F8269C" w:rsidRDefault="00450D2D" w:rsidP="009D3DA2">
      <w:pPr>
        <w:jc w:val="both"/>
        <w:rPr>
          <w:sz w:val="22"/>
          <w:szCs w:val="22"/>
        </w:rPr>
      </w:pPr>
      <w:r>
        <w:rPr>
          <w:sz w:val="22"/>
          <w:szCs w:val="22"/>
        </w:rPr>
        <w:t>Perhaps one of the important findings of this chapter is the unexpected size of the CCIs relative to the South African economy. The sector is relatively larger than previously estimated. Given its size, the importance of its inputs to other sectors, and its ability to provide jobs, the sector needs to be fostered and developed.</w:t>
      </w:r>
    </w:p>
    <w:p w14:paraId="000003A3" w14:textId="47A90901" w:rsidR="00F8269C" w:rsidRDefault="00450D2D" w:rsidP="009D3DA2">
      <w:pPr>
        <w:jc w:val="both"/>
        <w:rPr>
          <w:sz w:val="22"/>
          <w:szCs w:val="22"/>
        </w:rPr>
      </w:pPr>
      <w:r>
        <w:rPr>
          <w:sz w:val="22"/>
          <w:szCs w:val="22"/>
        </w:rPr>
        <w:t xml:space="preserve">Analysis of CCI domains clearly showed there are three groups of CCI domains. The first group, Cultural and Natural Heritage </w:t>
      </w:r>
      <w:r w:rsidR="008E2514">
        <w:rPr>
          <w:sz w:val="22"/>
          <w:szCs w:val="22"/>
        </w:rPr>
        <w:t>and</w:t>
      </w:r>
      <w:r>
        <w:rPr>
          <w:sz w:val="22"/>
          <w:szCs w:val="22"/>
        </w:rPr>
        <w:t xml:space="preserve"> Performance and Celebration</w:t>
      </w:r>
      <w:r w:rsidR="008E2514">
        <w:rPr>
          <w:sz w:val="22"/>
          <w:szCs w:val="22"/>
        </w:rPr>
        <w:t>,</w:t>
      </w:r>
      <w:r>
        <w:rPr>
          <w:sz w:val="22"/>
          <w:szCs w:val="22"/>
        </w:rPr>
        <w:t xml:space="preserve"> are relatively small in terms of their contribution to GDP but have strong roots and assets that have been built up over the years. They are growing slowly and must be preserved and supported to continue this growth in the future.</w:t>
      </w:r>
    </w:p>
    <w:p w14:paraId="000003A4" w14:textId="70640FD4" w:rsidR="00F8269C" w:rsidRDefault="00450D2D" w:rsidP="009D3DA2">
      <w:pPr>
        <w:jc w:val="both"/>
        <w:rPr>
          <w:sz w:val="24"/>
          <w:szCs w:val="24"/>
        </w:rPr>
      </w:pPr>
      <w:r>
        <w:rPr>
          <w:sz w:val="22"/>
          <w:szCs w:val="22"/>
        </w:rPr>
        <w:t>The second group</w:t>
      </w:r>
      <w:r w:rsidR="008E2514">
        <w:rPr>
          <w:sz w:val="22"/>
          <w:szCs w:val="22"/>
        </w:rPr>
        <w:t>,</w:t>
      </w:r>
      <w:r>
        <w:rPr>
          <w:sz w:val="22"/>
          <w:szCs w:val="22"/>
        </w:rPr>
        <w:t xml:space="preserve"> Visual Arts and Crafts and Books and Press domains</w:t>
      </w:r>
      <w:r w:rsidR="00107E67">
        <w:rPr>
          <w:sz w:val="22"/>
          <w:szCs w:val="22"/>
        </w:rPr>
        <w:t>,</w:t>
      </w:r>
      <w:r>
        <w:rPr>
          <w:sz w:val="22"/>
          <w:szCs w:val="22"/>
        </w:rPr>
        <w:t xml:space="preserve"> are in the middle both in the size of their contribution to GDP and their growth potential. A concern is that the GDP contributions of both these domains have fallen in recent times, even before the COVID-19 pandemic of 2020.The third group</w:t>
      </w:r>
      <w:r w:rsidR="00107E67">
        <w:rPr>
          <w:sz w:val="22"/>
          <w:szCs w:val="22"/>
        </w:rPr>
        <w:t>,</w:t>
      </w:r>
      <w:r>
        <w:rPr>
          <w:sz w:val="22"/>
          <w:szCs w:val="22"/>
        </w:rPr>
        <w:t xml:space="preserve"> comprising Audio-visual and Interactive Media </w:t>
      </w:r>
      <w:r w:rsidR="00107E67">
        <w:rPr>
          <w:sz w:val="22"/>
          <w:szCs w:val="22"/>
        </w:rPr>
        <w:t>and</w:t>
      </w:r>
      <w:r>
        <w:rPr>
          <w:sz w:val="22"/>
          <w:szCs w:val="22"/>
        </w:rPr>
        <w:t xml:space="preserve"> Design and Creative Services domains</w:t>
      </w:r>
      <w:r w:rsidR="00107E67">
        <w:rPr>
          <w:sz w:val="22"/>
          <w:szCs w:val="22"/>
        </w:rPr>
        <w:t>,</w:t>
      </w:r>
      <w:r>
        <w:rPr>
          <w:sz w:val="22"/>
          <w:szCs w:val="22"/>
        </w:rPr>
        <w:t xml:space="preserve"> </w:t>
      </w:r>
      <w:r w:rsidR="00107E67">
        <w:rPr>
          <w:sz w:val="22"/>
          <w:szCs w:val="22"/>
        </w:rPr>
        <w:t xml:space="preserve">relies </w:t>
      </w:r>
      <w:r>
        <w:rPr>
          <w:sz w:val="22"/>
          <w:szCs w:val="22"/>
        </w:rPr>
        <w:t xml:space="preserve">less on culture and more on creativity and technology. </w:t>
      </w:r>
      <w:r w:rsidR="00107E67">
        <w:rPr>
          <w:sz w:val="22"/>
          <w:szCs w:val="22"/>
        </w:rPr>
        <w:t xml:space="preserve">These </w:t>
      </w:r>
      <w:r>
        <w:rPr>
          <w:sz w:val="22"/>
          <w:szCs w:val="22"/>
        </w:rPr>
        <w:t xml:space="preserve">are growing faster and </w:t>
      </w:r>
      <w:r w:rsidR="00163C1E">
        <w:rPr>
          <w:sz w:val="22"/>
          <w:szCs w:val="22"/>
        </w:rPr>
        <w:t xml:space="preserve">are </w:t>
      </w:r>
      <w:r>
        <w:rPr>
          <w:sz w:val="22"/>
          <w:szCs w:val="22"/>
        </w:rPr>
        <w:t>the two largest domains.</w:t>
      </w:r>
    </w:p>
    <w:p w14:paraId="000003A5" w14:textId="49C02DCD" w:rsidR="00F8269C" w:rsidRDefault="00450D2D" w:rsidP="009D3DA2">
      <w:pPr>
        <w:jc w:val="both"/>
        <w:rPr>
          <w:sz w:val="24"/>
          <w:szCs w:val="24"/>
        </w:rPr>
      </w:pPr>
      <w:r>
        <w:rPr>
          <w:sz w:val="22"/>
          <w:szCs w:val="22"/>
        </w:rPr>
        <w:t>This chapter did not look at the importance of preserving South Africa’s cultural heritage but the country has assets that contribute to the CCI economy. Unfortunately, it can be clearly seen that the Cultural and Natural Heritage domain has been static for the past few years. Similarly, given South Africa’s rich heritage it is also surprising to see that the</w:t>
      </w:r>
      <w:r>
        <w:rPr>
          <w:sz w:val="24"/>
          <w:szCs w:val="24"/>
        </w:rPr>
        <w:t xml:space="preserve"> </w:t>
      </w:r>
      <w:r>
        <w:rPr>
          <w:sz w:val="22"/>
          <w:szCs w:val="22"/>
        </w:rPr>
        <w:t xml:space="preserve">Performance and Celebration domain is both small and static. Both these domains need to be nurtured and efforts made to retain and grow the country’s talent as well as </w:t>
      </w:r>
      <w:r w:rsidR="00107E67">
        <w:rPr>
          <w:sz w:val="22"/>
          <w:szCs w:val="22"/>
        </w:rPr>
        <w:t xml:space="preserve">embarking </w:t>
      </w:r>
      <w:r>
        <w:rPr>
          <w:sz w:val="22"/>
          <w:szCs w:val="22"/>
        </w:rPr>
        <w:t>on attracting more audiences to events and visitors to the cultural and natural heritage sites.</w:t>
      </w:r>
    </w:p>
    <w:p w14:paraId="000003A6" w14:textId="3ACB3E29" w:rsidR="00F8269C" w:rsidRDefault="00450D2D" w:rsidP="009D3DA2">
      <w:pPr>
        <w:jc w:val="both"/>
        <w:rPr>
          <w:sz w:val="24"/>
          <w:szCs w:val="24"/>
        </w:rPr>
      </w:pPr>
      <w:r>
        <w:rPr>
          <w:sz w:val="22"/>
          <w:szCs w:val="22"/>
        </w:rPr>
        <w:t xml:space="preserve">The Visual Arts and Crafts domain comprises just under 14% of South Africa’s CCI to the country’s GDP. However, the sector is shrinking, and the study found a drop from just over 15.4% in 2016 to 13.9% in 2020. Although part of the </w:t>
      </w:r>
      <w:r w:rsidR="00163C1E">
        <w:rPr>
          <w:sz w:val="22"/>
          <w:szCs w:val="22"/>
        </w:rPr>
        <w:t>d</w:t>
      </w:r>
      <w:r>
        <w:rPr>
          <w:sz w:val="22"/>
          <w:szCs w:val="22"/>
        </w:rPr>
        <w:t>rop can be attributed to the C</w:t>
      </w:r>
      <w:r w:rsidR="00163C1E">
        <w:rPr>
          <w:sz w:val="22"/>
          <w:szCs w:val="22"/>
        </w:rPr>
        <w:t>OVID</w:t>
      </w:r>
      <w:r>
        <w:rPr>
          <w:sz w:val="22"/>
          <w:szCs w:val="22"/>
        </w:rPr>
        <w:t xml:space="preserve">-19 induced recession, there are other factors. </w:t>
      </w:r>
      <w:r w:rsidR="00107E67">
        <w:rPr>
          <w:sz w:val="22"/>
          <w:szCs w:val="22"/>
        </w:rPr>
        <w:t>C</w:t>
      </w:r>
      <w:r>
        <w:rPr>
          <w:sz w:val="22"/>
          <w:szCs w:val="22"/>
        </w:rPr>
        <w:t>rafts play a small role in the CCI</w:t>
      </w:r>
      <w:r w:rsidR="00107E67">
        <w:rPr>
          <w:sz w:val="22"/>
          <w:szCs w:val="22"/>
        </w:rPr>
        <w:t xml:space="preserve"> </w:t>
      </w:r>
      <w:r>
        <w:rPr>
          <w:sz w:val="22"/>
          <w:szCs w:val="22"/>
        </w:rPr>
        <w:t xml:space="preserve">economy and they may be underreported because of the informal nature of the subsector, </w:t>
      </w:r>
      <w:r w:rsidR="00107E67">
        <w:rPr>
          <w:sz w:val="22"/>
          <w:szCs w:val="22"/>
        </w:rPr>
        <w:t xml:space="preserve">but </w:t>
      </w:r>
      <w:r>
        <w:rPr>
          <w:sz w:val="22"/>
          <w:szCs w:val="22"/>
        </w:rPr>
        <w:t>they do have an important role in providing</w:t>
      </w:r>
      <w:r w:rsidR="00163C1E">
        <w:rPr>
          <w:sz w:val="22"/>
          <w:szCs w:val="22"/>
        </w:rPr>
        <w:t xml:space="preserve"> an</w:t>
      </w:r>
      <w:r>
        <w:rPr>
          <w:sz w:val="22"/>
          <w:szCs w:val="22"/>
        </w:rPr>
        <w:t xml:space="preserve"> </w:t>
      </w:r>
      <w:sdt>
        <w:sdtPr>
          <w:tag w:val="goog_rdk_60"/>
          <w:id w:val="-176048783"/>
        </w:sdtPr>
        <w:sdtEndPr/>
        <w:sdtContent/>
      </w:sdt>
      <w:r>
        <w:rPr>
          <w:sz w:val="22"/>
          <w:szCs w:val="22"/>
        </w:rPr>
        <w:t xml:space="preserve">income </w:t>
      </w:r>
      <w:r w:rsidR="00163C1E">
        <w:rPr>
          <w:sz w:val="22"/>
          <w:szCs w:val="22"/>
        </w:rPr>
        <w:t>for</w:t>
      </w:r>
      <w:r>
        <w:rPr>
          <w:sz w:val="22"/>
          <w:szCs w:val="22"/>
        </w:rPr>
        <w:t xml:space="preserve"> </w:t>
      </w:r>
      <w:r w:rsidR="00163C1E">
        <w:rPr>
          <w:sz w:val="22"/>
          <w:szCs w:val="22"/>
        </w:rPr>
        <w:t xml:space="preserve">people </w:t>
      </w:r>
      <w:r w:rsidR="00107E67">
        <w:rPr>
          <w:sz w:val="22"/>
          <w:szCs w:val="22"/>
        </w:rPr>
        <w:t xml:space="preserve">with </w:t>
      </w:r>
      <w:r w:rsidR="00163C1E">
        <w:rPr>
          <w:sz w:val="22"/>
          <w:szCs w:val="22"/>
        </w:rPr>
        <w:t>lower levels of formal education</w:t>
      </w:r>
      <w:r>
        <w:rPr>
          <w:sz w:val="22"/>
          <w:szCs w:val="22"/>
        </w:rPr>
        <w:t>.</w:t>
      </w:r>
    </w:p>
    <w:p w14:paraId="000003A7" w14:textId="48AFA0A2" w:rsidR="00F8269C" w:rsidRDefault="00450D2D" w:rsidP="009D3DA2">
      <w:pPr>
        <w:jc w:val="both"/>
        <w:rPr>
          <w:sz w:val="24"/>
          <w:szCs w:val="24"/>
        </w:rPr>
      </w:pPr>
      <w:r>
        <w:rPr>
          <w:sz w:val="22"/>
          <w:szCs w:val="22"/>
        </w:rPr>
        <w:t>The Books and Press domain has</w:t>
      </w:r>
      <w:r w:rsidR="00107E67">
        <w:rPr>
          <w:sz w:val="22"/>
          <w:szCs w:val="22"/>
        </w:rPr>
        <w:t xml:space="preserve"> also</w:t>
      </w:r>
      <w:r>
        <w:rPr>
          <w:sz w:val="22"/>
          <w:szCs w:val="22"/>
        </w:rPr>
        <w:t xml:space="preserve"> been shrinking over the past few years. Part of this can be attributed to the fact that there has been a shift to digital books that are currently </w:t>
      </w:r>
      <w:r w:rsidR="00107E67">
        <w:rPr>
          <w:sz w:val="22"/>
          <w:szCs w:val="22"/>
        </w:rPr>
        <w:t xml:space="preserve">being </w:t>
      </w:r>
      <w:r>
        <w:rPr>
          <w:sz w:val="22"/>
          <w:szCs w:val="22"/>
        </w:rPr>
        <w:t>imported. However, reading competes with many other forms of entertainment and therefore the demand for books has decreased. South Africa needs to develop a reading culture</w:t>
      </w:r>
      <w:r w:rsidR="00107E67">
        <w:rPr>
          <w:sz w:val="22"/>
          <w:szCs w:val="22"/>
        </w:rPr>
        <w:t>,</w:t>
      </w:r>
      <w:r>
        <w:rPr>
          <w:sz w:val="22"/>
          <w:szCs w:val="22"/>
        </w:rPr>
        <w:t xml:space="preserve"> especially for South African stories.</w:t>
      </w:r>
    </w:p>
    <w:p w14:paraId="000003A8" w14:textId="221C79B9" w:rsidR="00F8269C" w:rsidRDefault="00450D2D" w:rsidP="009D3DA2">
      <w:pPr>
        <w:jc w:val="both"/>
        <w:rPr>
          <w:sz w:val="24"/>
          <w:szCs w:val="24"/>
        </w:rPr>
      </w:pPr>
      <w:r>
        <w:rPr>
          <w:sz w:val="22"/>
          <w:szCs w:val="22"/>
        </w:rPr>
        <w:lastRenderedPageBreak/>
        <w:t xml:space="preserve">The Audio-visual and Interactive Media </w:t>
      </w:r>
      <w:r w:rsidR="00163C1E">
        <w:rPr>
          <w:sz w:val="22"/>
          <w:szCs w:val="22"/>
        </w:rPr>
        <w:t xml:space="preserve">domain </w:t>
      </w:r>
      <w:r>
        <w:rPr>
          <w:sz w:val="22"/>
          <w:szCs w:val="22"/>
        </w:rPr>
        <w:t>has grown rapidly as CCI consumers</w:t>
      </w:r>
      <w:r w:rsidR="00107E67">
        <w:rPr>
          <w:sz w:val="22"/>
          <w:szCs w:val="22"/>
        </w:rPr>
        <w:t>’</w:t>
      </w:r>
      <w:r>
        <w:rPr>
          <w:sz w:val="22"/>
          <w:szCs w:val="22"/>
        </w:rPr>
        <w:t xml:space="preserve"> tastes have changed and adapted to new technologies that are available. Design and Creative Services provides creative services mainly to the corporate sector.</w:t>
      </w:r>
    </w:p>
    <w:p w14:paraId="000003A9" w14:textId="14B250BA" w:rsidR="00F8269C" w:rsidRDefault="00450D2D" w:rsidP="009D3DA2">
      <w:pPr>
        <w:jc w:val="both"/>
        <w:rPr>
          <w:sz w:val="22"/>
          <w:szCs w:val="22"/>
        </w:rPr>
      </w:pPr>
      <w:r>
        <w:rPr>
          <w:sz w:val="22"/>
          <w:szCs w:val="22"/>
        </w:rPr>
        <w:t>The study also calculated the Gini coefficients (a measure of household income inequality) of the six main UNESCO domains, based on the Social Accounting Matrix (SAM). Unfortunately, there is a large discrepancy between the highest-paid creatives and the lowest. This is a common phenomenon across the world where a minority of creative “superstars” earn huge salaries while others in the sector, who play smaller but still important roles, earn barely enough to survive.</w:t>
      </w:r>
    </w:p>
    <w:p w14:paraId="000003AA" w14:textId="77777777" w:rsidR="00F8269C" w:rsidRDefault="00450D2D" w:rsidP="009D3DA2">
      <w:pPr>
        <w:jc w:val="both"/>
        <w:rPr>
          <w:sz w:val="22"/>
          <w:szCs w:val="22"/>
        </w:rPr>
      </w:pPr>
      <w:r>
        <w:rPr>
          <w:sz w:val="22"/>
          <w:szCs w:val="22"/>
        </w:rPr>
        <w:t>From the demand side various components could be measured and how these have changed over time. CCI services include spending at cinemas, parks, museums, and theatres but also subscriptions to television services and licences and the hiring of equipment. Although it was not the purpose of the study, with the advent of television services such as Netflix, the spending on these imported digital services has increased. Audience development and careful negotiation with online platforms needs to be undertaken to ensure that more South African content remains visible and is consumed.</w:t>
      </w:r>
    </w:p>
    <w:p w14:paraId="000003AB" w14:textId="5B8E611E" w:rsidR="00F8269C" w:rsidRDefault="00163C1E">
      <w:pPr>
        <w:spacing w:before="280" w:after="280" w:line="240" w:lineRule="auto"/>
        <w:jc w:val="both"/>
        <w:rPr>
          <w:sz w:val="24"/>
          <w:szCs w:val="24"/>
        </w:rPr>
      </w:pPr>
      <w:r>
        <w:rPr>
          <w:noProof/>
        </w:rPr>
        <mc:AlternateContent>
          <mc:Choice Requires="wps">
            <w:drawing>
              <wp:anchor distT="0" distB="0" distL="114300" distR="114300" simplePos="0" relativeHeight="251663360" behindDoc="0" locked="0" layoutInCell="1" hidden="0" allowOverlap="1" wp14:anchorId="6B7B3FE0" wp14:editId="77FAAB30">
                <wp:simplePos x="0" y="0"/>
                <wp:positionH relativeFrom="column">
                  <wp:posOffset>1054181</wp:posOffset>
                </wp:positionH>
                <wp:positionV relativeFrom="paragraph">
                  <wp:posOffset>1893286</wp:posOffset>
                </wp:positionV>
                <wp:extent cx="1595120" cy="658135"/>
                <wp:effectExtent l="0" t="0" r="24130" b="27940"/>
                <wp:wrapNone/>
                <wp:docPr id="327" name="Rectangle 327"/>
                <wp:cNvGraphicFramePr/>
                <a:graphic xmlns:a="http://schemas.openxmlformats.org/drawingml/2006/main">
                  <a:graphicData uri="http://schemas.microsoft.com/office/word/2010/wordprocessingShape">
                    <wps:wsp>
                      <wps:cNvSpPr/>
                      <wps:spPr>
                        <a:xfrm>
                          <a:off x="0" y="0"/>
                          <a:ext cx="1595120" cy="658135"/>
                        </a:xfrm>
                        <a:prstGeom prst="rect">
                          <a:avLst/>
                        </a:prstGeom>
                        <a:solidFill>
                          <a:schemeClr val="lt1"/>
                        </a:solidFill>
                        <a:ln w="9525" cap="flat" cmpd="sng">
                          <a:solidFill>
                            <a:srgbClr val="000000"/>
                          </a:solidFill>
                          <a:prstDash val="solid"/>
                          <a:round/>
                          <a:headEnd type="none" w="sm" len="sm"/>
                          <a:tailEnd type="none" w="sm" len="sm"/>
                        </a:ln>
                      </wps:spPr>
                      <wps:txbx>
                        <w:txbxContent>
                          <w:p w14:paraId="42F477E7" w14:textId="77777777" w:rsidR="00513E3A" w:rsidRDefault="00513E3A">
                            <w:pPr>
                              <w:spacing w:line="258" w:lineRule="auto"/>
                              <w:textDirection w:val="btLr"/>
                            </w:pPr>
                            <w:r>
                              <w:rPr>
                                <w:color w:val="000000"/>
                                <w:sz w:val="18"/>
                              </w:rPr>
                              <w:t>Note that the figure shows GVA in 2015 prices for the six main UNESCO domains.</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B7B3FE0" id="Rectangle 327" o:spid="_x0000_s1061" style="position:absolute;left:0;text-align:left;margin-left:83pt;margin-top:149.1pt;width:125.6pt;height:5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" fillcolor="white [3201]">
                <v:stroke startarrowwidth="narrow" startarrowlength="short" endarrowwidth="narrow" endarrowlength="short" joinstyle="round"/>
                <v:textbox inset="2.53958mm,1.2694mm,2.53958mm,1.2694mm">
                  <w:txbxContent>
                    <w:p w14:paraId="42F477E7" w14:textId="77777777" w:rsidR="00513E3A" w:rsidRDefault="00513E3A">
                      <w:pPr>
                        <w:spacing w:line="258" w:lineRule="auto"/>
                        <w:textDirection w:val="btLr"/>
                      </w:pPr>
                      <w:r>
                        <w:rPr>
                          <w:color w:val="000000"/>
                          <w:sz w:val="18"/>
                        </w:rPr>
                        <w:t>Note that the figure shows GVA in 2015 prices for the six main UNESCO domains.</w:t>
                      </w:r>
                    </w:p>
                  </w:txbxContent>
                </v:textbox>
              </v:rect>
            </w:pict>
          </mc:Fallback>
        </mc:AlternateContent>
      </w:r>
      <w:r w:rsidR="00450D2D">
        <w:rPr>
          <w:noProof/>
        </w:rPr>
        <w:drawing>
          <wp:inline distT="0" distB="0" distL="0" distR="0" wp14:anchorId="724E6B36" wp14:editId="0CD3610A">
            <wp:extent cx="5731510" cy="2742565"/>
            <wp:effectExtent l="0" t="0" r="0" b="0"/>
            <wp:docPr id="332" name="image2.png" descr="Shape, polyg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Shape, polygon&#10;&#10;Description automatically generated"/>
                    <pic:cNvPicPr preferRelativeResize="0"/>
                  </pic:nvPicPr>
                  <pic:blipFill>
                    <a:blip r:embed="rId30"/>
                    <a:srcRect/>
                    <a:stretch>
                      <a:fillRect/>
                    </a:stretch>
                  </pic:blipFill>
                  <pic:spPr>
                    <a:xfrm>
                      <a:off x="0" y="0"/>
                      <a:ext cx="5731510" cy="2742565"/>
                    </a:xfrm>
                    <a:prstGeom prst="rect">
                      <a:avLst/>
                    </a:prstGeom>
                    <a:ln/>
                  </pic:spPr>
                </pic:pic>
              </a:graphicData>
            </a:graphic>
          </wp:inline>
        </w:drawing>
      </w:r>
    </w:p>
    <w:p w14:paraId="000003AC" w14:textId="17CFBC4D" w:rsidR="00F8269C" w:rsidRDefault="00450D2D">
      <w:pPr>
        <w:pBdr>
          <w:top w:val="nil"/>
          <w:left w:val="nil"/>
          <w:bottom w:val="nil"/>
          <w:right w:val="nil"/>
          <w:between w:val="nil"/>
        </w:pBdr>
        <w:spacing w:after="200" w:line="240" w:lineRule="auto"/>
        <w:rPr>
          <w:i/>
          <w:color w:val="44546A"/>
          <w:sz w:val="24"/>
          <w:szCs w:val="24"/>
        </w:rPr>
      </w:pPr>
      <w:r>
        <w:rPr>
          <w:i/>
          <w:color w:val="44546A"/>
          <w:sz w:val="18"/>
          <w:szCs w:val="18"/>
        </w:rPr>
        <w:t>Figure 16</w:t>
      </w:r>
      <w:r w:rsidR="00DF28C2">
        <w:rPr>
          <w:i/>
          <w:color w:val="44546A"/>
          <w:sz w:val="18"/>
          <w:szCs w:val="18"/>
        </w:rPr>
        <w:t>:</w:t>
      </w:r>
      <w:r>
        <w:rPr>
          <w:i/>
          <w:color w:val="44546A"/>
          <w:sz w:val="18"/>
          <w:szCs w:val="18"/>
        </w:rPr>
        <w:t xml:space="preserve"> The CCI Ecosystem</w:t>
      </w:r>
    </w:p>
    <w:p w14:paraId="000003AD" w14:textId="397664FB" w:rsidR="00F8269C" w:rsidRDefault="00450D2D" w:rsidP="009D3DA2">
      <w:pPr>
        <w:jc w:val="both"/>
        <w:rPr>
          <w:sz w:val="24"/>
          <w:szCs w:val="24"/>
        </w:rPr>
      </w:pPr>
      <w:r>
        <w:rPr>
          <w:sz w:val="22"/>
          <w:szCs w:val="22"/>
        </w:rPr>
        <w:t>From the demand side, households are the largest consumers of CCI products and services. Government, in common with most governments in the world, does not consume a large proportion of South Africa’</w:t>
      </w:r>
      <w:r w:rsidR="00B93BF7">
        <w:rPr>
          <w:sz w:val="22"/>
          <w:szCs w:val="22"/>
        </w:rPr>
        <w:t>s</w:t>
      </w:r>
      <w:r>
        <w:rPr>
          <w:sz w:val="22"/>
          <w:szCs w:val="22"/>
        </w:rPr>
        <w:t xml:space="preserve"> CCI products or services.</w:t>
      </w:r>
    </w:p>
    <w:p w14:paraId="000003AE" w14:textId="77777777" w:rsidR="00F8269C" w:rsidRDefault="00450D2D" w:rsidP="009D3DA2">
      <w:pPr>
        <w:jc w:val="both"/>
        <w:rPr>
          <w:sz w:val="24"/>
          <w:szCs w:val="24"/>
        </w:rPr>
      </w:pPr>
      <w:r>
        <w:rPr>
          <w:sz w:val="22"/>
          <w:szCs w:val="22"/>
        </w:rPr>
        <w:t>Gross Fixed Capital Formation (GFCF) gives an indication of investment in productive capacity and is also an important contributor to final demand. Architectural and advertising services play an important role in the development of the country. However, GFCF in South African CCIs is volatile and depends on the state of the economy and especially the confidence that investors have in the future.</w:t>
      </w:r>
    </w:p>
    <w:p w14:paraId="000003AF" w14:textId="0E0CC28F" w:rsidR="00F8269C" w:rsidRDefault="00450D2D" w:rsidP="009D3DA2">
      <w:pPr>
        <w:jc w:val="both"/>
        <w:rPr>
          <w:sz w:val="24"/>
          <w:szCs w:val="24"/>
        </w:rPr>
      </w:pPr>
      <w:r>
        <w:rPr>
          <w:sz w:val="22"/>
          <w:szCs w:val="22"/>
        </w:rPr>
        <w:t>Figure 16 shows the CCI ecosystem. The components on the left-hand side generally indicate the contribution to the supply</w:t>
      </w:r>
      <w:r w:rsidR="00FC72D8">
        <w:rPr>
          <w:sz w:val="22"/>
          <w:szCs w:val="22"/>
        </w:rPr>
        <w:t xml:space="preserve"> </w:t>
      </w:r>
      <w:r>
        <w:rPr>
          <w:sz w:val="22"/>
          <w:szCs w:val="22"/>
        </w:rPr>
        <w:t>side of the CCI economy, while those on the right-hand side show the demand for CCI products and services. It is through such analysis that</w:t>
      </w:r>
      <w:r w:rsidR="00163C1E">
        <w:rPr>
          <w:sz w:val="22"/>
          <w:szCs w:val="22"/>
        </w:rPr>
        <w:t xml:space="preserve"> the</w:t>
      </w:r>
      <w:r>
        <w:rPr>
          <w:sz w:val="22"/>
          <w:szCs w:val="22"/>
        </w:rPr>
        <w:t xml:space="preserve"> South Africa’s creative economy can be mapped and understood in order to design effective evidence-based policy.</w:t>
      </w:r>
    </w:p>
    <w:p w14:paraId="000003B0" w14:textId="77777777" w:rsidR="00F8269C" w:rsidRDefault="00450D2D" w:rsidP="009D3DA2">
      <w:pPr>
        <w:jc w:val="both"/>
        <w:rPr>
          <w:sz w:val="24"/>
          <w:szCs w:val="24"/>
        </w:rPr>
      </w:pPr>
      <w:r>
        <w:rPr>
          <w:sz w:val="22"/>
          <w:szCs w:val="22"/>
        </w:rPr>
        <w:lastRenderedPageBreak/>
        <w:t>The second Chapter in this Mapping Study explores the recent trends and the impact of COVID-19 on employment and transformation in South Africa’s Cultural and Creative Industries.</w:t>
      </w:r>
    </w:p>
    <w:p w14:paraId="000003B1" w14:textId="77777777" w:rsidR="00F8269C" w:rsidRDefault="00450D2D">
      <w:pPr>
        <w:jc w:val="both"/>
        <w:rPr>
          <w:sz w:val="22"/>
          <w:szCs w:val="22"/>
        </w:rPr>
      </w:pPr>
      <w:r>
        <w:br w:type="page"/>
      </w:r>
    </w:p>
    <w:p w14:paraId="000003B2" w14:textId="3381E4DE" w:rsidR="00F8269C" w:rsidRDefault="00450D2D">
      <w:pPr>
        <w:pStyle w:val="Heading1"/>
        <w:numPr>
          <w:ilvl w:val="0"/>
          <w:numId w:val="5"/>
        </w:numPr>
      </w:pPr>
      <w:bookmarkStart w:id="126" w:name="_Toc93842796"/>
      <w:bookmarkStart w:id="127" w:name="_Toc93842982"/>
      <w:bookmarkStart w:id="128" w:name="_Toc93843360"/>
      <w:r>
        <w:lastRenderedPageBreak/>
        <w:t>References</w:t>
      </w:r>
      <w:bookmarkEnd w:id="126"/>
      <w:bookmarkEnd w:id="127"/>
      <w:bookmarkEnd w:id="128"/>
    </w:p>
    <w:p w14:paraId="24999915" w14:textId="77777777" w:rsidR="00540F40" w:rsidRDefault="00540F40"/>
    <w:p w14:paraId="33928602" w14:textId="77777777" w:rsidR="00540F40" w:rsidRDefault="00540F40">
      <w:r w:rsidRPr="00BD4E42">
        <w:t>Akser,M. (2020). Cinema, Life and Other Viruses: The Future of Filmmaking, Film Education and Film Studies in the Age of Covid-19 Pandemic. Cinej Cinema Journal. Volume 8.2</w:t>
      </w:r>
      <w:r>
        <w:t>(</w:t>
      </w:r>
      <w:r w:rsidRPr="00BD4E42">
        <w:t>1</w:t>
      </w:r>
      <w:r>
        <w:t>)</w:t>
      </w:r>
      <w:r w:rsidRPr="00BD4E42">
        <w:t>: 1 - 13</w:t>
      </w:r>
    </w:p>
    <w:p w14:paraId="172BCA3A" w14:textId="77777777" w:rsidR="00540F40" w:rsidRDefault="00540F40">
      <w:r>
        <w:t xml:space="preserve">Amann, S. and Heinsius, J. (2021). </w:t>
      </w:r>
      <w:r w:rsidRPr="009D3DA2">
        <w:rPr>
          <w:i/>
          <w:iCs/>
        </w:rPr>
        <w:t>Research for CULT Committee – Cultural and creative sectors in post-Covid-19 Europe: crisis effects and policy recommendations</w:t>
      </w:r>
      <w:r>
        <w:t>. IDEA Consult, Goethe-Institut. European Parliament, Policy Department for Structural and Cohesion Policies: Brussels.</w:t>
      </w:r>
    </w:p>
    <w:p w14:paraId="05F9E233" w14:textId="77777777" w:rsidR="00540F40" w:rsidRDefault="00540F40">
      <w:r>
        <w:t xml:space="preserve">Anheier, H.K., Merkel, J. and Winkler, K. (2021). </w:t>
      </w:r>
      <w:r w:rsidRPr="009D3DA2">
        <w:rPr>
          <w:i/>
          <w:iCs/>
        </w:rPr>
        <w:t>Culture, the Arts and the COVID-19 Pandemic: Five Cultural Capitals in Search of Solutions</w:t>
      </w:r>
      <w:r>
        <w:t>. Allianz Kulturstifund &amp; Hertie School. Online. https://www.hertie-school.org/fileadmin/2_Research/5_Policy_Briefs/2021_January_Culture_and_Covid_Executive_Summary.pdf</w:t>
      </w:r>
    </w:p>
    <w:p w14:paraId="5E676ACF" w14:textId="77777777" w:rsidR="00540F40" w:rsidRDefault="00540F40">
      <w:r>
        <w:t xml:space="preserve">Bartis, H. (2021). The Economic Impact of COVID-19 Pandemic on the Business Events Sub-Sector in South Africa: Mitigation Strategies and Innovations. </w:t>
      </w:r>
      <w:r w:rsidRPr="009D3DA2">
        <w:rPr>
          <w:i/>
          <w:iCs/>
        </w:rPr>
        <w:t>African Journal of Hospitality, Tourism and Leisure</w:t>
      </w:r>
      <w:r>
        <w:t>, 10(1): 102–114.</w:t>
      </w:r>
    </w:p>
    <w:p w14:paraId="40796E73" w14:textId="77777777" w:rsidR="00540F40" w:rsidRDefault="00540F40">
      <w:r>
        <w:t xml:space="preserve">Baur, P.W. (2020). An examination of the impact of COVID-19 on the financial markets and how this directs investments into the market for fine art. </w:t>
      </w:r>
      <w:r w:rsidRPr="009D3DA2">
        <w:rPr>
          <w:i/>
          <w:iCs/>
        </w:rPr>
        <w:t>Journal of Economic and Financial Sciences</w:t>
      </w:r>
      <w:r>
        <w:t>, 12(1): 1–22.</w:t>
      </w:r>
    </w:p>
    <w:p w14:paraId="0D8F1729" w14:textId="77777777" w:rsidR="00540F40" w:rsidRDefault="00540F40">
      <w:r>
        <w:t xml:space="preserve">Betzler, D., Loots, E., Prokůpek, M., Marques, L. and Grafenauer, P. (2020). COVID-19 and the arts and cultural sectors: investigating countries’ contextual factors and early policy measures. </w:t>
      </w:r>
      <w:r w:rsidRPr="009D3DA2">
        <w:rPr>
          <w:i/>
          <w:iCs/>
        </w:rPr>
        <w:t>International Journal of Cultural Policy</w:t>
      </w:r>
      <w:r>
        <w:t>, 27(6): 796–814.</w:t>
      </w:r>
    </w:p>
    <w:p w14:paraId="45782A27" w14:textId="77777777" w:rsidR="00540F40" w:rsidRDefault="00540F40">
      <w:r>
        <w:t xml:space="preserve">Browne, N. (2021). The IHS Library and Its Response to the COVID-19 Pandemic. In B. Holland (Ed.), </w:t>
      </w:r>
      <w:r w:rsidRPr="009D3DA2">
        <w:rPr>
          <w:i/>
          <w:iCs/>
        </w:rPr>
        <w:t>Handbook of Research on Library Response to the COVID-19 Pandemic</w:t>
      </w:r>
      <w:r>
        <w:t>, IGI Global, pp. 298–320.</w:t>
      </w:r>
    </w:p>
    <w:p w14:paraId="2DF60518" w14:textId="77777777" w:rsidR="00540F40" w:rsidRDefault="00540F40">
      <w:r>
        <w:t xml:space="preserve">Buchholz, L., Fine, G.A. and Wohl, H. (2020). Art markets in crisis: how personal bonds and market subcultures mediate the effects of COVID-19. </w:t>
      </w:r>
      <w:r w:rsidRPr="009D3DA2">
        <w:rPr>
          <w:i/>
          <w:iCs/>
        </w:rPr>
        <w:t>American Journal of Cultural Sociology</w:t>
      </w:r>
      <w:r>
        <w:t>, 8: 462–476.</w:t>
      </w:r>
    </w:p>
    <w:p w14:paraId="522E24E9" w14:textId="1A90A578" w:rsidR="00540F40" w:rsidRDefault="00540F40">
      <w:r>
        <w:t xml:space="preserve">Bunketi Buse, R.N. (2020). </w:t>
      </w:r>
      <w:r w:rsidRPr="009D3DA2">
        <w:rPr>
          <w:i/>
          <w:iCs/>
        </w:rPr>
        <w:t>COVID-19 and Culture in Africa: A comparative analysis of economic impact studies</w:t>
      </w:r>
      <w:r>
        <w:t xml:space="preserve">. Online. </w:t>
      </w:r>
      <w:hyperlink r:id="rId31" w:history="1">
        <w:r w:rsidRPr="00AF049F">
          <w:rPr>
            <w:rStyle w:val="Hyperlink"/>
          </w:rPr>
          <w:t>https://www.artsmanagement.net/Articles/COVID-19-and-culture-in-Africa-A-comparative-analysis-of-economic-impact-studies</w:t>
        </w:r>
      </w:hyperlink>
      <w:r>
        <w:t>, 4184</w:t>
      </w:r>
    </w:p>
    <w:p w14:paraId="4F4AEB84" w14:textId="77777777" w:rsidR="00540F40" w:rsidRDefault="00540F40">
      <w:r>
        <w:t xml:space="preserve">Burke, V., Jørgensen, D. and Jørgensen, F. (2020). Museums at Home: Digital Initiatives in Response to COVID-19. </w:t>
      </w:r>
      <w:r w:rsidRPr="009D3DA2">
        <w:rPr>
          <w:i/>
          <w:iCs/>
        </w:rPr>
        <w:t>Norsk museumstidsskrift</w:t>
      </w:r>
      <w:r>
        <w:t>, 6, 117–123.</w:t>
      </w:r>
    </w:p>
    <w:p w14:paraId="0839FDE0" w14:textId="77777777" w:rsidR="00540F40" w:rsidRDefault="00540F40">
      <w:r>
        <w:t xml:space="preserve">Citi GPS (2020). </w:t>
      </w:r>
      <w:r w:rsidRPr="009D3DA2">
        <w:rPr>
          <w:i/>
          <w:iCs/>
        </w:rPr>
        <w:t>The Global Art Market and Covid-19</w:t>
      </w:r>
      <w:r>
        <w:t>. Citi Private Bank. Online. https://www.citivelocity.com/citigps/the-global-art-market-and-covid-19/</w:t>
      </w:r>
    </w:p>
    <w:p w14:paraId="33CD2276" w14:textId="77777777" w:rsidR="00540F40" w:rsidRDefault="00540F40">
      <w:r>
        <w:t xml:space="preserve">Comunian, R. and England, L. (2020). Creative and cultural work without filters: Covid-19 and exposed precarity in the creative economy. </w:t>
      </w:r>
      <w:r w:rsidRPr="009D3DA2">
        <w:rPr>
          <w:i/>
          <w:iCs/>
        </w:rPr>
        <w:t>Cultural Trends</w:t>
      </w:r>
      <w:r>
        <w:t>, 29(2): 112–128.</w:t>
      </w:r>
    </w:p>
    <w:p w14:paraId="5FAFE986" w14:textId="77777777" w:rsidR="00540F40" w:rsidRDefault="00540F40">
      <w:r>
        <w:t xml:space="preserve">Cunningham S. and Scarlata, A. (2020). New forms of internationalisation? The impact of Netflix in Australia. </w:t>
      </w:r>
      <w:r w:rsidRPr="009D3DA2">
        <w:rPr>
          <w:i/>
          <w:iCs/>
        </w:rPr>
        <w:t>Media International Australia</w:t>
      </w:r>
      <w:r>
        <w:t>,177(1): 149–164.</w:t>
      </w:r>
    </w:p>
    <w:p w14:paraId="7A9E9FA7" w14:textId="77777777" w:rsidR="00540F40" w:rsidRDefault="00540F40">
      <w:r>
        <w:t xml:space="preserve">Davies, K. (2020). Festivals Post Covid-19. </w:t>
      </w:r>
      <w:r w:rsidRPr="009D3DA2">
        <w:rPr>
          <w:i/>
          <w:iCs/>
        </w:rPr>
        <w:t>Leisure Sciences</w:t>
      </w:r>
      <w:r>
        <w:t>, 43(1–2): 184–189.</w:t>
      </w:r>
    </w:p>
    <w:p w14:paraId="325FD20A" w14:textId="77777777" w:rsidR="00540F40" w:rsidRDefault="00540F40">
      <w:r>
        <w:t xml:space="preserve">Disimulacion, M.A. (2020). MICE tourism during COVID-19 and future directions for the new normal. </w:t>
      </w:r>
      <w:r w:rsidRPr="009D3DA2">
        <w:rPr>
          <w:i/>
          <w:iCs/>
        </w:rPr>
        <w:t>APIEM Journal</w:t>
      </w:r>
      <w:r>
        <w:t>, 1(2): 11–17.</w:t>
      </w:r>
    </w:p>
    <w:p w14:paraId="21099397" w14:textId="77777777" w:rsidR="00540F40" w:rsidRDefault="00540F40">
      <w:r>
        <w:t xml:space="preserve">Eikhof, D. R. (2020). COVID-19, inclusion and workforce diversity in the cultural economy: What now, what next? </w:t>
      </w:r>
      <w:r w:rsidRPr="009D3DA2">
        <w:rPr>
          <w:i/>
          <w:iCs/>
        </w:rPr>
        <w:t>Cultural Trends</w:t>
      </w:r>
      <w:r>
        <w:t>, 29(3): 234–250.</w:t>
      </w:r>
    </w:p>
    <w:p w14:paraId="076FC60D" w14:textId="3A28A4F1" w:rsidR="00540F40" w:rsidRDefault="00540F40">
      <w:r>
        <w:lastRenderedPageBreak/>
        <w:t xml:space="preserve">Europa Nostra. (2020). </w:t>
      </w:r>
      <w:r w:rsidRPr="009D3DA2">
        <w:rPr>
          <w:i/>
          <w:iCs/>
        </w:rPr>
        <w:t>Covid-19 and Beyond: Challenges and Opportunities for Cultural Heritage</w:t>
      </w:r>
      <w:r>
        <w:t>. Online. https://www.europanostra.org/europa-nostra-publishes-extensive-paper-on-challenges-and-opportunities-presented-by-the-covid-19-pandemic-for-the-heritage-world/</w:t>
      </w:r>
    </w:p>
    <w:p w14:paraId="660D8B0E" w14:textId="61E805B6" w:rsidR="00540F40" w:rsidRDefault="00540F40">
      <w:r>
        <w:t xml:space="preserve">European Union. (2016). </w:t>
      </w:r>
      <w:r w:rsidRPr="009D3DA2">
        <w:rPr>
          <w:i/>
          <w:iCs/>
        </w:rPr>
        <w:t>Study on national Sport Satellite Accounts (SSAs) in the EU</w:t>
      </w:r>
      <w:r>
        <w:t>. Publications Office of the European Union. Available at: http://op.europa.eu/en/publication-detail/-/publication/ca2a161e-9a91-11e6-9bca-01aa75ed71a1 (Accessed: 26</w:t>
      </w:r>
      <w:r w:rsidR="00B77B6B">
        <w:t> </w:t>
      </w:r>
      <w:r>
        <w:t>May</w:t>
      </w:r>
      <w:r w:rsidR="00B77B6B">
        <w:t> </w:t>
      </w:r>
      <w:r>
        <w:t>2020).</w:t>
      </w:r>
    </w:p>
    <w:p w14:paraId="309C89FA" w14:textId="77777777" w:rsidR="00540F40" w:rsidRDefault="00540F40">
      <w:r>
        <w:t xml:space="preserve">Federation of European Publishers. (2021). </w:t>
      </w:r>
      <w:r w:rsidRPr="009D3DA2">
        <w:rPr>
          <w:i/>
          <w:iCs/>
        </w:rPr>
        <w:t>One Year After: Consequences of the Covid-19 crisis on the book market – An overview of 2020</w:t>
      </w:r>
      <w:r>
        <w:t>. Online. https://fep-fee.eu/IMG/pdf/202103_-_brochure_covid_update_digital_only.pdf?1857/6598ccf5e1afdda6eac39f35d6ded7321dfcd969</w:t>
      </w:r>
    </w:p>
    <w:p w14:paraId="00661943" w14:textId="77777777" w:rsidR="00540F40" w:rsidRDefault="00540F40">
      <w:r>
        <w:t xml:space="preserve">Feng, X. (2020). </w:t>
      </w:r>
      <w:r w:rsidRPr="00540F40">
        <w:rPr>
          <w:i/>
          <w:iCs/>
        </w:rPr>
        <w:t>Curating and Exhibiting for the Pandemic: Participatory Virtual Art Practices During the COVID-19 Outbreak in China</w:t>
      </w:r>
      <w:r>
        <w:t xml:space="preserve">. </w:t>
      </w:r>
      <w:r w:rsidRPr="009D3DA2">
        <w:rPr>
          <w:i/>
          <w:iCs/>
        </w:rPr>
        <w:t xml:space="preserve">Social Media </w:t>
      </w:r>
      <w:r>
        <w:rPr>
          <w:i/>
          <w:iCs/>
        </w:rPr>
        <w:t>+</w:t>
      </w:r>
      <w:r w:rsidRPr="009D3DA2">
        <w:rPr>
          <w:i/>
          <w:iCs/>
        </w:rPr>
        <w:t xml:space="preserve"> Society</w:t>
      </w:r>
      <w:r>
        <w:t>, July: 1–6.</w:t>
      </w:r>
    </w:p>
    <w:p w14:paraId="67E3BFDB" w14:textId="77777777" w:rsidR="00540F40" w:rsidRDefault="00540F40">
      <w:r>
        <w:t xml:space="preserve">Flew, T. and Kirkwood, K. (2021). </w:t>
      </w:r>
      <w:r w:rsidRPr="00540F40">
        <w:rPr>
          <w:i/>
          <w:iCs/>
        </w:rPr>
        <w:t>The impact of COVID-19 on cultural tourism: art, culture and communication in four regional sites of Queensland, Australia</w:t>
      </w:r>
      <w:r>
        <w:t xml:space="preserve">. </w:t>
      </w:r>
      <w:r w:rsidRPr="009D3DA2">
        <w:rPr>
          <w:i/>
          <w:iCs/>
        </w:rPr>
        <w:t>Media International Australia</w:t>
      </w:r>
      <w:r>
        <w:t>, 178(1): 1–16.</w:t>
      </w:r>
    </w:p>
    <w:p w14:paraId="27442E52" w14:textId="444C7BCE" w:rsidR="00540F40" w:rsidRDefault="00540F40">
      <w:r>
        <w:t xml:space="preserve">Florida, R. and Seman, M. (2020). </w:t>
      </w:r>
      <w:r w:rsidRPr="009D3DA2">
        <w:rPr>
          <w:i/>
          <w:iCs/>
        </w:rPr>
        <w:t>Lost Art: Measuring COVID-19's devastating impact on America's creative economy</w:t>
      </w:r>
      <w:r>
        <w:t>. Metropolitan Policy Program, Brookings Institution. 1–32.</w:t>
      </w:r>
    </w:p>
    <w:p w14:paraId="7DB1C804" w14:textId="06548248" w:rsidR="00540F40" w:rsidRPr="00220BD2" w:rsidRDefault="00540F40" w:rsidP="009E57B2">
      <w:r w:rsidRPr="00220BD2">
        <w:t>Galloway, S. and Dunlop, S. (2007) ‘A critique of definitions of the cultural and creative industries in public policy’, International journal of cultural policy, 13(1), pp. 17–31. Available at: http://www.tandfonline.com/doi/abs/10.1080/10286630701201657 (Accessed: 26</w:t>
      </w:r>
      <w:r w:rsidR="00B77B6B">
        <w:t> </w:t>
      </w:r>
      <w:r w:rsidRPr="00220BD2">
        <w:t>September</w:t>
      </w:r>
      <w:r w:rsidR="00B77B6B">
        <w:t> </w:t>
      </w:r>
      <w:r w:rsidRPr="00220BD2">
        <w:t>2016).</w:t>
      </w:r>
    </w:p>
    <w:p w14:paraId="2853458E" w14:textId="453667E6" w:rsidR="00540F40" w:rsidRDefault="00540F40">
      <w:r>
        <w:t xml:space="preserve">Greenhall, M. (2020). </w:t>
      </w:r>
      <w:r w:rsidRPr="009D3DA2">
        <w:rPr>
          <w:i/>
          <w:iCs/>
        </w:rPr>
        <w:t>Covid-19 and the digital shift in action</w:t>
      </w:r>
      <w:r>
        <w:t>. Research Libraries UK. Online. https://www.rluk.ac.uk/covid-19-and-the-digital-shift-in-action/</w:t>
      </w:r>
    </w:p>
    <w:p w14:paraId="1DA0150E" w14:textId="1135904C" w:rsidR="00540F40" w:rsidRDefault="00540F40">
      <w:r>
        <w:t xml:space="preserve">Gurney, K. (2012). Mzanzi’s Golden Economy. In A. Mbembe (Ed.), </w:t>
      </w:r>
      <w:r w:rsidRPr="009D3DA2">
        <w:rPr>
          <w:i/>
          <w:iCs/>
        </w:rPr>
        <w:t>The Johannesburg Salon</w:t>
      </w:r>
      <w:r>
        <w:t xml:space="preserve"> (Vol. 5). Available at: https://jwtc.org.za/resources/docs/salon-volume-5/Gurney.pdf (Accessed: 22</w:t>
      </w:r>
      <w:r w:rsidR="00B77B6B">
        <w:t> </w:t>
      </w:r>
      <w:r>
        <w:t>July</w:t>
      </w:r>
      <w:r w:rsidR="00B77B6B">
        <w:t> </w:t>
      </w:r>
      <w:r>
        <w:t>2020).</w:t>
      </w:r>
    </w:p>
    <w:p w14:paraId="215483F8" w14:textId="77777777" w:rsidR="00540F40" w:rsidRDefault="00540F40">
      <w:r>
        <w:t xml:space="preserve">International Publishers Association (IPA). (2020). </w:t>
      </w:r>
      <w:r w:rsidRPr="009D3DA2">
        <w:rPr>
          <w:i/>
          <w:iCs/>
        </w:rPr>
        <w:t>From response to recovery: The impact of COVID -19 on the Global Publishing Industry</w:t>
      </w:r>
      <w:r>
        <w:t>. Online. https://www.internationalpublishers.org/images/aa-content/news/news-2020/ipa-post-covid-action-plan-report.pdf</w:t>
      </w:r>
    </w:p>
    <w:p w14:paraId="42577851" w14:textId="77777777" w:rsidR="00540F40" w:rsidRDefault="00540F40">
      <w:r>
        <w:t xml:space="preserve">Johnson, M. (2021). Hollywood survival strategies in the post-COVID-19 era. </w:t>
      </w:r>
      <w:r w:rsidRPr="009D3DA2">
        <w:rPr>
          <w:i/>
          <w:iCs/>
        </w:rPr>
        <w:t>Humanities &amp; Social Sciences Communications</w:t>
      </w:r>
      <w:r>
        <w:rPr>
          <w:i/>
          <w:iCs/>
        </w:rPr>
        <w:t>,</w:t>
      </w:r>
      <w:r>
        <w:t xml:space="preserve"> 8(100): 1–8.</w:t>
      </w:r>
    </w:p>
    <w:p w14:paraId="30AF903F" w14:textId="77777777" w:rsidR="00540F40" w:rsidRDefault="00540F40">
      <w:r>
        <w:t xml:space="preserve">Kazim, A. (2020). </w:t>
      </w:r>
      <w:r w:rsidRPr="009D3DA2">
        <w:rPr>
          <w:i/>
          <w:iCs/>
        </w:rPr>
        <w:t>How the Pandemic is Reshaping South Africa's Art Scene</w:t>
      </w:r>
      <w:r>
        <w:t>. Photography Collections Preservation Project. Online. https://www.photographypreservation.org/blog/2020/7/18/how-the-pandemic-is-reshaping-south-africas-art-scene</w:t>
      </w:r>
    </w:p>
    <w:p w14:paraId="5A3D8C0A" w14:textId="77777777" w:rsidR="00540F40" w:rsidRDefault="00540F40">
      <w:r>
        <w:t xml:space="preserve">Khan, Y. (2021). Impact of Covid-19 on Media &amp; Entertainment Industry in India. </w:t>
      </w:r>
      <w:r w:rsidRPr="009D3DA2">
        <w:rPr>
          <w:i/>
          <w:iCs/>
        </w:rPr>
        <w:t>IOSR Journal of Humanities and Social Science</w:t>
      </w:r>
      <w:r>
        <w:t>, 26(1): 1–6.</w:t>
      </w:r>
    </w:p>
    <w:p w14:paraId="06323C98" w14:textId="77777777" w:rsidR="00540F40" w:rsidRDefault="00540F40">
      <w:r>
        <w:t xml:space="preserve">Kim, I.K. (2021). The impact of social distancing on box-office revenue: Evidence from the COVID-19 pandemic. </w:t>
      </w:r>
      <w:r w:rsidRPr="009D3DA2">
        <w:rPr>
          <w:i/>
          <w:iCs/>
        </w:rPr>
        <w:t>Quantitative Marketing and Economics</w:t>
      </w:r>
      <w:r>
        <w:t>, 19: 93–125.</w:t>
      </w:r>
    </w:p>
    <w:p w14:paraId="504B4858" w14:textId="533CC921" w:rsidR="00540F40" w:rsidRDefault="00540F40">
      <w:r>
        <w:t xml:space="preserve">Llorens, J. (2020). </w:t>
      </w:r>
      <w:r w:rsidRPr="009D3DA2">
        <w:rPr>
          <w:i/>
          <w:iCs/>
        </w:rPr>
        <w:t>Rethinking the study of intangible cultural heritage during COVID-19</w:t>
      </w:r>
      <w:r>
        <w:t>. SER News. Online. https://www.researchgate.net/publication/342547024_Rethinking_the_study_of_intangible_cultural_heritage_during_COVID-19_1</w:t>
      </w:r>
    </w:p>
    <w:p w14:paraId="7323297D" w14:textId="77777777" w:rsidR="00540F40" w:rsidRPr="00220BD2" w:rsidRDefault="00540F40" w:rsidP="009E57B2">
      <w:r w:rsidRPr="00220BD2">
        <w:t>Meade, J.E. and Stone, R.G. (1957) National income and expenditure. Bowes &amp; Bowes.</w:t>
      </w:r>
    </w:p>
    <w:p w14:paraId="1C25919D" w14:textId="77777777" w:rsidR="00540F40" w:rsidRDefault="00540F40">
      <w:r>
        <w:t xml:space="preserve">Miller, R.E. and Blair, P.D. (2009). </w:t>
      </w:r>
      <w:r w:rsidRPr="009D3DA2">
        <w:rPr>
          <w:i/>
          <w:iCs/>
        </w:rPr>
        <w:t>Input-Output Analysis: Foundations and Extensions</w:t>
      </w:r>
      <w:r>
        <w:t xml:space="preserve"> (2</w:t>
      </w:r>
      <w:r w:rsidRPr="009D3DA2">
        <w:rPr>
          <w:vertAlign w:val="superscript"/>
        </w:rPr>
        <w:t>nd</w:t>
      </w:r>
      <w:r>
        <w:t xml:space="preserve"> ed.). Cambridge University Press.</w:t>
      </w:r>
    </w:p>
    <w:p w14:paraId="68500601" w14:textId="77777777" w:rsidR="00540F40" w:rsidRDefault="00540F40">
      <w:r>
        <w:t xml:space="preserve">Mohanty, P., Dhoundiyal, H. and Choudhury, R. (2020). Events Tourism in the Eye of the COVID-19 Storm: Impacts and Implications. In S. Arora and A. Sharma (Eds.), </w:t>
      </w:r>
      <w:r w:rsidRPr="009D3DA2">
        <w:rPr>
          <w:i/>
          <w:iCs/>
        </w:rPr>
        <w:t>Event Tourism in Asian Countries: Challenges and Prospects</w:t>
      </w:r>
      <w:r>
        <w:t xml:space="preserve"> (1</w:t>
      </w:r>
      <w:r w:rsidRPr="009D3DA2">
        <w:rPr>
          <w:vertAlign w:val="superscript"/>
        </w:rPr>
        <w:t>st</w:t>
      </w:r>
      <w:r>
        <w:t xml:space="preserve"> ed.). Apple Academic Press.</w:t>
      </w:r>
    </w:p>
    <w:p w14:paraId="610349A0" w14:textId="77777777" w:rsidR="00540F40" w:rsidRDefault="00540F40">
      <w:r>
        <w:lastRenderedPageBreak/>
        <w:t xml:space="preserve">Mohr, P. (2005) </w:t>
      </w:r>
      <w:r w:rsidRPr="009D3DA2">
        <w:rPr>
          <w:i/>
          <w:iCs/>
        </w:rPr>
        <w:t>Economic indicators</w:t>
      </w:r>
      <w:r>
        <w:t>. Pretoria: Unisa Press.</w:t>
      </w:r>
    </w:p>
    <w:p w14:paraId="562C633A" w14:textId="77777777" w:rsidR="00540F40" w:rsidRDefault="00540F40">
      <w:r>
        <w:t xml:space="preserve">National Accounts and Statistics South Africa. (2008). </w:t>
      </w:r>
      <w:r w:rsidRPr="009D3DA2">
        <w:rPr>
          <w:i/>
          <w:iCs/>
        </w:rPr>
        <w:t>Linking the Social Accounting Matrix to existing government strategies for South Africa</w:t>
      </w:r>
      <w:r>
        <w:t>. Pretoria: Statistics South Africa.</w:t>
      </w:r>
    </w:p>
    <w:p w14:paraId="7FE79BAE" w14:textId="77777777" w:rsidR="00540F40" w:rsidRDefault="00540F40">
      <w:r>
        <w:t xml:space="preserve">Nijhawan, G.S. and Dahiya, S. (2020). Role of Covid as a catalyst in increasing adoption of OTTS in India: A study of evolving consumer consumption patterns and future business scope. </w:t>
      </w:r>
      <w:r w:rsidRPr="009D3DA2">
        <w:rPr>
          <w:i/>
          <w:iCs/>
        </w:rPr>
        <w:t>Journal of Content, Community and Communication</w:t>
      </w:r>
      <w:r>
        <w:t>, 12: 298–311.</w:t>
      </w:r>
    </w:p>
    <w:p w14:paraId="734C6CD3" w14:textId="77777777" w:rsidR="00540F40" w:rsidRDefault="00540F40">
      <w:r>
        <w:t xml:space="preserve">Nobre, G. (2020). </w:t>
      </w:r>
      <w:r w:rsidRPr="009D3DA2">
        <w:rPr>
          <w:i/>
          <w:iCs/>
        </w:rPr>
        <w:t>Post Covid-19 and the Creative Economy: tendencies and risks</w:t>
      </w:r>
      <w:r>
        <w:t>. Research Gate. Online. https://www.researchgate.net/publication/343559059_Post_Covid-19_and_the_Creative_Economy_tendencies_and_risks</w:t>
      </w:r>
    </w:p>
    <w:p w14:paraId="55F7DC5A" w14:textId="77777777" w:rsidR="00540F40" w:rsidRDefault="00540F40">
      <w:r>
        <w:t xml:space="preserve">OECD. (2017). </w:t>
      </w:r>
      <w:r w:rsidRPr="009D3DA2">
        <w:rPr>
          <w:i/>
          <w:iCs/>
        </w:rPr>
        <w:t>Value added by activity</w:t>
      </w:r>
      <w:r>
        <w:t>. Paris: OECD. doi:10.1787/a8b2bd2b-en.</w:t>
      </w:r>
    </w:p>
    <w:p w14:paraId="20CD52B9" w14:textId="77777777" w:rsidR="00540F40" w:rsidRDefault="00540F40">
      <w:r>
        <w:t xml:space="preserve">OECD. (2020). </w:t>
      </w:r>
      <w:r w:rsidRPr="009D3DA2">
        <w:rPr>
          <w:i/>
          <w:iCs/>
        </w:rPr>
        <w:t>Culture shock: Covid-19 and the cultural and creative sectors</w:t>
      </w:r>
      <w:r>
        <w:t>. Paris: OECD. Online. https://www.oecd.org/coronavirus/policy-responses/culture-shock-covid-19-and-the-cultural-and-creative-sectors-08da9e0e/</w:t>
      </w:r>
    </w:p>
    <w:p w14:paraId="7FEB3781" w14:textId="77777777" w:rsidR="00540F40" w:rsidRDefault="00540F40">
      <w:r>
        <w:t xml:space="preserve">Okoth, Z. (2020). </w:t>
      </w:r>
      <w:r w:rsidRPr="009D3DA2">
        <w:rPr>
          <w:i/>
          <w:iCs/>
        </w:rPr>
        <w:t>New Voices in Africa – Cinema as Premonition, Covid-19 as Possibility</w:t>
      </w:r>
      <w:r>
        <w:t>. Institut Montaigne: Paris. Online. https://www.institutmontaigne.org/en/blog/new-voices-africa-cinema-premonition-covid-19-possibility</w:t>
      </w:r>
    </w:p>
    <w:p w14:paraId="7DBD47D2" w14:textId="5DFCEA60" w:rsidR="00540F40" w:rsidRDefault="00540F40">
      <w:r>
        <w:t xml:space="preserve">Peachey, J. (2020). </w:t>
      </w:r>
      <w:r w:rsidRPr="009D3DA2">
        <w:rPr>
          <w:i/>
          <w:iCs/>
        </w:rPr>
        <w:t>Making a difference: libraries, lockdown and looking ahead</w:t>
      </w:r>
      <w:r>
        <w:t>. Carnegie Trust: UK. Online. https://www.carnegieuktrust.org.uk/publications/making-a-difference-libraries-lockdown-and-looking-ahead/</w:t>
      </w:r>
    </w:p>
    <w:p w14:paraId="61793C26" w14:textId="77777777" w:rsidR="00540F40" w:rsidRDefault="00540F40" w:rsidP="00540F40">
      <w:r>
        <w:t xml:space="preserve">Quesnay, F. (1761) </w:t>
      </w:r>
      <w:r w:rsidRPr="00540F40">
        <w:rPr>
          <w:i/>
          <w:iCs/>
        </w:rPr>
        <w:t>Tableau economique avec explications</w:t>
      </w:r>
      <w:r>
        <w:t>.</w:t>
      </w:r>
    </w:p>
    <w:p w14:paraId="60F0D228" w14:textId="79367CA6" w:rsidR="00A209E3" w:rsidRDefault="00A209E3">
      <w:r>
        <w:t xml:space="preserve">Quantec. (2021) Easy Data. Quantec Pretoria. </w:t>
      </w:r>
      <w:r w:rsidRPr="00A209E3">
        <w:t>www.quantec.co.za/</w:t>
      </w:r>
      <w:r>
        <w:rPr>
          <w:rStyle w:val="FootnoteReference"/>
        </w:rPr>
        <w:footnoteReference w:id="12"/>
      </w:r>
    </w:p>
    <w:p w14:paraId="03055733" w14:textId="4AB85A96" w:rsidR="00540F40" w:rsidRDefault="00540F40">
      <w:r>
        <w:t xml:space="preserve">Rumney, R. (2020). </w:t>
      </w:r>
      <w:r w:rsidRPr="009D3DA2">
        <w:rPr>
          <w:i/>
          <w:iCs/>
        </w:rPr>
        <w:t>SANEF's Covid-19 Impact on Journalism Report</w:t>
      </w:r>
      <w:r>
        <w:t>. South African National Editors' Forum. Online. https://sanef.org.za/sanef-launches-covid19-impact-on-journalism-interim-report-2/</w:t>
      </w:r>
    </w:p>
    <w:p w14:paraId="7EEEE763" w14:textId="47FDA87D" w:rsidR="00540F40" w:rsidRDefault="00540F40">
      <w:r>
        <w:t xml:space="preserve">Runde, D.F., Rossow, R.M., Metzger, C.H., Sullivan, B.F. and Carlson, R. (2020). </w:t>
      </w:r>
      <w:r w:rsidRPr="009D3DA2">
        <w:rPr>
          <w:i/>
          <w:iCs/>
        </w:rPr>
        <w:t>Creative Economies in the Indo-Pacific and Covid-19</w:t>
      </w:r>
      <w:r>
        <w:t>. The Center for Strategic and International Studies. Online. https://www.csis.org/analysis/creative-economies-indo-pacific-and-covid-19</w:t>
      </w:r>
    </w:p>
    <w:p w14:paraId="2E2FB316" w14:textId="77777777" w:rsidR="00540F40" w:rsidRDefault="00540F40" w:rsidP="002C6C71">
      <w:r>
        <w:t xml:space="preserve">SACO (2018). </w:t>
      </w:r>
      <w:r w:rsidRPr="00540F40">
        <w:rPr>
          <w:i/>
          <w:iCs/>
        </w:rPr>
        <w:t>The mapping of the South African creative economy: A baseline</w:t>
      </w:r>
      <w:r>
        <w:t xml:space="preserve">. </w:t>
      </w:r>
      <w:r w:rsidRPr="00F836F7">
        <w:t>Commissioned by the South African Cultural Observatory.</w:t>
      </w:r>
      <w:r>
        <w:t xml:space="preserve"> Online [Available] </w:t>
      </w:r>
      <w:hyperlink r:id="rId32" w:tgtFrame="_blank" w:history="1">
        <w:r w:rsidRPr="003A09A8">
          <w:rPr>
            <w:rStyle w:val="Hyperlink"/>
          </w:rPr>
          <w:t>https://www.southafricanculturalobservatory.org.za/</w:t>
        </w:r>
      </w:hyperlink>
    </w:p>
    <w:p w14:paraId="76F60F9B" w14:textId="77777777" w:rsidR="00540F40" w:rsidRDefault="00540F40" w:rsidP="002C6C71">
      <w:r>
        <w:t xml:space="preserve">SACO (2020). </w:t>
      </w:r>
      <w:r w:rsidRPr="00540F40">
        <w:rPr>
          <w:i/>
          <w:iCs/>
        </w:rPr>
        <w:t>The Economic Mapping of the Cultural and Creative Industries in South Africa 2020</w:t>
      </w:r>
      <w:r>
        <w:t xml:space="preserve">. </w:t>
      </w:r>
      <w:r w:rsidRPr="00F836F7">
        <w:t>Commissioned by the South African Cultural Observatory.</w:t>
      </w:r>
      <w:r>
        <w:t xml:space="preserve"> Online [Available] </w:t>
      </w:r>
      <w:hyperlink r:id="rId33" w:tgtFrame="_blank" w:history="1">
        <w:r w:rsidRPr="003A09A8">
          <w:rPr>
            <w:rStyle w:val="Hyperlink"/>
          </w:rPr>
          <w:t>https://www.southafricanculturalobservatory.org.za/</w:t>
        </w:r>
      </w:hyperlink>
    </w:p>
    <w:p w14:paraId="58C1AB7D" w14:textId="77777777" w:rsidR="00540F40" w:rsidRDefault="00540F40" w:rsidP="002C6C71">
      <w:r>
        <w:t xml:space="preserve">SACO (2021). </w:t>
      </w:r>
      <w:r w:rsidRPr="00540F40">
        <w:rPr>
          <w:i/>
          <w:iCs/>
        </w:rPr>
        <w:t>Measuring the impact of the COVID-19 Crisis on the Cultural and Creative Industries in South Africa: One year on</w:t>
      </w:r>
      <w:r>
        <w:t xml:space="preserve">. </w:t>
      </w:r>
      <w:r w:rsidRPr="00F836F7">
        <w:t>Commissioned by the South African Cultural Observatory.</w:t>
      </w:r>
      <w:r>
        <w:t xml:space="preserve"> Online [Available] </w:t>
      </w:r>
      <w:hyperlink r:id="rId34" w:tgtFrame="_blank" w:history="1">
        <w:r w:rsidRPr="003A09A8">
          <w:rPr>
            <w:rStyle w:val="Hyperlink"/>
          </w:rPr>
          <w:t>https://www.southafricanculturalobservatory.org.za/</w:t>
        </w:r>
      </w:hyperlink>
    </w:p>
    <w:p w14:paraId="18DCAFC2" w14:textId="77777777" w:rsidR="00540F40" w:rsidRDefault="00540F40">
      <w:r>
        <w:t xml:space="preserve">Smith, A. (1776). </w:t>
      </w:r>
      <w:r w:rsidRPr="009D3DA2">
        <w:rPr>
          <w:i/>
          <w:iCs/>
        </w:rPr>
        <w:t xml:space="preserve">An Inquiry </w:t>
      </w:r>
      <w:r>
        <w:rPr>
          <w:i/>
          <w:iCs/>
        </w:rPr>
        <w:t>i</w:t>
      </w:r>
      <w:r w:rsidRPr="009D3DA2">
        <w:rPr>
          <w:i/>
          <w:iCs/>
        </w:rPr>
        <w:t>nto the Nature and Causes of the Wealth of Nations</w:t>
      </w:r>
      <w:r>
        <w:t>. London: Strahan.</w:t>
      </w:r>
    </w:p>
    <w:p w14:paraId="654F54AE" w14:textId="77777777" w:rsidR="00540F40" w:rsidRPr="00220BD2" w:rsidRDefault="00540F40" w:rsidP="009E57B2">
      <w:r w:rsidRPr="00220BD2">
        <w:t xml:space="preserve">South African Reserve Bank (2021) </w:t>
      </w:r>
      <w:r w:rsidRPr="00540F40">
        <w:rPr>
          <w:i/>
          <w:iCs/>
        </w:rPr>
        <w:t>Quarterly Bulletin.</w:t>
      </w:r>
      <w:r w:rsidRPr="00220BD2">
        <w:t xml:space="preserve"> Pretoria: South African Reserve Bank. Available at: </w:t>
      </w:r>
      <w:r>
        <w:t>www.</w:t>
      </w:r>
      <w:r w:rsidRPr="00220BD2">
        <w:t>resbank.co.za.</w:t>
      </w:r>
    </w:p>
    <w:p w14:paraId="2F7081AF" w14:textId="77777777" w:rsidR="00540F40" w:rsidRDefault="00540F40">
      <w:r>
        <w:t xml:space="preserve">Spiro, N., Perkins, R., Kaye, S., Tymoszuk, U., Mason-Bertrand, A., Cossette, I., Glasser, S. and Williamon, A. (2021). The Effects of COVID-19 Lockdown 1.0 on Working Patterns, Income, and Wellbeing Among Performing Arts Professionals in the United Kingdom (April–June 2020). </w:t>
      </w:r>
      <w:r w:rsidRPr="009D3DA2">
        <w:rPr>
          <w:i/>
          <w:iCs/>
        </w:rPr>
        <w:t>Frontiers in Psychology</w:t>
      </w:r>
      <w:r>
        <w:t>, 11: 1–17.</w:t>
      </w:r>
    </w:p>
    <w:p w14:paraId="5080A964" w14:textId="27236E92" w:rsidR="00A209E3" w:rsidRDefault="00A209E3">
      <w:r>
        <w:lastRenderedPageBreak/>
        <w:t xml:space="preserve">Stats SA. (2009). </w:t>
      </w:r>
      <w:r w:rsidRPr="009D3DA2">
        <w:rPr>
          <w:i/>
          <w:iCs/>
        </w:rPr>
        <w:t>Linking the Social Accounting Matrix to existing government strategies for South Africa</w:t>
      </w:r>
      <w:r>
        <w:t>. Pretoria: Statistics South Africa. Available at: https://www.statssa.gov.za/publications/D04031/D04031.pdf (Accessed: 16</w:t>
      </w:r>
      <w:r w:rsidR="00B77B6B">
        <w:t> </w:t>
      </w:r>
      <w:r>
        <w:t>August</w:t>
      </w:r>
      <w:r w:rsidR="00B77B6B">
        <w:t> </w:t>
      </w:r>
      <w:r>
        <w:t>2015).</w:t>
      </w:r>
    </w:p>
    <w:p w14:paraId="72EF54DD" w14:textId="77777777" w:rsidR="00A209E3" w:rsidRDefault="00A209E3" w:rsidP="00540F40">
      <w:r>
        <w:t>Stats SA. (2012) The status of the Non-profit Institutions satellite account for South Africa. D0407.1. Pretoria: Statistics South Africa. Available at: http://www.statssa.gov.za/publications/D04071/D04071.pdf.</w:t>
      </w:r>
    </w:p>
    <w:p w14:paraId="6297A5EF" w14:textId="77777777" w:rsidR="00A209E3" w:rsidRDefault="00A209E3" w:rsidP="00540F40">
      <w:r>
        <w:t>Stats SA. (2015) Volunteer Activities Survey. P0211.3. Pretoria: Statistics South Africa. Available at: http://www.statssa.gov.za/publications/P02113/P021132014.pdf.</w:t>
      </w:r>
    </w:p>
    <w:p w14:paraId="6EC5A135" w14:textId="77777777" w:rsidR="00A209E3" w:rsidRDefault="00A209E3" w:rsidP="00540F40">
      <w:r>
        <w:t>Stats SA. (2016a) Quarterly Labour Force Survey. P0211, Quarter 2. Pretoria: Statistics South Africa. Available at: http://www.statssa.gov.za/publications/P0211/P02112ndQuarter2016.pdf.</w:t>
      </w:r>
    </w:p>
    <w:p w14:paraId="2EC650DC" w14:textId="77777777" w:rsidR="00A209E3" w:rsidRDefault="00A209E3" w:rsidP="00540F40">
      <w:r>
        <w:t>Stats SA. (2016b) Tourism satellite account for South Africa (TSA), final 2012 and provisional 2013 and 2014. Report 04-05-07. Pretoria: Statistics South Africa. Available at: http://www.statssa.gov.za/?page_id=1854&amp;PPN=Report-04-05-07.</w:t>
      </w:r>
    </w:p>
    <w:p w14:paraId="0918E343" w14:textId="77777777" w:rsidR="00A209E3" w:rsidRDefault="00A209E3">
      <w:r>
        <w:t xml:space="preserve">Stats SA. (2019). </w:t>
      </w:r>
      <w:r w:rsidRPr="009D3DA2">
        <w:rPr>
          <w:i/>
          <w:iCs/>
        </w:rPr>
        <w:t>Inequality Trends in South Africa: A multidimensional diagnostic of inequality</w:t>
      </w:r>
      <w:r>
        <w:t>. Pretoria: Stats SA.</w:t>
      </w:r>
    </w:p>
    <w:p w14:paraId="1AD344EE" w14:textId="7CDCC6FD" w:rsidR="00A209E3" w:rsidRDefault="00A209E3">
      <w:r>
        <w:t xml:space="preserve">Stats SA. (2021). </w:t>
      </w:r>
      <w:r w:rsidRPr="009D3DA2">
        <w:rPr>
          <w:i/>
          <w:iCs/>
        </w:rPr>
        <w:t>A new and improved GDP is here!</w:t>
      </w:r>
      <w:r>
        <w:t xml:space="preserve"> Available at: http://www.statssa.gov.za/?p=14614 (Accessed: 12</w:t>
      </w:r>
      <w:r w:rsidR="00B77B6B">
        <w:t> </w:t>
      </w:r>
      <w:r>
        <w:t>November</w:t>
      </w:r>
      <w:r w:rsidR="00B77B6B">
        <w:t> </w:t>
      </w:r>
      <w:r>
        <w:t>2021).</w:t>
      </w:r>
    </w:p>
    <w:p w14:paraId="52DD0350" w14:textId="77777777" w:rsidR="00540F40" w:rsidRDefault="00540F40" w:rsidP="00540F40">
      <w:r>
        <w:t>Stone, R. (1954) The measurement of consumers’ expenditure and behaviour in the United Kingdom, 1920-1938,. Cambridge [England): Cambridge University Press.</w:t>
      </w:r>
    </w:p>
    <w:p w14:paraId="03D4F613" w14:textId="717ADF07" w:rsidR="00540F40" w:rsidRPr="00220BD2" w:rsidRDefault="00540F40" w:rsidP="009E57B2">
      <w:r w:rsidRPr="00220BD2">
        <w:t>Stone, R., Stone, G.S., and others (1972) ‘National income and expenditure’. Available at: http://agris.fao.org/agris-search/search.do?recordID=US201300488146 (Accessed: 7</w:t>
      </w:r>
      <w:r w:rsidR="00B77B6B">
        <w:t> </w:t>
      </w:r>
      <w:r w:rsidRPr="00220BD2">
        <w:t>October</w:t>
      </w:r>
      <w:r w:rsidR="00B77B6B">
        <w:t> </w:t>
      </w:r>
      <w:r w:rsidRPr="00220BD2">
        <w:t>2016).</w:t>
      </w:r>
    </w:p>
    <w:p w14:paraId="1BF0DA7F" w14:textId="69359E12" w:rsidR="00540F40" w:rsidRPr="00220BD2" w:rsidRDefault="00540F40" w:rsidP="009E57B2">
      <w:r w:rsidRPr="00220BD2">
        <w:t>Surugiu, C. (2009) The Economic Impact of Tourism. An Input-Output Analysis. National Institute for Research and Development in Tourism. Available at: http://core.ac.uk/download/pdf/6671063.pdf.</w:t>
      </w:r>
    </w:p>
    <w:p w14:paraId="01FAF855" w14:textId="0F6BD8B3" w:rsidR="00540F40" w:rsidRDefault="00540F40">
      <w:r>
        <w:t xml:space="preserve">Svirchevskyy, O. (2021). </w:t>
      </w:r>
      <w:r w:rsidRPr="009D3DA2">
        <w:rPr>
          <w:i/>
          <w:iCs/>
        </w:rPr>
        <w:t>Satellite Accounts</w:t>
      </w:r>
      <w:r>
        <w:t>. Available at: https://statswiki.unece.org/display/SAOI/Satellite+Accounts+-+Online+Inventory+Home (Accessed: 23</w:t>
      </w:r>
      <w:r w:rsidR="00B77B6B">
        <w:t> </w:t>
      </w:r>
      <w:r>
        <w:t>November</w:t>
      </w:r>
      <w:r w:rsidR="00B77B6B">
        <w:t> </w:t>
      </w:r>
      <w:r>
        <w:t>2021).</w:t>
      </w:r>
    </w:p>
    <w:p w14:paraId="14157F37" w14:textId="23EC6636" w:rsidR="00540F40" w:rsidRPr="00220BD2" w:rsidRDefault="00540F40" w:rsidP="009E57B2">
      <w:r w:rsidRPr="00220BD2">
        <w:t>Tepper, S.J. (2002) ‘Creative assets and the changing economy’, The Journal of Arts Management, Law, and Society, 32(2), pp. 159–168. Available at: http://www.tandfonline.com/doi/pdf/10.1080/10632920209596971 (Accessed: 26</w:t>
      </w:r>
      <w:r w:rsidR="00B77B6B">
        <w:t> </w:t>
      </w:r>
      <w:r w:rsidRPr="00220BD2">
        <w:t>August</w:t>
      </w:r>
      <w:r w:rsidR="00B77B6B">
        <w:t> </w:t>
      </w:r>
      <w:r w:rsidRPr="00220BD2">
        <w:t>2016).</w:t>
      </w:r>
    </w:p>
    <w:p w14:paraId="17BE2C83" w14:textId="1D78140C" w:rsidR="00540F40" w:rsidRDefault="00540F40">
      <w:r>
        <w:t xml:space="preserve">Tunnikmah, N. (2021). </w:t>
      </w:r>
      <w:r w:rsidRPr="009D3DA2">
        <w:rPr>
          <w:i/>
          <w:iCs/>
        </w:rPr>
        <w:t>Impact of COVID-19 on the World of Fine Arts: Between Online Exhibitions, Virtual Exhibitions in Cyberspace Appreciation</w:t>
      </w:r>
      <w:r>
        <w:t>. Proceedings of the 2nd International Conference on Interdisciplinary Arts &amp; Humanities (ICONARTIES) 2020. Online. https://ssrn.com/abstract=3800618 or http://dx.doi.org/10.2139/ssrn.3800618</w:t>
      </w:r>
    </w:p>
    <w:p w14:paraId="6C680167" w14:textId="7B3D8A97" w:rsidR="00A209E3" w:rsidRDefault="00A209E3" w:rsidP="00540F40">
      <w:r>
        <w:t>UNESCO. (2005) Backgrounder on Cultural Industries. Jodhpur, India: UNESCO. Available at: http://www.unescobkk.org/fileadmin/user_upload/culture/Cultural_Industries/HK_Open_Forum/Backgrounder-FINAL.pdf (Accessed: 27</w:t>
      </w:r>
      <w:r w:rsidR="00B77B6B">
        <w:t> </w:t>
      </w:r>
      <w:r>
        <w:t>February</w:t>
      </w:r>
      <w:r w:rsidR="00B77B6B">
        <w:t> </w:t>
      </w:r>
      <w:r>
        <w:t>2017).</w:t>
      </w:r>
    </w:p>
    <w:p w14:paraId="6D0AAD5F" w14:textId="77777777" w:rsidR="00A209E3" w:rsidRDefault="00A209E3" w:rsidP="002C6C71">
      <w:r>
        <w:t xml:space="preserve">UNESCO. (2009). </w:t>
      </w:r>
      <w:r w:rsidRPr="00F836F7">
        <w:t>UNESCO Framework for Cultural Statistics</w:t>
      </w:r>
      <w:r>
        <w:t xml:space="preserve">. UNESCO, Montreal. Online [Available] </w:t>
      </w:r>
      <w:hyperlink r:id="rId35" w:tgtFrame="_blank" w:history="1">
        <w:r w:rsidRPr="00F836F7">
          <w:rPr>
            <w:rStyle w:val="Hyperlink"/>
          </w:rPr>
          <w:t>http://uis.unesco.org/sites/default/files/documents/unesco-framework-for-cultural-statistics-2009-en_0.pdf</w:t>
        </w:r>
      </w:hyperlink>
    </w:p>
    <w:p w14:paraId="4DAA1783" w14:textId="77777777" w:rsidR="00A209E3" w:rsidRDefault="00A209E3" w:rsidP="00540F40">
      <w:r>
        <w:t>UNESCO. (2017) Re-shaping cultural policies: advancing creativity for development: 2005 convention global report: 2018. Paris: UNESCO.</w:t>
      </w:r>
    </w:p>
    <w:p w14:paraId="1154DC20" w14:textId="77777777" w:rsidR="00A209E3" w:rsidRDefault="00A209E3">
      <w:r>
        <w:t xml:space="preserve">UNESCO. (2021). </w:t>
      </w:r>
      <w:r w:rsidRPr="009D3DA2">
        <w:rPr>
          <w:i/>
          <w:iCs/>
        </w:rPr>
        <w:t>Museums around the world in the face of Covid-19</w:t>
      </w:r>
      <w:r>
        <w:t>. United Nations Educational, Scientific and Cultural Organization. Online. https://ifap.ru/pr/2021/n210419a.pdf</w:t>
      </w:r>
    </w:p>
    <w:p w14:paraId="75BE95BB" w14:textId="77777777" w:rsidR="00540F40" w:rsidRDefault="00540F40">
      <w:r>
        <w:t xml:space="preserve">United Nations et al. (2009). </w:t>
      </w:r>
      <w:r w:rsidRPr="009D3DA2">
        <w:rPr>
          <w:i/>
          <w:iCs/>
        </w:rPr>
        <w:t>System of national accounts 2008</w:t>
      </w:r>
      <w:r>
        <w:t>. New York: United Nations.</w:t>
      </w:r>
    </w:p>
    <w:p w14:paraId="2B83281D" w14:textId="77777777" w:rsidR="00540F40" w:rsidRDefault="00540F40">
      <w:r>
        <w:lastRenderedPageBreak/>
        <w:t xml:space="preserve">United Nations. (1999). </w:t>
      </w:r>
      <w:r w:rsidRPr="009D3DA2">
        <w:rPr>
          <w:i/>
          <w:iCs/>
        </w:rPr>
        <w:t>Handbook of input-output table compilation and analysis</w:t>
      </w:r>
      <w:r>
        <w:t>. New York: United Nations (Studies in methods, no. 74).</w:t>
      </w:r>
    </w:p>
    <w:p w14:paraId="61A699B4" w14:textId="77777777" w:rsidR="00540F40" w:rsidRDefault="00540F40">
      <w:r>
        <w:t>Velu, J. (2021). Events industry and supply chain business COVID-19 impact survey: 12 November to 8 December 2020. Llywodreath Cymru Welsh Government. pg. 1 - 7</w:t>
      </w:r>
    </w:p>
    <w:p w14:paraId="4F637EEF" w14:textId="77777777" w:rsidR="00540F40" w:rsidRDefault="00540F40">
      <w:r>
        <w:t xml:space="preserve">Wang, H. (2021). The impact of Covid-19 on Movie Industry in China during 2020. </w:t>
      </w:r>
      <w:r w:rsidRPr="009D3DA2">
        <w:rPr>
          <w:i/>
          <w:iCs/>
        </w:rPr>
        <w:t>Advances in Economics, Business and Management</w:t>
      </w:r>
      <w:r>
        <w:t>, 178: 349–354.</w:t>
      </w:r>
    </w:p>
    <w:p w14:paraId="370969EC" w14:textId="77777777" w:rsidR="00540F40" w:rsidRDefault="00540F40">
      <w:r>
        <w:t xml:space="preserve">Watling, G. (2020). </w:t>
      </w:r>
      <w:r w:rsidRPr="009D3DA2">
        <w:rPr>
          <w:i/>
          <w:iCs/>
        </w:rPr>
        <w:t>The impact of Covid-19 on the UK's Theatre Industry</w:t>
      </w:r>
      <w:r>
        <w:t>. APPG UK. Theatre and Society of London Theatre. Online. https://uktheatre.org/EasySiteWeb/GatewayLink.aspx?alId=3187408</w:t>
      </w:r>
    </w:p>
    <w:p w14:paraId="7F314711" w14:textId="77777777" w:rsidR="00540F40" w:rsidRDefault="00540F40" w:rsidP="00A209E3">
      <w:pPr>
        <w:spacing w:after="120"/>
        <w:rPr>
          <w:u w:val="single"/>
        </w:rPr>
      </w:pPr>
      <w:r>
        <w:t xml:space="preserve">White Paper (2017) Revised White Paper on Arts, Culture and Heritage, Department of Sport, Arts and Culture (DSAC), South Africa. Online [Available] </w:t>
      </w:r>
      <w:hyperlink r:id="rId36">
        <w:r>
          <w:rPr>
            <w:color w:val="0563C1"/>
            <w:u w:val="single"/>
          </w:rPr>
          <w:t>http://www.dac.gov.za/content/fourth-draft-revised-white-paper-arts-culture-and-heritage</w:t>
        </w:r>
      </w:hyperlink>
    </w:p>
    <w:p w14:paraId="20804A31" w14:textId="1BA63429" w:rsidR="00540F40" w:rsidRDefault="00540F40">
      <w:r>
        <w:t xml:space="preserve">White, J. (2020). </w:t>
      </w:r>
      <w:r w:rsidRPr="00A209E3">
        <w:t>Digital Futures? Live Streaming in South Africa</w:t>
      </w:r>
      <w:r>
        <w:t xml:space="preserve">. ConcertsSA; IKS Consulting. Online. </w:t>
      </w:r>
      <w:hyperlink r:id="rId37" w:history="1">
        <w:r w:rsidRPr="00A209E3">
          <w:t>https://www.iksafrica.com/reports/Digital-Futures-online.pdf</w:t>
        </w:r>
      </w:hyperlink>
    </w:p>
    <w:p w14:paraId="522BC283" w14:textId="77777777" w:rsidR="00A209E3" w:rsidRDefault="00A209E3"/>
    <w:p w14:paraId="0E170CF0" w14:textId="77777777" w:rsidR="00540F40" w:rsidRDefault="00540F40"/>
    <w:p w14:paraId="000003FB" w14:textId="77777777" w:rsidR="00F8269C" w:rsidRDefault="00450D2D">
      <w:pPr>
        <w:pStyle w:val="Heading1"/>
        <w:numPr>
          <w:ilvl w:val="0"/>
          <w:numId w:val="5"/>
        </w:numPr>
        <w:rPr>
          <w:sz w:val="28"/>
          <w:szCs w:val="28"/>
        </w:rPr>
      </w:pPr>
      <w:r>
        <w:br w:type="page"/>
      </w:r>
    </w:p>
    <w:p w14:paraId="000003FC" w14:textId="19BB5334" w:rsidR="00F8269C" w:rsidRPr="00804F2D" w:rsidRDefault="00804F2D" w:rsidP="00023227">
      <w:pPr>
        <w:pStyle w:val="Heading1"/>
        <w:numPr>
          <w:ilvl w:val="0"/>
          <w:numId w:val="0"/>
        </w:numPr>
        <w:ind w:left="360"/>
      </w:pPr>
      <w:bookmarkStart w:id="129" w:name="_Toc93842797"/>
      <w:bookmarkStart w:id="130" w:name="_Toc93842983"/>
      <w:bookmarkStart w:id="131" w:name="_Toc93843361"/>
      <w:r w:rsidRPr="00804F2D">
        <w:rPr>
          <w:rFonts w:eastAsia="Times New Roman"/>
        </w:rPr>
        <w:lastRenderedPageBreak/>
        <w:t>Appendix 1.</w:t>
      </w:r>
      <w:r w:rsidR="00450D2D" w:rsidRPr="00804F2D">
        <w:rPr>
          <w:rFonts w:eastAsia="Times New Roman"/>
        </w:rPr>
        <w:t xml:space="preserve"> </w:t>
      </w:r>
      <w:r w:rsidR="00450D2D" w:rsidRPr="00804F2D">
        <w:t xml:space="preserve">The UNESCO </w:t>
      </w:r>
      <w:r w:rsidR="004914E3">
        <w:t>M</w:t>
      </w:r>
      <w:r w:rsidR="00450D2D" w:rsidRPr="00804F2D">
        <w:t>apping of SNA and Stats</w:t>
      </w:r>
      <w:r w:rsidR="003649AD">
        <w:t> </w:t>
      </w:r>
      <w:r w:rsidR="00450D2D" w:rsidRPr="00804F2D">
        <w:t xml:space="preserve">SA </w:t>
      </w:r>
      <w:r w:rsidR="004914E3">
        <w:t>C</w:t>
      </w:r>
      <w:r w:rsidR="00450D2D" w:rsidRPr="00804F2D">
        <w:t>lassifications</w:t>
      </w:r>
      <w:bookmarkEnd w:id="129"/>
      <w:bookmarkEnd w:id="130"/>
      <w:bookmarkEnd w:id="131"/>
    </w:p>
    <w:p w14:paraId="000003FE" w14:textId="77777777" w:rsidR="00F8269C" w:rsidRDefault="00450D2D">
      <w:pPr>
        <w:pStyle w:val="Heading4"/>
        <w:numPr>
          <w:ilvl w:val="0"/>
          <w:numId w:val="10"/>
        </w:numPr>
        <w:rPr>
          <w:b/>
        </w:rPr>
      </w:pPr>
      <w:bookmarkStart w:id="132" w:name="_Toc90191878"/>
      <w:bookmarkStart w:id="133" w:name="_Toc93842798"/>
      <w:bookmarkStart w:id="134" w:name="_Toc93842984"/>
      <w:r>
        <w:rPr>
          <w:b/>
          <w:sz w:val="24"/>
          <w:szCs w:val="24"/>
        </w:rPr>
        <w:t>System of National Accounts</w:t>
      </w:r>
      <w:bookmarkEnd w:id="132"/>
      <w:bookmarkEnd w:id="133"/>
      <w:bookmarkEnd w:id="134"/>
    </w:p>
    <w:p w14:paraId="000003FF" w14:textId="77777777" w:rsidR="00F8269C" w:rsidRDefault="00450D2D">
      <w:pPr>
        <w:pStyle w:val="Heading4"/>
      </w:pPr>
      <w:bookmarkStart w:id="135" w:name="_heading=h.43ky6rz" w:colFirst="0" w:colLast="0"/>
      <w:bookmarkStart w:id="136" w:name="_Toc90191879"/>
      <w:bookmarkStart w:id="137" w:name="_Toc93842799"/>
      <w:bookmarkStart w:id="138" w:name="_Toc93842985"/>
      <w:bookmarkEnd w:id="135"/>
      <w:r>
        <w:t>History and Background</w:t>
      </w:r>
      <w:bookmarkEnd w:id="136"/>
      <w:bookmarkEnd w:id="137"/>
      <w:bookmarkEnd w:id="138"/>
    </w:p>
    <w:p w14:paraId="00000400" w14:textId="77777777" w:rsidR="00F8269C" w:rsidRDefault="00450D2D" w:rsidP="009D3DA2">
      <w:pPr>
        <w:jc w:val="both"/>
      </w:pPr>
      <w:r>
        <w:t xml:space="preserve">Over the years there have been many developments that have contributed to this understanding. Since the late 1940s, the UN has been working on developing a harmonised SNA that helps with the comparison of different economies. It is an internationally agreed set of recommendations on how to compile economic activity in a coherent, consistent and integrated manner to generate a set of national macroeconomic accounts. There are also internationally agreed concepts, classifications and accounting rules. The integration of an </w:t>
      </w:r>
      <w:r>
        <w:rPr>
          <w:b/>
        </w:rPr>
        <w:t>IO</w:t>
      </w:r>
      <w:r>
        <w:t xml:space="preserve"> framework into the SNA was developed and published in 1968 by the UN. This framework ensures that all national accounts are balanced and that the three methods used to calculate the GDP are indeed aligned.</w:t>
      </w:r>
    </w:p>
    <w:p w14:paraId="611B8B40" w14:textId="13D968DF" w:rsidR="00480AD9" w:rsidRDefault="002475E0">
      <w:pPr>
        <w:pBdr>
          <w:top w:val="nil"/>
          <w:left w:val="nil"/>
          <w:bottom w:val="nil"/>
          <w:right w:val="nil"/>
          <w:between w:val="nil"/>
        </w:pBdr>
        <w:spacing w:after="200"/>
        <w:rPr>
          <w:i/>
          <w:color w:val="44546A"/>
          <w:sz w:val="18"/>
          <w:szCs w:val="18"/>
        </w:rPr>
      </w:pPr>
      <w:sdt>
        <w:sdtPr>
          <w:tag w:val="goog_rdk_65"/>
          <w:id w:val="-342100067"/>
        </w:sdtPr>
        <w:sdtEndPr/>
        <w:sdtContent/>
      </w:sdt>
    </w:p>
    <w:p w14:paraId="78BA0C2F" w14:textId="22A5C4E3" w:rsidR="00480AD9" w:rsidRDefault="002475E0">
      <w:pPr>
        <w:pBdr>
          <w:top w:val="nil"/>
          <w:left w:val="nil"/>
          <w:bottom w:val="nil"/>
          <w:right w:val="nil"/>
          <w:between w:val="nil"/>
        </w:pBdr>
        <w:rPr>
          <w:color w:val="000000"/>
        </w:rPr>
      </w:pPr>
      <w:sdt>
        <w:sdtPr>
          <w:tag w:val="goog_rdk_66"/>
          <w:id w:val="-2068334008"/>
          <w:showingPlcHdr/>
        </w:sdtPr>
        <w:sdtEndPr/>
        <w:sdtContent>
          <w:r w:rsidR="00480AD9">
            <w:t xml:space="preserve">     </w:t>
          </w:r>
        </w:sdtContent>
      </w:sdt>
      <w:r w:rsidR="00480AD9">
        <w:rPr>
          <w:noProof/>
        </w:rPr>
        <w:t xml:space="preserve"> </w:t>
      </w:r>
      <w:r w:rsidR="00480AD9">
        <w:rPr>
          <w:noProof/>
        </w:rPr>
        <w:drawing>
          <wp:inline distT="0" distB="0" distL="0" distR="0" wp14:anchorId="14726388" wp14:editId="03612703">
            <wp:extent cx="3048000" cy="4607008"/>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083650" cy="4660893"/>
                    </a:xfrm>
                    <a:prstGeom prst="rect">
                      <a:avLst/>
                    </a:prstGeom>
                  </pic:spPr>
                </pic:pic>
              </a:graphicData>
            </a:graphic>
          </wp:inline>
        </w:drawing>
      </w:r>
      <w:r w:rsidR="00480AD9">
        <w:rPr>
          <w:noProof/>
        </w:rPr>
        <w:drawing>
          <wp:anchor distT="0" distB="0" distL="0" distR="0" simplePos="0" relativeHeight="251668480" behindDoc="1" locked="0" layoutInCell="1" hidden="0" allowOverlap="1" wp14:anchorId="41223FF5" wp14:editId="59FC77BD">
            <wp:simplePos x="0" y="0"/>
            <wp:positionH relativeFrom="column">
              <wp:posOffset>1905</wp:posOffset>
            </wp:positionH>
            <wp:positionV relativeFrom="paragraph">
              <wp:posOffset>0</wp:posOffset>
            </wp:positionV>
            <wp:extent cx="2032635" cy="2907665"/>
            <wp:effectExtent l="0" t="0" r="0" b="0"/>
            <wp:wrapNone/>
            <wp:docPr id="330" name="image3.jp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Text&#10;&#10;Description automatically generated"/>
                    <pic:cNvPicPr preferRelativeResize="0"/>
                  </pic:nvPicPr>
                  <pic:blipFill>
                    <a:blip r:embed="rId39"/>
                    <a:srcRect/>
                    <a:stretch>
                      <a:fillRect/>
                    </a:stretch>
                  </pic:blipFill>
                  <pic:spPr>
                    <a:xfrm>
                      <a:off x="0" y="0"/>
                      <a:ext cx="2032635" cy="2907665"/>
                    </a:xfrm>
                    <a:prstGeom prst="rect">
                      <a:avLst/>
                    </a:prstGeom>
                    <a:ln/>
                  </pic:spPr>
                </pic:pic>
              </a:graphicData>
            </a:graphic>
          </wp:anchor>
        </w:drawing>
      </w:r>
    </w:p>
    <w:p w14:paraId="1698E67E" w14:textId="77777777" w:rsidR="00201EAC" w:rsidRDefault="00201EAC" w:rsidP="00201EAC">
      <w:pPr>
        <w:pBdr>
          <w:top w:val="nil"/>
          <w:left w:val="nil"/>
          <w:bottom w:val="nil"/>
          <w:right w:val="nil"/>
          <w:between w:val="nil"/>
        </w:pBdr>
        <w:spacing w:after="200"/>
        <w:rPr>
          <w:i/>
          <w:color w:val="44546A"/>
          <w:sz w:val="18"/>
          <w:szCs w:val="18"/>
        </w:rPr>
      </w:pPr>
      <w:bookmarkStart w:id="139" w:name="_heading=h.xvir7l" w:colFirst="0" w:colLast="0"/>
      <w:bookmarkStart w:id="140" w:name="_Toc90191880"/>
      <w:bookmarkEnd w:id="139"/>
      <w:r>
        <w:rPr>
          <w:i/>
          <w:color w:val="44546A"/>
          <w:sz w:val="18"/>
          <w:szCs w:val="18"/>
        </w:rPr>
        <w:t>Figure 17: Tableau Économique</w:t>
      </w:r>
    </w:p>
    <w:p w14:paraId="2576DA55" w14:textId="2E05D6B0" w:rsidR="00787157" w:rsidRPr="009D3DA2" w:rsidRDefault="00787157" w:rsidP="009D3DA2">
      <w:pPr>
        <w:pStyle w:val="Heading4"/>
        <w:spacing w:before="120" w:after="160"/>
        <w:rPr>
          <w:rFonts w:ascii="Arial" w:hAnsi="Arial" w:cs="Arial"/>
          <w:i w:val="0"/>
          <w:iCs w:val="0"/>
          <w:sz w:val="18"/>
          <w:szCs w:val="18"/>
        </w:rPr>
      </w:pPr>
      <w:bookmarkStart w:id="141" w:name="_Toc93842800"/>
      <w:bookmarkStart w:id="142" w:name="_Toc93842986"/>
      <w:r w:rsidRPr="009D3DA2">
        <w:rPr>
          <w:rFonts w:ascii="Arial" w:hAnsi="Arial" w:cs="Arial"/>
          <w:i w:val="0"/>
          <w:iCs w:val="0"/>
          <w:color w:val="000000"/>
          <w:sz w:val="18"/>
          <w:szCs w:val="18"/>
        </w:rPr>
        <w:t>Source: Quesnay</w:t>
      </w:r>
      <w:r w:rsidRPr="009D3DA2">
        <w:rPr>
          <w:rFonts w:ascii="Arial" w:hAnsi="Arial" w:cs="Arial"/>
          <w:i w:val="0"/>
          <w:iCs w:val="0"/>
          <w:color w:val="000000"/>
          <w:sz w:val="18"/>
          <w:szCs w:val="18"/>
          <w:vertAlign w:val="superscript"/>
        </w:rPr>
        <w:footnoteReference w:id="13"/>
      </w:r>
      <w:bookmarkEnd w:id="140"/>
      <w:bookmarkEnd w:id="141"/>
      <w:bookmarkEnd w:id="142"/>
    </w:p>
    <w:p w14:paraId="00000404" w14:textId="64838AF6" w:rsidR="00F8269C" w:rsidRDefault="00450D2D">
      <w:pPr>
        <w:pStyle w:val="Heading4"/>
      </w:pPr>
      <w:bookmarkStart w:id="143" w:name="_Toc90191881"/>
      <w:bookmarkStart w:id="144" w:name="_Toc93842801"/>
      <w:bookmarkStart w:id="145" w:name="_Toc93842987"/>
      <w:r>
        <w:t>The Physiocrats</w:t>
      </w:r>
      <w:bookmarkEnd w:id="143"/>
      <w:bookmarkEnd w:id="144"/>
      <w:bookmarkEnd w:id="145"/>
    </w:p>
    <w:p w14:paraId="00000405" w14:textId="0C175FBB" w:rsidR="00F8269C" w:rsidRDefault="00450D2D" w:rsidP="009D3DA2">
      <w:pPr>
        <w:jc w:val="both"/>
      </w:pPr>
      <w:r>
        <w:t xml:space="preserve">However, the history of </w:t>
      </w:r>
      <w:r>
        <w:rPr>
          <w:b/>
        </w:rPr>
        <w:t>IO</w:t>
      </w:r>
      <w:r>
        <w:t xml:space="preserve"> tables can be traced back to the </w:t>
      </w:r>
      <w:sdt>
        <w:sdtPr>
          <w:tag w:val="goog_rdk_67"/>
          <w:id w:val="-369531806"/>
        </w:sdtPr>
        <w:sdtEndPr/>
        <w:sdtContent/>
      </w:sdt>
      <w:r>
        <w:t>Physiocrats</w:t>
      </w:r>
      <w:r w:rsidR="000E5B8D">
        <w:t>, who</w:t>
      </w:r>
      <w:r>
        <w:t xml:space="preserve"> were a group of French Enlightenment thinkers of the 1760s led by François Quesnay.</w:t>
      </w:r>
    </w:p>
    <w:p w14:paraId="00000406" w14:textId="5BBF123B" w:rsidR="00F8269C" w:rsidRDefault="00450D2D" w:rsidP="009D3DA2">
      <w:pPr>
        <w:jc w:val="both"/>
      </w:pPr>
      <w:r>
        <w:lastRenderedPageBreak/>
        <w:t xml:space="preserve">The origin of Physiocratic doctrine was the Tableau Économique (Quesnay, </w:t>
      </w:r>
      <w:r w:rsidR="00540F40">
        <w:t>1961</w:t>
      </w:r>
      <w:r>
        <w:t xml:space="preserve">). </w:t>
      </w:r>
      <w:r w:rsidR="000E5B8D">
        <w:t xml:space="preserve">Quesnay </w:t>
      </w:r>
      <w:r>
        <w:t>diagrammed the relationship between the different economic classes and sectors of society and the flow of payments between them. Essentially the Tableau Économique was a descriptive device showing sales and purchase relationships among various producers and consumers in an economy. Through this, he developed the notion of economic equilibrium, a concept frequently used as a point of departure for subsequent economic analysis.</w:t>
      </w:r>
    </w:p>
    <w:p w14:paraId="00000407" w14:textId="77777777" w:rsidR="00F8269C" w:rsidRDefault="00450D2D">
      <w:pPr>
        <w:pStyle w:val="Heading4"/>
      </w:pPr>
      <w:bookmarkStart w:id="146" w:name="_heading=h.3hv69ve" w:colFirst="0" w:colLast="0"/>
      <w:bookmarkStart w:id="147" w:name="_Toc90191882"/>
      <w:bookmarkStart w:id="148" w:name="_Toc93842802"/>
      <w:bookmarkStart w:id="149" w:name="_Toc93842988"/>
      <w:bookmarkEnd w:id="146"/>
      <w:r>
        <w:t>Wassily Leontief</w:t>
      </w:r>
      <w:bookmarkEnd w:id="147"/>
      <w:bookmarkEnd w:id="148"/>
      <w:bookmarkEnd w:id="149"/>
    </w:p>
    <w:p w14:paraId="00000408" w14:textId="77777777" w:rsidR="00F8269C" w:rsidRDefault="00450D2D" w:rsidP="009D3DA2">
      <w:pPr>
        <w:jc w:val="both"/>
      </w:pPr>
      <w:r>
        <w:t xml:space="preserve">Wassily Leontief developed the </w:t>
      </w:r>
      <w:r>
        <w:rPr>
          <w:b/>
        </w:rPr>
        <w:t>IO</w:t>
      </w:r>
      <w:r>
        <w:t xml:space="preserve"> framework as both a theoretical and an applied economic tool. He constructed the first </w:t>
      </w:r>
      <w:r>
        <w:rPr>
          <w:b/>
        </w:rPr>
        <w:t>IO</w:t>
      </w:r>
      <w:r>
        <w:t xml:space="preserve"> tables for the United States for the years 1919 and 1929. Leontief received the Nobel Prize for economic science in 1973. An economic model developed using </w:t>
      </w:r>
      <w:r>
        <w:rPr>
          <w:b/>
        </w:rPr>
        <w:t>IO</w:t>
      </w:r>
      <w:r>
        <w:t xml:space="preserve"> analysis is generally referred to as a Leontief model. It is also called “interindustry analysis” because it analyses the independence of industries in an economy.</w:t>
      </w:r>
    </w:p>
    <w:p w14:paraId="00000409" w14:textId="77777777" w:rsidR="00F8269C" w:rsidRDefault="00450D2D">
      <w:pPr>
        <w:pStyle w:val="Heading4"/>
      </w:pPr>
      <w:bookmarkStart w:id="150" w:name="_heading=h.1x0gk37" w:colFirst="0" w:colLast="0"/>
      <w:bookmarkStart w:id="151" w:name="_Toc90191883"/>
      <w:bookmarkStart w:id="152" w:name="_Toc93842803"/>
      <w:bookmarkStart w:id="153" w:name="_Toc93842989"/>
      <w:bookmarkEnd w:id="150"/>
      <w:r>
        <w:t>Richard Stone</w:t>
      </w:r>
      <w:bookmarkEnd w:id="151"/>
      <w:bookmarkEnd w:id="152"/>
      <w:bookmarkEnd w:id="153"/>
    </w:p>
    <w:p w14:paraId="0000040A" w14:textId="14235EB5" w:rsidR="00F8269C" w:rsidRDefault="00450D2D" w:rsidP="009D3DA2">
      <w:pPr>
        <w:jc w:val="both"/>
      </w:pPr>
      <w:r>
        <w:t xml:space="preserve">Richard Stone, who received a Nobel Prize for economic science in 1984, integrated the </w:t>
      </w:r>
      <w:r>
        <w:rPr>
          <w:b/>
        </w:rPr>
        <w:t>IO</w:t>
      </w:r>
      <w:r>
        <w:t xml:space="preserve"> framework into the SNA.</w:t>
      </w:r>
    </w:p>
    <w:p w14:paraId="0000040B" w14:textId="77777777" w:rsidR="00F8269C" w:rsidRDefault="00450D2D" w:rsidP="009D3DA2">
      <w:pPr>
        <w:jc w:val="both"/>
      </w:pPr>
      <w:r>
        <w:t xml:space="preserve">These early </w:t>
      </w:r>
      <w:r>
        <w:rPr>
          <w:b/>
        </w:rPr>
        <w:t>IO</w:t>
      </w:r>
      <w:r>
        <w:t xml:space="preserve">s had only a few sectors. Computing power was limited, and this made analysis and computation very difficult. However, as technology has improved the number of sectors (both industries and products) has increased. Modern </w:t>
      </w:r>
      <w:r>
        <w:rPr>
          <w:b/>
        </w:rPr>
        <w:t>IO</w:t>
      </w:r>
      <w:r>
        <w:t>s are limited by the raw data available. This is collected using surveys which are expensive.</w:t>
      </w:r>
    </w:p>
    <w:p w14:paraId="0000040C" w14:textId="77777777" w:rsidR="00F8269C" w:rsidRDefault="00450D2D">
      <w:pPr>
        <w:pStyle w:val="Heading4"/>
      </w:pPr>
      <w:bookmarkStart w:id="154" w:name="_heading=h.4h042r0" w:colFirst="0" w:colLast="0"/>
      <w:bookmarkStart w:id="155" w:name="_Toc90191884"/>
      <w:bookmarkStart w:id="156" w:name="_Toc93842804"/>
      <w:bookmarkStart w:id="157" w:name="_Toc93842990"/>
      <w:bookmarkEnd w:id="154"/>
      <w:r>
        <w:t>The International Input-Output Association</w:t>
      </w:r>
      <w:bookmarkEnd w:id="155"/>
      <w:bookmarkEnd w:id="156"/>
      <w:bookmarkEnd w:id="157"/>
    </w:p>
    <w:p w14:paraId="0000040D" w14:textId="77777777" w:rsidR="00F8269C" w:rsidRDefault="00450D2D" w:rsidP="009D3DA2">
      <w:pPr>
        <w:jc w:val="both"/>
      </w:pPr>
      <w:r>
        <w:t xml:space="preserve">Founded in 1988, the International Input-Output Association (IIOA) grew out of an informal worldwide network of economists and others with interests in </w:t>
      </w:r>
      <w:r>
        <w:rPr>
          <w:b/>
        </w:rPr>
        <w:t>IO</w:t>
      </w:r>
      <w:r>
        <w:t xml:space="preserve"> analysis. It is a scientific non-profit membership organisation with the objective of advancing knowledge in the field of input-output analysis, including improvements in basic data, theoretical insights and modelling, and applications, both traditional and novel, of </w:t>
      </w:r>
      <w:r>
        <w:rPr>
          <w:b/>
        </w:rPr>
        <w:t>IO</w:t>
      </w:r>
      <w:r>
        <w:t xml:space="preserve"> techniques.</w:t>
      </w:r>
    </w:p>
    <w:p w14:paraId="00000410" w14:textId="77777777" w:rsidR="00F8269C" w:rsidRDefault="00450D2D">
      <w:pPr>
        <w:pStyle w:val="Heading4"/>
        <w:numPr>
          <w:ilvl w:val="0"/>
          <w:numId w:val="10"/>
        </w:numPr>
        <w:rPr>
          <w:b/>
        </w:rPr>
      </w:pPr>
      <w:bookmarkStart w:id="158" w:name="_Toc90191885"/>
      <w:bookmarkStart w:id="159" w:name="_Toc93842805"/>
      <w:bookmarkStart w:id="160" w:name="_Toc93842991"/>
      <w:r>
        <w:rPr>
          <w:b/>
          <w:sz w:val="24"/>
          <w:szCs w:val="24"/>
        </w:rPr>
        <w:t>Standard Industrial Classification of all Economic Activities (SIC) Seventh Edition</w:t>
      </w:r>
      <w:r>
        <w:rPr>
          <w:b/>
          <w:sz w:val="24"/>
          <w:szCs w:val="24"/>
          <w:vertAlign w:val="superscript"/>
        </w:rPr>
        <w:footnoteReference w:id="14"/>
      </w:r>
      <w:bookmarkEnd w:id="158"/>
      <w:bookmarkEnd w:id="159"/>
      <w:bookmarkEnd w:id="160"/>
    </w:p>
    <w:p w14:paraId="00000411" w14:textId="497E3467" w:rsidR="00F8269C" w:rsidRDefault="00450D2D">
      <w:pPr>
        <w:pStyle w:val="Heading4"/>
      </w:pPr>
      <w:bookmarkStart w:id="161" w:name="_Toc90191886"/>
      <w:bookmarkStart w:id="162" w:name="_Toc93842806"/>
      <w:bookmarkStart w:id="163" w:name="_Toc93842992"/>
      <w:r>
        <w:t xml:space="preserve">Section </w:t>
      </w:r>
      <w:r w:rsidR="00DA4D0D">
        <w:t>a</w:t>
      </w:r>
      <w:r>
        <w:t xml:space="preserve">: Agriculture, </w:t>
      </w:r>
      <w:r w:rsidR="00DA4D0D">
        <w:t>F</w:t>
      </w:r>
      <w:r>
        <w:t xml:space="preserve">orestry and </w:t>
      </w:r>
      <w:r w:rsidR="00DA4D0D">
        <w:t>F</w:t>
      </w:r>
      <w:r>
        <w:t>ishing</w:t>
      </w:r>
      <w:bookmarkEnd w:id="161"/>
      <w:bookmarkEnd w:id="162"/>
      <w:bookmarkEnd w:id="163"/>
    </w:p>
    <w:p w14:paraId="00000412" w14:textId="77777777" w:rsidR="00F8269C" w:rsidRDefault="00450D2D">
      <w:pPr>
        <w:pBdr>
          <w:top w:val="nil"/>
          <w:left w:val="nil"/>
          <w:bottom w:val="nil"/>
          <w:right w:val="nil"/>
          <w:between w:val="nil"/>
        </w:pBdr>
        <w:spacing w:after="0"/>
        <w:ind w:left="720"/>
        <w:rPr>
          <w:color w:val="000000"/>
        </w:rPr>
      </w:pPr>
      <w:r>
        <w:rPr>
          <w:color w:val="000000"/>
        </w:rPr>
        <w:t>Division 01 Crop and animal production, hunting and related service activities</w:t>
      </w:r>
    </w:p>
    <w:p w14:paraId="00000413" w14:textId="77777777" w:rsidR="00F8269C" w:rsidRDefault="00450D2D">
      <w:pPr>
        <w:pBdr>
          <w:top w:val="nil"/>
          <w:left w:val="nil"/>
          <w:bottom w:val="nil"/>
          <w:right w:val="nil"/>
          <w:between w:val="nil"/>
        </w:pBdr>
        <w:spacing w:after="0"/>
        <w:ind w:left="720"/>
        <w:rPr>
          <w:color w:val="000000"/>
        </w:rPr>
      </w:pPr>
      <w:r>
        <w:rPr>
          <w:color w:val="000000"/>
        </w:rPr>
        <w:t>Division 02 Forestry and logging</w:t>
      </w:r>
    </w:p>
    <w:p w14:paraId="00000414" w14:textId="77777777" w:rsidR="00F8269C" w:rsidRDefault="00450D2D">
      <w:pPr>
        <w:pBdr>
          <w:top w:val="nil"/>
          <w:left w:val="nil"/>
          <w:bottom w:val="nil"/>
          <w:right w:val="nil"/>
          <w:between w:val="nil"/>
        </w:pBdr>
        <w:ind w:left="720"/>
        <w:rPr>
          <w:color w:val="000000"/>
        </w:rPr>
      </w:pPr>
      <w:r>
        <w:rPr>
          <w:color w:val="000000"/>
        </w:rPr>
        <w:t>Division 03 Fishing and aquaculture</w:t>
      </w:r>
    </w:p>
    <w:p w14:paraId="00000415" w14:textId="1FD8B247" w:rsidR="00F8269C" w:rsidRDefault="00450D2D">
      <w:pPr>
        <w:pStyle w:val="Heading4"/>
      </w:pPr>
      <w:bookmarkStart w:id="164" w:name="_Toc90191887"/>
      <w:bookmarkStart w:id="165" w:name="_Toc93842807"/>
      <w:bookmarkStart w:id="166" w:name="_Toc93842993"/>
      <w:r>
        <w:t xml:space="preserve">Section B: Mining and </w:t>
      </w:r>
      <w:r w:rsidR="00DA4D0D">
        <w:t>Q</w:t>
      </w:r>
      <w:r>
        <w:t>uarrying</w:t>
      </w:r>
      <w:bookmarkEnd w:id="164"/>
      <w:bookmarkEnd w:id="165"/>
      <w:bookmarkEnd w:id="166"/>
    </w:p>
    <w:p w14:paraId="00000416" w14:textId="77777777" w:rsidR="00F8269C" w:rsidRDefault="00450D2D">
      <w:pPr>
        <w:pBdr>
          <w:top w:val="nil"/>
          <w:left w:val="nil"/>
          <w:bottom w:val="nil"/>
          <w:right w:val="nil"/>
          <w:between w:val="nil"/>
        </w:pBdr>
        <w:spacing w:after="0"/>
        <w:ind w:left="720"/>
        <w:rPr>
          <w:color w:val="000000"/>
        </w:rPr>
      </w:pPr>
      <w:r>
        <w:rPr>
          <w:color w:val="000000"/>
        </w:rPr>
        <w:t>Division 05 Mining of coal and lignite</w:t>
      </w:r>
    </w:p>
    <w:p w14:paraId="00000417" w14:textId="77777777" w:rsidR="00F8269C" w:rsidRDefault="00450D2D">
      <w:pPr>
        <w:pBdr>
          <w:top w:val="nil"/>
          <w:left w:val="nil"/>
          <w:bottom w:val="nil"/>
          <w:right w:val="nil"/>
          <w:between w:val="nil"/>
        </w:pBdr>
        <w:spacing w:after="0"/>
        <w:ind w:left="720"/>
        <w:rPr>
          <w:color w:val="000000"/>
        </w:rPr>
      </w:pPr>
      <w:r>
        <w:rPr>
          <w:color w:val="000000"/>
        </w:rPr>
        <w:t>Division 06 Extraction of crude petroleum and natural gas</w:t>
      </w:r>
    </w:p>
    <w:p w14:paraId="00000418" w14:textId="77777777" w:rsidR="00F8269C" w:rsidRDefault="00450D2D">
      <w:pPr>
        <w:pBdr>
          <w:top w:val="nil"/>
          <w:left w:val="nil"/>
          <w:bottom w:val="nil"/>
          <w:right w:val="nil"/>
          <w:between w:val="nil"/>
        </w:pBdr>
        <w:spacing w:after="0"/>
        <w:ind w:left="720"/>
        <w:rPr>
          <w:color w:val="000000"/>
        </w:rPr>
      </w:pPr>
      <w:r>
        <w:rPr>
          <w:color w:val="000000"/>
        </w:rPr>
        <w:t>Division 07 Mining of metal ores</w:t>
      </w:r>
    </w:p>
    <w:p w14:paraId="00000419" w14:textId="77777777" w:rsidR="00F8269C" w:rsidRDefault="00450D2D">
      <w:pPr>
        <w:pBdr>
          <w:top w:val="nil"/>
          <w:left w:val="nil"/>
          <w:bottom w:val="nil"/>
          <w:right w:val="nil"/>
          <w:between w:val="nil"/>
        </w:pBdr>
        <w:spacing w:after="0"/>
        <w:ind w:left="720"/>
        <w:rPr>
          <w:color w:val="000000"/>
        </w:rPr>
      </w:pPr>
      <w:r>
        <w:rPr>
          <w:color w:val="000000"/>
        </w:rPr>
        <w:t>Division 08 Other mining and quarrying</w:t>
      </w:r>
    </w:p>
    <w:p w14:paraId="0000041A" w14:textId="77777777" w:rsidR="00F8269C" w:rsidRDefault="00450D2D">
      <w:pPr>
        <w:pBdr>
          <w:top w:val="nil"/>
          <w:left w:val="nil"/>
          <w:bottom w:val="nil"/>
          <w:right w:val="nil"/>
          <w:between w:val="nil"/>
        </w:pBdr>
        <w:ind w:left="720"/>
        <w:rPr>
          <w:color w:val="000000"/>
        </w:rPr>
      </w:pPr>
      <w:r>
        <w:rPr>
          <w:color w:val="000000"/>
        </w:rPr>
        <w:t>Division 09 Mining support service activities</w:t>
      </w:r>
    </w:p>
    <w:p w14:paraId="0000041B" w14:textId="77777777" w:rsidR="00F8269C" w:rsidRDefault="00450D2D">
      <w:pPr>
        <w:pStyle w:val="Heading4"/>
      </w:pPr>
      <w:bookmarkStart w:id="167" w:name="_Toc90191888"/>
      <w:bookmarkStart w:id="168" w:name="_Toc93842808"/>
      <w:bookmarkStart w:id="169" w:name="_Toc93842994"/>
      <w:r>
        <w:t>Section C: Manufacturing</w:t>
      </w:r>
      <w:bookmarkEnd w:id="167"/>
      <w:bookmarkEnd w:id="168"/>
      <w:bookmarkEnd w:id="169"/>
    </w:p>
    <w:p w14:paraId="0000041C" w14:textId="77777777" w:rsidR="00F8269C" w:rsidRDefault="00450D2D">
      <w:pPr>
        <w:pBdr>
          <w:top w:val="nil"/>
          <w:left w:val="nil"/>
          <w:bottom w:val="nil"/>
          <w:right w:val="nil"/>
          <w:between w:val="nil"/>
        </w:pBdr>
        <w:spacing w:after="0"/>
        <w:ind w:left="720"/>
        <w:rPr>
          <w:color w:val="000000"/>
        </w:rPr>
      </w:pPr>
      <w:r>
        <w:rPr>
          <w:color w:val="000000"/>
        </w:rPr>
        <w:t>Division 10 Manufacture of food products</w:t>
      </w:r>
    </w:p>
    <w:p w14:paraId="0000041D" w14:textId="77777777" w:rsidR="00F8269C" w:rsidRDefault="00450D2D">
      <w:pPr>
        <w:pBdr>
          <w:top w:val="nil"/>
          <w:left w:val="nil"/>
          <w:bottom w:val="nil"/>
          <w:right w:val="nil"/>
          <w:between w:val="nil"/>
        </w:pBdr>
        <w:spacing w:after="0"/>
        <w:ind w:left="720"/>
        <w:rPr>
          <w:color w:val="000000"/>
        </w:rPr>
      </w:pPr>
      <w:r>
        <w:rPr>
          <w:color w:val="000000"/>
        </w:rPr>
        <w:t>Division 11 Manufacture of beverages</w:t>
      </w:r>
    </w:p>
    <w:p w14:paraId="0000041E" w14:textId="77777777" w:rsidR="00F8269C" w:rsidRDefault="00450D2D">
      <w:pPr>
        <w:pBdr>
          <w:top w:val="nil"/>
          <w:left w:val="nil"/>
          <w:bottom w:val="nil"/>
          <w:right w:val="nil"/>
          <w:between w:val="nil"/>
        </w:pBdr>
        <w:spacing w:after="0"/>
        <w:ind w:left="720"/>
        <w:rPr>
          <w:color w:val="000000"/>
        </w:rPr>
      </w:pPr>
      <w:r>
        <w:rPr>
          <w:color w:val="000000"/>
        </w:rPr>
        <w:t>Division 12 Manufacture of tobacco products</w:t>
      </w:r>
    </w:p>
    <w:p w14:paraId="0000041F" w14:textId="77777777" w:rsidR="00F8269C" w:rsidRDefault="00450D2D">
      <w:pPr>
        <w:pBdr>
          <w:top w:val="nil"/>
          <w:left w:val="nil"/>
          <w:bottom w:val="nil"/>
          <w:right w:val="nil"/>
          <w:between w:val="nil"/>
        </w:pBdr>
        <w:spacing w:after="0"/>
        <w:ind w:left="720"/>
        <w:rPr>
          <w:color w:val="000000"/>
        </w:rPr>
      </w:pPr>
      <w:r>
        <w:rPr>
          <w:color w:val="000000"/>
        </w:rPr>
        <w:t>Division 13 Manufacture of textiles</w:t>
      </w:r>
    </w:p>
    <w:p w14:paraId="00000420" w14:textId="77777777" w:rsidR="00F8269C" w:rsidRDefault="00450D2D">
      <w:pPr>
        <w:pBdr>
          <w:top w:val="nil"/>
          <w:left w:val="nil"/>
          <w:bottom w:val="nil"/>
          <w:right w:val="nil"/>
          <w:between w:val="nil"/>
        </w:pBdr>
        <w:spacing w:after="0"/>
        <w:ind w:left="720"/>
        <w:rPr>
          <w:color w:val="000000"/>
        </w:rPr>
      </w:pPr>
      <w:r>
        <w:rPr>
          <w:color w:val="000000"/>
        </w:rPr>
        <w:t>Division 14 Manufacture of wearing apparel</w:t>
      </w:r>
    </w:p>
    <w:p w14:paraId="00000421" w14:textId="77777777" w:rsidR="00F8269C" w:rsidRDefault="00450D2D">
      <w:pPr>
        <w:pBdr>
          <w:top w:val="nil"/>
          <w:left w:val="nil"/>
          <w:bottom w:val="nil"/>
          <w:right w:val="nil"/>
          <w:between w:val="nil"/>
        </w:pBdr>
        <w:spacing w:after="0"/>
        <w:ind w:left="720"/>
        <w:rPr>
          <w:color w:val="000000"/>
        </w:rPr>
      </w:pPr>
      <w:r>
        <w:rPr>
          <w:color w:val="000000"/>
        </w:rPr>
        <w:t>Division 15 Manufacture of leather and related products</w:t>
      </w:r>
    </w:p>
    <w:p w14:paraId="00000422" w14:textId="77777777" w:rsidR="00F8269C" w:rsidRDefault="00450D2D">
      <w:pPr>
        <w:pBdr>
          <w:top w:val="nil"/>
          <w:left w:val="nil"/>
          <w:bottom w:val="nil"/>
          <w:right w:val="nil"/>
          <w:between w:val="nil"/>
        </w:pBdr>
        <w:spacing w:after="0"/>
        <w:ind w:left="720"/>
        <w:rPr>
          <w:color w:val="000000"/>
        </w:rPr>
      </w:pPr>
      <w:r>
        <w:rPr>
          <w:color w:val="000000"/>
        </w:rPr>
        <w:t>Division 16 Manufacture of wood and of products of wood and cork, except furniture; Manufacture of articles of straw and plaiting materials</w:t>
      </w:r>
    </w:p>
    <w:p w14:paraId="00000423" w14:textId="77777777" w:rsidR="00F8269C" w:rsidRDefault="00450D2D">
      <w:pPr>
        <w:pBdr>
          <w:top w:val="nil"/>
          <w:left w:val="nil"/>
          <w:bottom w:val="nil"/>
          <w:right w:val="nil"/>
          <w:between w:val="nil"/>
        </w:pBdr>
        <w:spacing w:after="0"/>
        <w:ind w:left="720"/>
        <w:rPr>
          <w:color w:val="000000"/>
        </w:rPr>
      </w:pPr>
      <w:r>
        <w:rPr>
          <w:color w:val="000000"/>
        </w:rPr>
        <w:t>Division 17 Manufacture of paper and paper products</w:t>
      </w:r>
    </w:p>
    <w:p w14:paraId="00000424" w14:textId="77777777" w:rsidR="00F8269C" w:rsidRDefault="00450D2D">
      <w:pPr>
        <w:pBdr>
          <w:top w:val="nil"/>
          <w:left w:val="nil"/>
          <w:bottom w:val="nil"/>
          <w:right w:val="nil"/>
          <w:between w:val="nil"/>
        </w:pBdr>
        <w:spacing w:after="0"/>
        <w:ind w:left="720"/>
        <w:rPr>
          <w:color w:val="000000"/>
        </w:rPr>
      </w:pPr>
      <w:r>
        <w:rPr>
          <w:color w:val="000000"/>
        </w:rPr>
        <w:t>Division 18 Printing and reproduction of recorded media</w:t>
      </w:r>
    </w:p>
    <w:p w14:paraId="00000425" w14:textId="77777777" w:rsidR="00F8269C" w:rsidRDefault="00450D2D">
      <w:pPr>
        <w:pBdr>
          <w:top w:val="nil"/>
          <w:left w:val="nil"/>
          <w:bottom w:val="nil"/>
          <w:right w:val="nil"/>
          <w:between w:val="nil"/>
        </w:pBdr>
        <w:spacing w:after="0"/>
        <w:ind w:left="720"/>
        <w:rPr>
          <w:color w:val="000000"/>
        </w:rPr>
      </w:pPr>
      <w:r>
        <w:rPr>
          <w:color w:val="000000"/>
        </w:rPr>
        <w:t>Division 19 Manufacture of coke and refined petroleum products</w:t>
      </w:r>
    </w:p>
    <w:p w14:paraId="00000426" w14:textId="77777777" w:rsidR="00F8269C" w:rsidRDefault="00450D2D">
      <w:pPr>
        <w:pBdr>
          <w:top w:val="nil"/>
          <w:left w:val="nil"/>
          <w:bottom w:val="nil"/>
          <w:right w:val="nil"/>
          <w:between w:val="nil"/>
        </w:pBdr>
        <w:spacing w:after="0"/>
        <w:ind w:left="720"/>
        <w:rPr>
          <w:color w:val="000000"/>
        </w:rPr>
      </w:pPr>
      <w:r>
        <w:rPr>
          <w:color w:val="000000"/>
        </w:rPr>
        <w:t>Division 20 Manufacture of chemicals and chemical products</w:t>
      </w:r>
    </w:p>
    <w:p w14:paraId="00000427" w14:textId="77777777" w:rsidR="00F8269C" w:rsidRDefault="00450D2D">
      <w:pPr>
        <w:pBdr>
          <w:top w:val="nil"/>
          <w:left w:val="nil"/>
          <w:bottom w:val="nil"/>
          <w:right w:val="nil"/>
          <w:between w:val="nil"/>
        </w:pBdr>
        <w:spacing w:after="0"/>
        <w:ind w:left="720"/>
        <w:rPr>
          <w:color w:val="000000"/>
        </w:rPr>
      </w:pPr>
      <w:r>
        <w:rPr>
          <w:color w:val="000000"/>
        </w:rPr>
        <w:lastRenderedPageBreak/>
        <w:t>Division 21 Manufacture of basic pharmaceutical products and pharmaceutical preparations</w:t>
      </w:r>
    </w:p>
    <w:p w14:paraId="00000428" w14:textId="77777777" w:rsidR="00F8269C" w:rsidRDefault="00450D2D">
      <w:pPr>
        <w:pBdr>
          <w:top w:val="nil"/>
          <w:left w:val="nil"/>
          <w:bottom w:val="nil"/>
          <w:right w:val="nil"/>
          <w:between w:val="nil"/>
        </w:pBdr>
        <w:spacing w:after="0"/>
        <w:ind w:left="720"/>
        <w:rPr>
          <w:color w:val="000000"/>
        </w:rPr>
      </w:pPr>
      <w:r>
        <w:rPr>
          <w:color w:val="000000"/>
        </w:rPr>
        <w:t>Division 22 Manufacture of rubber and plastics products</w:t>
      </w:r>
    </w:p>
    <w:p w14:paraId="00000429" w14:textId="77777777" w:rsidR="00F8269C" w:rsidRDefault="00450D2D">
      <w:pPr>
        <w:pBdr>
          <w:top w:val="nil"/>
          <w:left w:val="nil"/>
          <w:bottom w:val="nil"/>
          <w:right w:val="nil"/>
          <w:between w:val="nil"/>
        </w:pBdr>
        <w:spacing w:after="0"/>
        <w:ind w:left="720"/>
        <w:rPr>
          <w:color w:val="000000"/>
        </w:rPr>
      </w:pPr>
      <w:r>
        <w:rPr>
          <w:color w:val="000000"/>
        </w:rPr>
        <w:t>Division 23 Manufacture of other non-metallic mineral products</w:t>
      </w:r>
    </w:p>
    <w:p w14:paraId="0000042A" w14:textId="77777777" w:rsidR="00F8269C" w:rsidRDefault="00450D2D">
      <w:pPr>
        <w:pBdr>
          <w:top w:val="nil"/>
          <w:left w:val="nil"/>
          <w:bottom w:val="nil"/>
          <w:right w:val="nil"/>
          <w:between w:val="nil"/>
        </w:pBdr>
        <w:spacing w:after="0"/>
        <w:ind w:left="720"/>
        <w:rPr>
          <w:color w:val="000000"/>
        </w:rPr>
      </w:pPr>
      <w:r>
        <w:rPr>
          <w:color w:val="000000"/>
        </w:rPr>
        <w:t>Division 24 Manufacture of basic metals</w:t>
      </w:r>
    </w:p>
    <w:p w14:paraId="0000042B" w14:textId="77777777" w:rsidR="00F8269C" w:rsidRDefault="00450D2D">
      <w:pPr>
        <w:pBdr>
          <w:top w:val="nil"/>
          <w:left w:val="nil"/>
          <w:bottom w:val="nil"/>
          <w:right w:val="nil"/>
          <w:between w:val="nil"/>
        </w:pBdr>
        <w:spacing w:after="0"/>
        <w:ind w:left="720"/>
        <w:rPr>
          <w:color w:val="000000"/>
        </w:rPr>
      </w:pPr>
      <w:r>
        <w:rPr>
          <w:color w:val="000000"/>
        </w:rPr>
        <w:t>Division 25 Manufacture of fabricated metal products, except machinery and equipment</w:t>
      </w:r>
    </w:p>
    <w:p w14:paraId="0000042C" w14:textId="77777777" w:rsidR="00F8269C" w:rsidRDefault="00450D2D">
      <w:pPr>
        <w:pBdr>
          <w:top w:val="nil"/>
          <w:left w:val="nil"/>
          <w:bottom w:val="nil"/>
          <w:right w:val="nil"/>
          <w:between w:val="nil"/>
        </w:pBdr>
        <w:spacing w:after="0"/>
        <w:ind w:left="720"/>
        <w:rPr>
          <w:color w:val="000000"/>
        </w:rPr>
      </w:pPr>
      <w:r>
        <w:rPr>
          <w:color w:val="000000"/>
        </w:rPr>
        <w:t>Division 26 Manufacture of computer, electronic and optical products</w:t>
      </w:r>
    </w:p>
    <w:p w14:paraId="0000042D" w14:textId="77777777" w:rsidR="00F8269C" w:rsidRDefault="00450D2D">
      <w:pPr>
        <w:pBdr>
          <w:top w:val="nil"/>
          <w:left w:val="nil"/>
          <w:bottom w:val="nil"/>
          <w:right w:val="nil"/>
          <w:between w:val="nil"/>
        </w:pBdr>
        <w:spacing w:after="0"/>
        <w:ind w:left="720"/>
        <w:rPr>
          <w:color w:val="000000"/>
        </w:rPr>
      </w:pPr>
      <w:r>
        <w:rPr>
          <w:color w:val="000000"/>
        </w:rPr>
        <w:t>Division 27 Manufacture of electrical equipment</w:t>
      </w:r>
    </w:p>
    <w:p w14:paraId="0000042E" w14:textId="37AA7408" w:rsidR="00F8269C" w:rsidRDefault="00450D2D">
      <w:pPr>
        <w:pBdr>
          <w:top w:val="nil"/>
          <w:left w:val="nil"/>
          <w:bottom w:val="nil"/>
          <w:right w:val="nil"/>
          <w:between w:val="nil"/>
        </w:pBdr>
        <w:spacing w:after="0"/>
        <w:ind w:left="720"/>
        <w:rPr>
          <w:color w:val="000000"/>
        </w:rPr>
      </w:pPr>
      <w:r>
        <w:rPr>
          <w:color w:val="000000"/>
        </w:rPr>
        <w:t>Division 28 Manufacture of machinery and equipment n</w:t>
      </w:r>
      <w:r w:rsidR="00BB7CD6">
        <w:rPr>
          <w:color w:val="000000"/>
        </w:rPr>
        <w:t>.</w:t>
      </w:r>
      <w:r>
        <w:rPr>
          <w:color w:val="000000"/>
        </w:rPr>
        <w:t>e</w:t>
      </w:r>
      <w:r w:rsidR="00BB7CD6">
        <w:rPr>
          <w:color w:val="000000"/>
        </w:rPr>
        <w:t>.</w:t>
      </w:r>
      <w:r>
        <w:rPr>
          <w:color w:val="000000"/>
        </w:rPr>
        <w:t>c</w:t>
      </w:r>
      <w:r w:rsidR="00BB7CD6">
        <w:rPr>
          <w:color w:val="000000"/>
        </w:rPr>
        <w:t>.</w:t>
      </w:r>
    </w:p>
    <w:p w14:paraId="0000042F" w14:textId="77777777" w:rsidR="00F8269C" w:rsidRDefault="00450D2D">
      <w:pPr>
        <w:pBdr>
          <w:top w:val="nil"/>
          <w:left w:val="nil"/>
          <w:bottom w:val="nil"/>
          <w:right w:val="nil"/>
          <w:between w:val="nil"/>
        </w:pBdr>
        <w:spacing w:after="0"/>
        <w:ind w:left="720"/>
        <w:rPr>
          <w:color w:val="000000"/>
        </w:rPr>
      </w:pPr>
      <w:r>
        <w:rPr>
          <w:color w:val="000000"/>
        </w:rPr>
        <w:t>Division 29 Manufacture of motor vehicles, trailers and semi-trailers</w:t>
      </w:r>
    </w:p>
    <w:p w14:paraId="00000430" w14:textId="77777777" w:rsidR="00F8269C" w:rsidRDefault="00450D2D">
      <w:pPr>
        <w:pBdr>
          <w:top w:val="nil"/>
          <w:left w:val="nil"/>
          <w:bottom w:val="nil"/>
          <w:right w:val="nil"/>
          <w:between w:val="nil"/>
        </w:pBdr>
        <w:spacing w:after="0"/>
        <w:ind w:left="720"/>
        <w:rPr>
          <w:color w:val="000000"/>
        </w:rPr>
      </w:pPr>
      <w:r>
        <w:rPr>
          <w:color w:val="000000"/>
        </w:rPr>
        <w:t>Division 30 Manufacture of other transport equipment</w:t>
      </w:r>
    </w:p>
    <w:p w14:paraId="00000431" w14:textId="77777777" w:rsidR="00F8269C" w:rsidRDefault="00450D2D">
      <w:pPr>
        <w:pBdr>
          <w:top w:val="nil"/>
          <w:left w:val="nil"/>
          <w:bottom w:val="nil"/>
          <w:right w:val="nil"/>
          <w:between w:val="nil"/>
        </w:pBdr>
        <w:spacing w:after="0"/>
        <w:ind w:left="720"/>
        <w:rPr>
          <w:color w:val="000000"/>
        </w:rPr>
      </w:pPr>
      <w:r>
        <w:rPr>
          <w:color w:val="000000"/>
        </w:rPr>
        <w:t>Division 31 Manufacture of furniture</w:t>
      </w:r>
    </w:p>
    <w:p w14:paraId="00000432" w14:textId="77777777" w:rsidR="00F8269C" w:rsidRDefault="00450D2D">
      <w:pPr>
        <w:pBdr>
          <w:top w:val="nil"/>
          <w:left w:val="nil"/>
          <w:bottom w:val="nil"/>
          <w:right w:val="nil"/>
          <w:between w:val="nil"/>
        </w:pBdr>
        <w:spacing w:after="0"/>
        <w:ind w:left="720"/>
        <w:rPr>
          <w:color w:val="000000"/>
        </w:rPr>
      </w:pPr>
      <w:r>
        <w:rPr>
          <w:color w:val="000000"/>
        </w:rPr>
        <w:t>Division 32 Other manufacturing</w:t>
      </w:r>
    </w:p>
    <w:p w14:paraId="00000433" w14:textId="77777777" w:rsidR="00F8269C" w:rsidRDefault="00450D2D">
      <w:pPr>
        <w:pBdr>
          <w:top w:val="nil"/>
          <w:left w:val="nil"/>
          <w:bottom w:val="nil"/>
          <w:right w:val="nil"/>
          <w:between w:val="nil"/>
        </w:pBdr>
        <w:ind w:left="720"/>
        <w:rPr>
          <w:color w:val="000000"/>
        </w:rPr>
      </w:pPr>
      <w:r>
        <w:rPr>
          <w:color w:val="000000"/>
        </w:rPr>
        <w:t>Division 33 Repair and installation of machinery and equipment</w:t>
      </w:r>
    </w:p>
    <w:p w14:paraId="00000434" w14:textId="4C9E2E15" w:rsidR="00F8269C" w:rsidRDefault="00450D2D">
      <w:pPr>
        <w:pStyle w:val="Heading4"/>
      </w:pPr>
      <w:bookmarkStart w:id="170" w:name="_Toc90191889"/>
      <w:bookmarkStart w:id="171" w:name="_Toc93842809"/>
      <w:bookmarkStart w:id="172" w:name="_Toc93842995"/>
      <w:r>
        <w:t xml:space="preserve">Section D: Electricity, </w:t>
      </w:r>
      <w:r w:rsidR="00DA4D0D">
        <w:t>G</w:t>
      </w:r>
      <w:r>
        <w:t xml:space="preserve">as, </w:t>
      </w:r>
      <w:r w:rsidR="00DA4D0D">
        <w:t>S</w:t>
      </w:r>
      <w:r>
        <w:t xml:space="preserve">team and </w:t>
      </w:r>
      <w:r w:rsidR="00DA4D0D">
        <w:t>A</w:t>
      </w:r>
      <w:r>
        <w:t xml:space="preserve">ir </w:t>
      </w:r>
      <w:r w:rsidR="00DA4D0D">
        <w:t>C</w:t>
      </w:r>
      <w:r>
        <w:t xml:space="preserve">onditioning </w:t>
      </w:r>
      <w:r w:rsidR="00DA4D0D">
        <w:t>S</w:t>
      </w:r>
      <w:r>
        <w:t>upply</w:t>
      </w:r>
      <w:bookmarkEnd w:id="170"/>
      <w:bookmarkEnd w:id="171"/>
      <w:bookmarkEnd w:id="172"/>
    </w:p>
    <w:p w14:paraId="00000435" w14:textId="77777777" w:rsidR="00F8269C" w:rsidRDefault="00450D2D">
      <w:pPr>
        <w:pBdr>
          <w:top w:val="nil"/>
          <w:left w:val="nil"/>
          <w:bottom w:val="nil"/>
          <w:right w:val="nil"/>
          <w:between w:val="nil"/>
        </w:pBdr>
        <w:ind w:left="720"/>
        <w:rPr>
          <w:color w:val="000000"/>
        </w:rPr>
      </w:pPr>
      <w:r>
        <w:rPr>
          <w:color w:val="000000"/>
        </w:rPr>
        <w:t>Division 35 Electricity, gas, steam and air conditioning supply</w:t>
      </w:r>
    </w:p>
    <w:p w14:paraId="00000436" w14:textId="3A0FEC6C" w:rsidR="00F8269C" w:rsidRDefault="00450D2D">
      <w:pPr>
        <w:pStyle w:val="Heading4"/>
      </w:pPr>
      <w:bookmarkStart w:id="173" w:name="_Toc90191890"/>
      <w:bookmarkStart w:id="174" w:name="_Toc93842810"/>
      <w:bookmarkStart w:id="175" w:name="_Toc93842996"/>
      <w:r>
        <w:t xml:space="preserve">Section E: Water </w:t>
      </w:r>
      <w:r w:rsidR="00DA4D0D">
        <w:t>S</w:t>
      </w:r>
      <w:r>
        <w:t xml:space="preserve">upply; </w:t>
      </w:r>
      <w:r w:rsidR="00DA4D0D">
        <w:t>S</w:t>
      </w:r>
      <w:r>
        <w:t xml:space="preserve">ewerage, </w:t>
      </w:r>
      <w:r w:rsidR="00DA4D0D">
        <w:t>W</w:t>
      </w:r>
      <w:r>
        <w:t xml:space="preserve">aste </w:t>
      </w:r>
      <w:r w:rsidR="00DA4D0D">
        <w:t>M</w:t>
      </w:r>
      <w:r>
        <w:t xml:space="preserve">anagement and </w:t>
      </w:r>
      <w:r w:rsidR="00DA4D0D">
        <w:t>R</w:t>
      </w:r>
      <w:r>
        <w:t xml:space="preserve">emediation </w:t>
      </w:r>
      <w:r w:rsidR="00DA4D0D">
        <w:t>A</w:t>
      </w:r>
      <w:r>
        <w:t>ctivities</w:t>
      </w:r>
      <w:bookmarkEnd w:id="173"/>
      <w:bookmarkEnd w:id="174"/>
      <w:bookmarkEnd w:id="175"/>
    </w:p>
    <w:p w14:paraId="00000437" w14:textId="77777777" w:rsidR="00F8269C" w:rsidRDefault="00450D2D">
      <w:pPr>
        <w:pBdr>
          <w:top w:val="nil"/>
          <w:left w:val="nil"/>
          <w:bottom w:val="nil"/>
          <w:right w:val="nil"/>
          <w:between w:val="nil"/>
        </w:pBdr>
        <w:spacing w:after="0"/>
        <w:ind w:left="720"/>
        <w:rPr>
          <w:color w:val="000000"/>
        </w:rPr>
      </w:pPr>
      <w:r>
        <w:rPr>
          <w:color w:val="000000"/>
        </w:rPr>
        <w:t>Division 36 Water collection, treatment and supply</w:t>
      </w:r>
    </w:p>
    <w:p w14:paraId="00000438" w14:textId="77777777" w:rsidR="00F8269C" w:rsidRDefault="00450D2D">
      <w:pPr>
        <w:pBdr>
          <w:top w:val="nil"/>
          <w:left w:val="nil"/>
          <w:bottom w:val="nil"/>
          <w:right w:val="nil"/>
          <w:between w:val="nil"/>
        </w:pBdr>
        <w:spacing w:after="0"/>
        <w:ind w:left="720"/>
        <w:rPr>
          <w:color w:val="000000"/>
        </w:rPr>
      </w:pPr>
      <w:r>
        <w:rPr>
          <w:color w:val="000000"/>
        </w:rPr>
        <w:t>Division 37 Sewerage</w:t>
      </w:r>
    </w:p>
    <w:p w14:paraId="00000439" w14:textId="77777777" w:rsidR="00F8269C" w:rsidRDefault="00450D2D">
      <w:pPr>
        <w:pBdr>
          <w:top w:val="nil"/>
          <w:left w:val="nil"/>
          <w:bottom w:val="nil"/>
          <w:right w:val="nil"/>
          <w:between w:val="nil"/>
        </w:pBdr>
        <w:spacing w:after="0"/>
        <w:ind w:left="720"/>
        <w:rPr>
          <w:color w:val="000000"/>
        </w:rPr>
      </w:pPr>
      <w:r>
        <w:rPr>
          <w:color w:val="000000"/>
        </w:rPr>
        <w:t>Division 38 Waste collection, treatment and disposal activities; materials recovery</w:t>
      </w:r>
    </w:p>
    <w:p w14:paraId="0000043A" w14:textId="77777777" w:rsidR="00F8269C" w:rsidRDefault="00450D2D">
      <w:pPr>
        <w:pBdr>
          <w:top w:val="nil"/>
          <w:left w:val="nil"/>
          <w:bottom w:val="nil"/>
          <w:right w:val="nil"/>
          <w:between w:val="nil"/>
        </w:pBdr>
        <w:ind w:left="720"/>
        <w:rPr>
          <w:color w:val="000000"/>
        </w:rPr>
      </w:pPr>
      <w:r>
        <w:rPr>
          <w:color w:val="000000"/>
        </w:rPr>
        <w:t>Division 39 Remediation activities and other waste management services</w:t>
      </w:r>
    </w:p>
    <w:p w14:paraId="0000043B" w14:textId="77777777" w:rsidR="00F8269C" w:rsidRDefault="00450D2D">
      <w:pPr>
        <w:pStyle w:val="Heading4"/>
      </w:pPr>
      <w:bookmarkStart w:id="176" w:name="_Toc90191891"/>
      <w:bookmarkStart w:id="177" w:name="_Toc93842811"/>
      <w:bookmarkStart w:id="178" w:name="_Toc93842997"/>
      <w:r>
        <w:t>Section F: Construction</w:t>
      </w:r>
      <w:bookmarkEnd w:id="176"/>
      <w:bookmarkEnd w:id="177"/>
      <w:bookmarkEnd w:id="178"/>
    </w:p>
    <w:p w14:paraId="0000043C" w14:textId="77777777" w:rsidR="00F8269C" w:rsidRDefault="00450D2D">
      <w:pPr>
        <w:pBdr>
          <w:top w:val="nil"/>
          <w:left w:val="nil"/>
          <w:bottom w:val="nil"/>
          <w:right w:val="nil"/>
          <w:between w:val="nil"/>
        </w:pBdr>
        <w:spacing w:after="0"/>
        <w:ind w:left="720"/>
        <w:rPr>
          <w:color w:val="000000"/>
        </w:rPr>
      </w:pPr>
      <w:r>
        <w:rPr>
          <w:color w:val="000000"/>
        </w:rPr>
        <w:t>Division 41 Construction of buildings</w:t>
      </w:r>
    </w:p>
    <w:p w14:paraId="0000043D" w14:textId="77777777" w:rsidR="00F8269C" w:rsidRDefault="00450D2D">
      <w:pPr>
        <w:pBdr>
          <w:top w:val="nil"/>
          <w:left w:val="nil"/>
          <w:bottom w:val="nil"/>
          <w:right w:val="nil"/>
          <w:between w:val="nil"/>
        </w:pBdr>
        <w:spacing w:after="0"/>
        <w:ind w:left="720"/>
        <w:rPr>
          <w:color w:val="000000"/>
        </w:rPr>
      </w:pPr>
      <w:r>
        <w:rPr>
          <w:color w:val="000000"/>
        </w:rPr>
        <w:t>Division 42 Civil engineering</w:t>
      </w:r>
    </w:p>
    <w:p w14:paraId="0000043E" w14:textId="77777777" w:rsidR="00F8269C" w:rsidRDefault="00450D2D">
      <w:pPr>
        <w:pBdr>
          <w:top w:val="nil"/>
          <w:left w:val="nil"/>
          <w:bottom w:val="nil"/>
          <w:right w:val="nil"/>
          <w:between w:val="nil"/>
        </w:pBdr>
        <w:ind w:left="720"/>
        <w:rPr>
          <w:color w:val="000000"/>
        </w:rPr>
      </w:pPr>
      <w:r>
        <w:rPr>
          <w:color w:val="000000"/>
        </w:rPr>
        <w:t>Division 43 Specialised construction activities</w:t>
      </w:r>
    </w:p>
    <w:p w14:paraId="0000043F" w14:textId="1B055E03" w:rsidR="00F8269C" w:rsidRDefault="00450D2D">
      <w:pPr>
        <w:pStyle w:val="Heading4"/>
      </w:pPr>
      <w:bookmarkStart w:id="179" w:name="_Toc90191892"/>
      <w:bookmarkStart w:id="180" w:name="_Toc93842812"/>
      <w:bookmarkStart w:id="181" w:name="_Toc93842998"/>
      <w:r>
        <w:t xml:space="preserve">Section G: Wholesale and </w:t>
      </w:r>
      <w:r w:rsidR="00DA4D0D">
        <w:t>R</w:t>
      </w:r>
      <w:r>
        <w:t xml:space="preserve">etail </w:t>
      </w:r>
      <w:r w:rsidR="00DA4D0D">
        <w:t>T</w:t>
      </w:r>
      <w:r>
        <w:t xml:space="preserve">rade; </w:t>
      </w:r>
      <w:r w:rsidR="00DA4D0D">
        <w:t>R</w:t>
      </w:r>
      <w:r>
        <w:t xml:space="preserve">epair of </w:t>
      </w:r>
      <w:r w:rsidR="00DA4D0D">
        <w:t>M</w:t>
      </w:r>
      <w:r>
        <w:t xml:space="preserve">otor </w:t>
      </w:r>
      <w:r w:rsidR="00DA4D0D">
        <w:t>V</w:t>
      </w:r>
      <w:r>
        <w:t xml:space="preserve">ehicles and </w:t>
      </w:r>
      <w:r w:rsidR="00DA4D0D">
        <w:t>M</w:t>
      </w:r>
      <w:r>
        <w:t>otorcycles</w:t>
      </w:r>
      <w:bookmarkEnd w:id="179"/>
      <w:bookmarkEnd w:id="180"/>
      <w:bookmarkEnd w:id="181"/>
    </w:p>
    <w:p w14:paraId="00000440" w14:textId="77777777" w:rsidR="00F8269C" w:rsidRDefault="00450D2D">
      <w:pPr>
        <w:pBdr>
          <w:top w:val="nil"/>
          <w:left w:val="nil"/>
          <w:bottom w:val="nil"/>
          <w:right w:val="nil"/>
          <w:between w:val="nil"/>
        </w:pBdr>
        <w:spacing w:after="0"/>
        <w:ind w:left="720"/>
        <w:rPr>
          <w:color w:val="000000"/>
        </w:rPr>
      </w:pPr>
      <w:r>
        <w:rPr>
          <w:color w:val="000000"/>
        </w:rPr>
        <w:t>Division 45 Wholesale and retail trade and repair of motor vehicles and motorcycles</w:t>
      </w:r>
    </w:p>
    <w:p w14:paraId="00000441" w14:textId="77777777" w:rsidR="00F8269C" w:rsidRDefault="00450D2D">
      <w:pPr>
        <w:pBdr>
          <w:top w:val="nil"/>
          <w:left w:val="nil"/>
          <w:bottom w:val="nil"/>
          <w:right w:val="nil"/>
          <w:between w:val="nil"/>
        </w:pBdr>
        <w:spacing w:after="0"/>
        <w:ind w:left="720"/>
        <w:rPr>
          <w:color w:val="000000"/>
        </w:rPr>
      </w:pPr>
      <w:r>
        <w:rPr>
          <w:color w:val="000000"/>
        </w:rPr>
        <w:t>Division 46 Wholesale trade, except of motor vehicles and motorcycles</w:t>
      </w:r>
    </w:p>
    <w:p w14:paraId="00000442" w14:textId="77777777" w:rsidR="00F8269C" w:rsidRDefault="00450D2D">
      <w:pPr>
        <w:pBdr>
          <w:top w:val="nil"/>
          <w:left w:val="nil"/>
          <w:bottom w:val="nil"/>
          <w:right w:val="nil"/>
          <w:between w:val="nil"/>
        </w:pBdr>
        <w:ind w:left="720"/>
        <w:rPr>
          <w:color w:val="000000"/>
        </w:rPr>
      </w:pPr>
      <w:r>
        <w:rPr>
          <w:color w:val="000000"/>
        </w:rPr>
        <w:t>Division 47 Retail trade, except for motor vehicles and motorcycles</w:t>
      </w:r>
    </w:p>
    <w:p w14:paraId="00000443" w14:textId="3177A50B" w:rsidR="00F8269C" w:rsidRDefault="00450D2D">
      <w:pPr>
        <w:pStyle w:val="Heading4"/>
      </w:pPr>
      <w:bookmarkStart w:id="182" w:name="_Toc90191893"/>
      <w:bookmarkStart w:id="183" w:name="_Toc93842813"/>
      <w:bookmarkStart w:id="184" w:name="_Toc93842999"/>
      <w:r>
        <w:t xml:space="preserve">Section H: Transportation and </w:t>
      </w:r>
      <w:r w:rsidR="00DA4D0D">
        <w:t>S</w:t>
      </w:r>
      <w:r>
        <w:t>torage</w:t>
      </w:r>
      <w:bookmarkEnd w:id="182"/>
      <w:bookmarkEnd w:id="183"/>
      <w:bookmarkEnd w:id="184"/>
    </w:p>
    <w:p w14:paraId="00000444" w14:textId="77777777" w:rsidR="00F8269C" w:rsidRDefault="00450D2D">
      <w:pPr>
        <w:pBdr>
          <w:top w:val="nil"/>
          <w:left w:val="nil"/>
          <w:bottom w:val="nil"/>
          <w:right w:val="nil"/>
          <w:between w:val="nil"/>
        </w:pBdr>
        <w:spacing w:after="0"/>
        <w:ind w:left="720"/>
        <w:rPr>
          <w:color w:val="000000"/>
        </w:rPr>
      </w:pPr>
      <w:r>
        <w:rPr>
          <w:color w:val="000000"/>
        </w:rPr>
        <w:t>Division 49: Land transport and transport via pipelines</w:t>
      </w:r>
    </w:p>
    <w:p w14:paraId="00000445" w14:textId="77777777" w:rsidR="00F8269C" w:rsidRDefault="00450D2D">
      <w:pPr>
        <w:pBdr>
          <w:top w:val="nil"/>
          <w:left w:val="nil"/>
          <w:bottom w:val="nil"/>
          <w:right w:val="nil"/>
          <w:between w:val="nil"/>
        </w:pBdr>
        <w:spacing w:after="0"/>
        <w:ind w:left="720"/>
        <w:rPr>
          <w:color w:val="000000"/>
        </w:rPr>
      </w:pPr>
      <w:r>
        <w:rPr>
          <w:color w:val="000000"/>
        </w:rPr>
        <w:t>Division 50: Water transport</w:t>
      </w:r>
    </w:p>
    <w:p w14:paraId="00000446" w14:textId="77777777" w:rsidR="00F8269C" w:rsidRDefault="00450D2D">
      <w:pPr>
        <w:pBdr>
          <w:top w:val="nil"/>
          <w:left w:val="nil"/>
          <w:bottom w:val="nil"/>
          <w:right w:val="nil"/>
          <w:between w:val="nil"/>
        </w:pBdr>
        <w:spacing w:after="0"/>
        <w:ind w:left="720"/>
        <w:rPr>
          <w:color w:val="000000"/>
        </w:rPr>
      </w:pPr>
      <w:r>
        <w:rPr>
          <w:color w:val="000000"/>
        </w:rPr>
        <w:t>Division 51: Air transport</w:t>
      </w:r>
    </w:p>
    <w:p w14:paraId="00000447" w14:textId="77777777" w:rsidR="00F8269C" w:rsidRDefault="00450D2D">
      <w:pPr>
        <w:pBdr>
          <w:top w:val="nil"/>
          <w:left w:val="nil"/>
          <w:bottom w:val="nil"/>
          <w:right w:val="nil"/>
          <w:between w:val="nil"/>
        </w:pBdr>
        <w:spacing w:after="0"/>
        <w:ind w:left="720"/>
        <w:rPr>
          <w:color w:val="000000"/>
        </w:rPr>
      </w:pPr>
      <w:r>
        <w:rPr>
          <w:color w:val="000000"/>
        </w:rPr>
        <w:t>Division 52: Warehousing and support activities for transportation</w:t>
      </w:r>
    </w:p>
    <w:p w14:paraId="00000448" w14:textId="77777777" w:rsidR="00F8269C" w:rsidRDefault="00450D2D">
      <w:pPr>
        <w:pBdr>
          <w:top w:val="nil"/>
          <w:left w:val="nil"/>
          <w:bottom w:val="nil"/>
          <w:right w:val="nil"/>
          <w:between w:val="nil"/>
        </w:pBdr>
        <w:ind w:left="720"/>
        <w:rPr>
          <w:color w:val="000000"/>
        </w:rPr>
      </w:pPr>
      <w:r>
        <w:rPr>
          <w:color w:val="000000"/>
        </w:rPr>
        <w:t>Division 53: Postal and courier activities</w:t>
      </w:r>
    </w:p>
    <w:p w14:paraId="00000449" w14:textId="299E1D5E" w:rsidR="00F8269C" w:rsidRDefault="00450D2D">
      <w:pPr>
        <w:pStyle w:val="Heading4"/>
      </w:pPr>
      <w:bookmarkStart w:id="185" w:name="_Toc90191894"/>
      <w:bookmarkStart w:id="186" w:name="_Toc93842814"/>
      <w:bookmarkStart w:id="187" w:name="_Toc93843000"/>
      <w:r>
        <w:t xml:space="preserve">Section I: Accommodation and </w:t>
      </w:r>
      <w:r w:rsidR="00DA4D0D">
        <w:t>F</w:t>
      </w:r>
      <w:r>
        <w:t xml:space="preserve">ood </w:t>
      </w:r>
      <w:r w:rsidR="00DA4D0D">
        <w:t>S</w:t>
      </w:r>
      <w:r>
        <w:t xml:space="preserve">ervice </w:t>
      </w:r>
      <w:r w:rsidR="00DA4D0D">
        <w:t>A</w:t>
      </w:r>
      <w:r>
        <w:t>ctivities</w:t>
      </w:r>
      <w:bookmarkEnd w:id="185"/>
      <w:bookmarkEnd w:id="186"/>
      <w:bookmarkEnd w:id="187"/>
    </w:p>
    <w:p w14:paraId="0000044A" w14:textId="77777777" w:rsidR="00F8269C" w:rsidRDefault="00450D2D">
      <w:pPr>
        <w:pBdr>
          <w:top w:val="nil"/>
          <w:left w:val="nil"/>
          <w:bottom w:val="nil"/>
          <w:right w:val="nil"/>
          <w:between w:val="nil"/>
        </w:pBdr>
        <w:spacing w:after="0"/>
        <w:ind w:left="720"/>
        <w:rPr>
          <w:color w:val="000000"/>
        </w:rPr>
      </w:pPr>
      <w:r>
        <w:rPr>
          <w:color w:val="000000"/>
        </w:rPr>
        <w:t>Division 55: Accommodation</w:t>
      </w:r>
    </w:p>
    <w:p w14:paraId="0000044B" w14:textId="77777777" w:rsidR="00F8269C" w:rsidRDefault="00450D2D">
      <w:pPr>
        <w:pBdr>
          <w:top w:val="nil"/>
          <w:left w:val="nil"/>
          <w:bottom w:val="nil"/>
          <w:right w:val="nil"/>
          <w:between w:val="nil"/>
        </w:pBdr>
        <w:ind w:left="720"/>
        <w:rPr>
          <w:color w:val="000000"/>
        </w:rPr>
      </w:pPr>
      <w:r>
        <w:rPr>
          <w:color w:val="000000"/>
        </w:rPr>
        <w:t>Division 56: Food and beverage service activities</w:t>
      </w:r>
    </w:p>
    <w:p w14:paraId="0000044C" w14:textId="5F177F91" w:rsidR="00F8269C" w:rsidRDefault="00450D2D">
      <w:pPr>
        <w:pStyle w:val="Heading4"/>
      </w:pPr>
      <w:bookmarkStart w:id="188" w:name="_Toc90191895"/>
      <w:bookmarkStart w:id="189" w:name="_Toc93842815"/>
      <w:bookmarkStart w:id="190" w:name="_Toc93843001"/>
      <w:r>
        <w:t xml:space="preserve">Section J: Information and </w:t>
      </w:r>
      <w:r w:rsidR="00DA4D0D">
        <w:t>C</w:t>
      </w:r>
      <w:r>
        <w:t>ommunication</w:t>
      </w:r>
      <w:bookmarkEnd w:id="188"/>
      <w:bookmarkEnd w:id="189"/>
      <w:bookmarkEnd w:id="190"/>
    </w:p>
    <w:p w14:paraId="0000044D" w14:textId="77777777" w:rsidR="00F8269C" w:rsidRDefault="00450D2D">
      <w:pPr>
        <w:pBdr>
          <w:top w:val="nil"/>
          <w:left w:val="nil"/>
          <w:bottom w:val="nil"/>
          <w:right w:val="nil"/>
          <w:between w:val="nil"/>
        </w:pBdr>
        <w:spacing w:after="0"/>
        <w:ind w:left="720"/>
        <w:rPr>
          <w:color w:val="000000"/>
        </w:rPr>
      </w:pPr>
      <w:r>
        <w:rPr>
          <w:color w:val="000000"/>
        </w:rPr>
        <w:t>Division 58 Publishing activities</w:t>
      </w:r>
    </w:p>
    <w:p w14:paraId="0000044E" w14:textId="77777777" w:rsidR="00F8269C" w:rsidRDefault="00450D2D">
      <w:pPr>
        <w:pBdr>
          <w:top w:val="nil"/>
          <w:left w:val="nil"/>
          <w:bottom w:val="nil"/>
          <w:right w:val="nil"/>
          <w:between w:val="nil"/>
        </w:pBdr>
        <w:spacing w:after="0"/>
        <w:ind w:left="720"/>
        <w:rPr>
          <w:color w:val="000000"/>
        </w:rPr>
      </w:pPr>
      <w:r>
        <w:rPr>
          <w:color w:val="000000"/>
        </w:rPr>
        <w:t>Division 59 Motion picture, video and television programme production, sound recording</w:t>
      </w:r>
    </w:p>
    <w:p w14:paraId="0000044F" w14:textId="77777777" w:rsidR="00F8269C" w:rsidRDefault="00450D2D">
      <w:pPr>
        <w:pBdr>
          <w:top w:val="nil"/>
          <w:left w:val="nil"/>
          <w:bottom w:val="nil"/>
          <w:right w:val="nil"/>
          <w:between w:val="nil"/>
        </w:pBdr>
        <w:spacing w:after="0"/>
        <w:ind w:left="720"/>
        <w:rPr>
          <w:color w:val="000000"/>
        </w:rPr>
      </w:pPr>
      <w:r>
        <w:rPr>
          <w:color w:val="000000"/>
        </w:rPr>
        <w:t>and music publishing activities</w:t>
      </w:r>
    </w:p>
    <w:p w14:paraId="00000450" w14:textId="77777777" w:rsidR="00F8269C" w:rsidRDefault="00450D2D">
      <w:pPr>
        <w:pBdr>
          <w:top w:val="nil"/>
          <w:left w:val="nil"/>
          <w:bottom w:val="nil"/>
          <w:right w:val="nil"/>
          <w:between w:val="nil"/>
        </w:pBdr>
        <w:spacing w:after="0"/>
        <w:ind w:left="720"/>
        <w:rPr>
          <w:color w:val="000000"/>
        </w:rPr>
      </w:pPr>
      <w:r>
        <w:rPr>
          <w:color w:val="000000"/>
        </w:rPr>
        <w:t>Division 60 Programming and broadcasting activities</w:t>
      </w:r>
    </w:p>
    <w:p w14:paraId="00000451" w14:textId="77777777" w:rsidR="00F8269C" w:rsidRDefault="00450D2D">
      <w:pPr>
        <w:pBdr>
          <w:top w:val="nil"/>
          <w:left w:val="nil"/>
          <w:bottom w:val="nil"/>
          <w:right w:val="nil"/>
          <w:between w:val="nil"/>
        </w:pBdr>
        <w:spacing w:after="0"/>
        <w:ind w:left="720"/>
        <w:rPr>
          <w:color w:val="000000"/>
        </w:rPr>
      </w:pPr>
      <w:r>
        <w:rPr>
          <w:color w:val="000000"/>
        </w:rPr>
        <w:t>Division 61: Telecommunications</w:t>
      </w:r>
    </w:p>
    <w:p w14:paraId="00000452" w14:textId="77777777" w:rsidR="00F8269C" w:rsidRDefault="00450D2D">
      <w:pPr>
        <w:pBdr>
          <w:top w:val="nil"/>
          <w:left w:val="nil"/>
          <w:bottom w:val="nil"/>
          <w:right w:val="nil"/>
          <w:between w:val="nil"/>
        </w:pBdr>
        <w:spacing w:after="0"/>
        <w:ind w:left="720"/>
        <w:rPr>
          <w:color w:val="000000"/>
        </w:rPr>
      </w:pPr>
      <w:r>
        <w:rPr>
          <w:color w:val="000000"/>
        </w:rPr>
        <w:t>Division 62: Computer programming, consultancy and related activities</w:t>
      </w:r>
    </w:p>
    <w:p w14:paraId="00000453" w14:textId="77777777" w:rsidR="00F8269C" w:rsidRDefault="00450D2D">
      <w:pPr>
        <w:pBdr>
          <w:top w:val="nil"/>
          <w:left w:val="nil"/>
          <w:bottom w:val="nil"/>
          <w:right w:val="nil"/>
          <w:between w:val="nil"/>
        </w:pBdr>
        <w:ind w:left="720"/>
        <w:rPr>
          <w:color w:val="000000"/>
        </w:rPr>
      </w:pPr>
      <w:r>
        <w:rPr>
          <w:color w:val="000000"/>
        </w:rPr>
        <w:t>Division 63: Information service activities</w:t>
      </w:r>
    </w:p>
    <w:p w14:paraId="00000454" w14:textId="7B446A15" w:rsidR="00F8269C" w:rsidRDefault="00450D2D">
      <w:pPr>
        <w:pStyle w:val="Heading4"/>
      </w:pPr>
      <w:bookmarkStart w:id="191" w:name="_Toc90191896"/>
      <w:bookmarkStart w:id="192" w:name="_Toc93842816"/>
      <w:bookmarkStart w:id="193" w:name="_Toc93843002"/>
      <w:r>
        <w:t xml:space="preserve">Section K: Financial and </w:t>
      </w:r>
      <w:r w:rsidR="00DA4D0D">
        <w:t>I</w:t>
      </w:r>
      <w:r>
        <w:t xml:space="preserve">nsurance </w:t>
      </w:r>
      <w:r w:rsidR="00DA4D0D">
        <w:t>A</w:t>
      </w:r>
      <w:r>
        <w:t>ctivities</w:t>
      </w:r>
      <w:bookmarkEnd w:id="191"/>
      <w:bookmarkEnd w:id="192"/>
      <w:bookmarkEnd w:id="193"/>
    </w:p>
    <w:p w14:paraId="00000455" w14:textId="77777777" w:rsidR="00F8269C" w:rsidRDefault="00450D2D">
      <w:pPr>
        <w:pBdr>
          <w:top w:val="nil"/>
          <w:left w:val="nil"/>
          <w:bottom w:val="nil"/>
          <w:right w:val="nil"/>
          <w:between w:val="nil"/>
        </w:pBdr>
        <w:spacing w:after="0"/>
        <w:ind w:left="720"/>
        <w:rPr>
          <w:color w:val="000000"/>
        </w:rPr>
      </w:pPr>
      <w:r>
        <w:rPr>
          <w:color w:val="000000"/>
        </w:rPr>
        <w:t>Division 64 Financial service activities, except insurance and pension funding</w:t>
      </w:r>
    </w:p>
    <w:p w14:paraId="00000456" w14:textId="77777777" w:rsidR="00F8269C" w:rsidRDefault="00450D2D">
      <w:pPr>
        <w:pBdr>
          <w:top w:val="nil"/>
          <w:left w:val="nil"/>
          <w:bottom w:val="nil"/>
          <w:right w:val="nil"/>
          <w:between w:val="nil"/>
        </w:pBdr>
        <w:spacing w:after="0"/>
        <w:ind w:left="720"/>
        <w:rPr>
          <w:color w:val="000000"/>
        </w:rPr>
      </w:pPr>
      <w:r>
        <w:rPr>
          <w:color w:val="000000"/>
        </w:rPr>
        <w:t>Division 65 Insurance, reinsurance and pension funding, except compulsory social security</w:t>
      </w:r>
    </w:p>
    <w:p w14:paraId="00000457" w14:textId="77777777" w:rsidR="00F8269C" w:rsidRDefault="00450D2D">
      <w:pPr>
        <w:pBdr>
          <w:top w:val="nil"/>
          <w:left w:val="nil"/>
          <w:bottom w:val="nil"/>
          <w:right w:val="nil"/>
          <w:between w:val="nil"/>
        </w:pBdr>
        <w:ind w:left="720"/>
        <w:rPr>
          <w:color w:val="000000"/>
        </w:rPr>
      </w:pPr>
      <w:r>
        <w:rPr>
          <w:color w:val="000000"/>
        </w:rPr>
        <w:t>Division 66 Activities auxiliary to financial service and insurance activities</w:t>
      </w:r>
    </w:p>
    <w:p w14:paraId="00000458" w14:textId="0E77F708" w:rsidR="00F8269C" w:rsidRDefault="00450D2D">
      <w:pPr>
        <w:pStyle w:val="Heading4"/>
      </w:pPr>
      <w:bookmarkStart w:id="194" w:name="_Toc90191897"/>
      <w:bookmarkStart w:id="195" w:name="_Toc93842817"/>
      <w:bookmarkStart w:id="196" w:name="_Toc93843003"/>
      <w:r>
        <w:lastRenderedPageBreak/>
        <w:t xml:space="preserve">Section L: Real </w:t>
      </w:r>
      <w:r w:rsidR="00DA4D0D">
        <w:t>E</w:t>
      </w:r>
      <w:r>
        <w:t xml:space="preserve">state </w:t>
      </w:r>
      <w:r w:rsidR="00DA4D0D">
        <w:t>A</w:t>
      </w:r>
      <w:r>
        <w:t>ctivities</w:t>
      </w:r>
      <w:bookmarkEnd w:id="194"/>
      <w:bookmarkEnd w:id="195"/>
      <w:bookmarkEnd w:id="196"/>
    </w:p>
    <w:p w14:paraId="00000459" w14:textId="77777777" w:rsidR="00F8269C" w:rsidRDefault="00450D2D">
      <w:pPr>
        <w:pBdr>
          <w:top w:val="nil"/>
          <w:left w:val="nil"/>
          <w:bottom w:val="nil"/>
          <w:right w:val="nil"/>
          <w:between w:val="nil"/>
        </w:pBdr>
        <w:ind w:left="720"/>
        <w:rPr>
          <w:color w:val="000000"/>
        </w:rPr>
      </w:pPr>
      <w:r>
        <w:rPr>
          <w:color w:val="000000"/>
        </w:rPr>
        <w:t>Division 68 Real estate activities</w:t>
      </w:r>
    </w:p>
    <w:p w14:paraId="0000045A" w14:textId="5DAC5493" w:rsidR="00F8269C" w:rsidRDefault="00450D2D">
      <w:pPr>
        <w:pStyle w:val="Heading4"/>
      </w:pPr>
      <w:bookmarkStart w:id="197" w:name="_Toc90191898"/>
      <w:bookmarkStart w:id="198" w:name="_Toc93842818"/>
      <w:bookmarkStart w:id="199" w:name="_Toc93843004"/>
      <w:r>
        <w:t xml:space="preserve">Section M: Professional, </w:t>
      </w:r>
      <w:r w:rsidR="00DA4D0D">
        <w:t>S</w:t>
      </w:r>
      <w:r>
        <w:t xml:space="preserve">cientific and </w:t>
      </w:r>
      <w:r w:rsidR="00DA4D0D">
        <w:t>T</w:t>
      </w:r>
      <w:r>
        <w:t xml:space="preserve">echnical </w:t>
      </w:r>
      <w:r w:rsidR="00DA4D0D">
        <w:t>A</w:t>
      </w:r>
      <w:r>
        <w:t>ctivities</w:t>
      </w:r>
      <w:bookmarkEnd w:id="197"/>
      <w:bookmarkEnd w:id="198"/>
      <w:bookmarkEnd w:id="199"/>
    </w:p>
    <w:p w14:paraId="0000045B" w14:textId="77777777" w:rsidR="00F8269C" w:rsidRDefault="00450D2D">
      <w:pPr>
        <w:pBdr>
          <w:top w:val="nil"/>
          <w:left w:val="nil"/>
          <w:bottom w:val="nil"/>
          <w:right w:val="nil"/>
          <w:between w:val="nil"/>
        </w:pBdr>
        <w:spacing w:after="0"/>
        <w:ind w:left="720"/>
        <w:rPr>
          <w:color w:val="000000"/>
        </w:rPr>
      </w:pPr>
      <w:r>
        <w:rPr>
          <w:color w:val="000000"/>
        </w:rPr>
        <w:t>Division 69 Legal and accounting activities</w:t>
      </w:r>
    </w:p>
    <w:p w14:paraId="0000045C" w14:textId="77777777" w:rsidR="00F8269C" w:rsidRDefault="00450D2D">
      <w:pPr>
        <w:pBdr>
          <w:top w:val="nil"/>
          <w:left w:val="nil"/>
          <w:bottom w:val="nil"/>
          <w:right w:val="nil"/>
          <w:between w:val="nil"/>
        </w:pBdr>
        <w:spacing w:after="0"/>
        <w:ind w:left="720"/>
        <w:rPr>
          <w:color w:val="000000"/>
        </w:rPr>
      </w:pPr>
      <w:r>
        <w:rPr>
          <w:color w:val="000000"/>
        </w:rPr>
        <w:t>Division 70 Activities of head offices; management consultancy activities</w:t>
      </w:r>
    </w:p>
    <w:p w14:paraId="0000045D" w14:textId="77777777" w:rsidR="00F8269C" w:rsidRDefault="00450D2D">
      <w:pPr>
        <w:pBdr>
          <w:top w:val="nil"/>
          <w:left w:val="nil"/>
          <w:bottom w:val="nil"/>
          <w:right w:val="nil"/>
          <w:between w:val="nil"/>
        </w:pBdr>
        <w:spacing w:after="0"/>
        <w:ind w:left="720"/>
        <w:rPr>
          <w:color w:val="000000"/>
        </w:rPr>
      </w:pPr>
      <w:r>
        <w:rPr>
          <w:color w:val="000000"/>
        </w:rPr>
        <w:t>Division 71 Architectural and engineering activities; technical testing and analysis</w:t>
      </w:r>
    </w:p>
    <w:p w14:paraId="0000045E" w14:textId="77777777" w:rsidR="00F8269C" w:rsidRDefault="00450D2D">
      <w:pPr>
        <w:pBdr>
          <w:top w:val="nil"/>
          <w:left w:val="nil"/>
          <w:bottom w:val="nil"/>
          <w:right w:val="nil"/>
          <w:between w:val="nil"/>
        </w:pBdr>
        <w:spacing w:after="0"/>
        <w:ind w:left="720"/>
        <w:rPr>
          <w:color w:val="000000"/>
        </w:rPr>
      </w:pPr>
      <w:r>
        <w:rPr>
          <w:color w:val="000000"/>
        </w:rPr>
        <w:t>Division 72 Scientific research and development</w:t>
      </w:r>
    </w:p>
    <w:p w14:paraId="0000045F" w14:textId="77777777" w:rsidR="00F8269C" w:rsidRDefault="00450D2D">
      <w:pPr>
        <w:pBdr>
          <w:top w:val="nil"/>
          <w:left w:val="nil"/>
          <w:bottom w:val="nil"/>
          <w:right w:val="nil"/>
          <w:between w:val="nil"/>
        </w:pBdr>
        <w:spacing w:after="0"/>
        <w:ind w:left="720"/>
        <w:rPr>
          <w:color w:val="000000"/>
        </w:rPr>
      </w:pPr>
      <w:r>
        <w:rPr>
          <w:color w:val="000000"/>
        </w:rPr>
        <w:t>Division 73 Advertising and market research</w:t>
      </w:r>
    </w:p>
    <w:p w14:paraId="00000460" w14:textId="77777777" w:rsidR="00F8269C" w:rsidRDefault="00450D2D">
      <w:pPr>
        <w:pBdr>
          <w:top w:val="nil"/>
          <w:left w:val="nil"/>
          <w:bottom w:val="nil"/>
          <w:right w:val="nil"/>
          <w:between w:val="nil"/>
        </w:pBdr>
        <w:spacing w:after="0"/>
        <w:ind w:left="720"/>
        <w:rPr>
          <w:color w:val="000000"/>
        </w:rPr>
      </w:pPr>
      <w:r>
        <w:rPr>
          <w:color w:val="000000"/>
        </w:rPr>
        <w:t>Division 74 Other professional, scientific and technical activities</w:t>
      </w:r>
    </w:p>
    <w:p w14:paraId="00000461" w14:textId="77777777" w:rsidR="00F8269C" w:rsidRDefault="00450D2D">
      <w:pPr>
        <w:pBdr>
          <w:top w:val="nil"/>
          <w:left w:val="nil"/>
          <w:bottom w:val="nil"/>
          <w:right w:val="nil"/>
          <w:between w:val="nil"/>
        </w:pBdr>
        <w:ind w:left="720"/>
        <w:rPr>
          <w:color w:val="000000"/>
        </w:rPr>
      </w:pPr>
      <w:r>
        <w:rPr>
          <w:color w:val="000000"/>
        </w:rPr>
        <w:t>Division 75 Veterinary activities</w:t>
      </w:r>
    </w:p>
    <w:p w14:paraId="00000462" w14:textId="2CF48EE8" w:rsidR="00F8269C" w:rsidRDefault="00450D2D">
      <w:pPr>
        <w:pStyle w:val="Heading4"/>
      </w:pPr>
      <w:bookmarkStart w:id="200" w:name="_Toc90191899"/>
      <w:bookmarkStart w:id="201" w:name="_Toc93842819"/>
      <w:bookmarkStart w:id="202" w:name="_Toc93843005"/>
      <w:r>
        <w:t xml:space="preserve">Section N: Administrative and </w:t>
      </w:r>
      <w:r w:rsidR="00DA4D0D">
        <w:t>S</w:t>
      </w:r>
      <w:r>
        <w:t xml:space="preserve">upport </w:t>
      </w:r>
      <w:r w:rsidR="00DA4D0D">
        <w:t>A</w:t>
      </w:r>
      <w:r>
        <w:t>ctivities</w:t>
      </w:r>
      <w:bookmarkEnd w:id="200"/>
      <w:bookmarkEnd w:id="201"/>
      <w:bookmarkEnd w:id="202"/>
    </w:p>
    <w:p w14:paraId="00000463" w14:textId="77777777" w:rsidR="00F8269C" w:rsidRDefault="00450D2D">
      <w:pPr>
        <w:pBdr>
          <w:top w:val="nil"/>
          <w:left w:val="nil"/>
          <w:bottom w:val="nil"/>
          <w:right w:val="nil"/>
          <w:between w:val="nil"/>
        </w:pBdr>
        <w:spacing w:after="0"/>
        <w:ind w:left="720"/>
        <w:rPr>
          <w:color w:val="000000"/>
        </w:rPr>
      </w:pPr>
      <w:r>
        <w:rPr>
          <w:color w:val="000000"/>
        </w:rPr>
        <w:t>Division 77 Rental and leasing activities</w:t>
      </w:r>
    </w:p>
    <w:p w14:paraId="00000464" w14:textId="77777777" w:rsidR="00F8269C" w:rsidRDefault="00450D2D">
      <w:pPr>
        <w:pBdr>
          <w:top w:val="nil"/>
          <w:left w:val="nil"/>
          <w:bottom w:val="nil"/>
          <w:right w:val="nil"/>
          <w:between w:val="nil"/>
        </w:pBdr>
        <w:spacing w:after="0"/>
        <w:ind w:left="720"/>
        <w:rPr>
          <w:color w:val="000000"/>
        </w:rPr>
      </w:pPr>
      <w:r>
        <w:rPr>
          <w:color w:val="000000"/>
        </w:rPr>
        <w:t>Division 78 Employment activities</w:t>
      </w:r>
    </w:p>
    <w:p w14:paraId="00000465" w14:textId="77777777" w:rsidR="00F8269C" w:rsidRDefault="00450D2D">
      <w:pPr>
        <w:pBdr>
          <w:top w:val="nil"/>
          <w:left w:val="nil"/>
          <w:bottom w:val="nil"/>
          <w:right w:val="nil"/>
          <w:between w:val="nil"/>
        </w:pBdr>
        <w:spacing w:after="0"/>
        <w:ind w:left="720"/>
        <w:rPr>
          <w:color w:val="000000"/>
        </w:rPr>
      </w:pPr>
      <w:r>
        <w:rPr>
          <w:color w:val="000000"/>
        </w:rPr>
        <w:t>Division 79: Travel agency, tour operator, reservation service and related activities</w:t>
      </w:r>
    </w:p>
    <w:p w14:paraId="00000466" w14:textId="77777777" w:rsidR="00F8269C" w:rsidRDefault="00450D2D">
      <w:pPr>
        <w:pBdr>
          <w:top w:val="nil"/>
          <w:left w:val="nil"/>
          <w:bottom w:val="nil"/>
          <w:right w:val="nil"/>
          <w:between w:val="nil"/>
        </w:pBdr>
        <w:spacing w:after="0"/>
        <w:ind w:left="720"/>
        <w:rPr>
          <w:color w:val="000000"/>
        </w:rPr>
      </w:pPr>
      <w:r>
        <w:rPr>
          <w:color w:val="000000"/>
        </w:rPr>
        <w:t>Division 80 Security and investigation activities</w:t>
      </w:r>
    </w:p>
    <w:p w14:paraId="00000467" w14:textId="77777777" w:rsidR="00F8269C" w:rsidRDefault="00450D2D">
      <w:pPr>
        <w:pBdr>
          <w:top w:val="nil"/>
          <w:left w:val="nil"/>
          <w:bottom w:val="nil"/>
          <w:right w:val="nil"/>
          <w:between w:val="nil"/>
        </w:pBdr>
        <w:spacing w:after="0"/>
        <w:ind w:left="720"/>
        <w:rPr>
          <w:color w:val="000000"/>
        </w:rPr>
      </w:pPr>
      <w:r>
        <w:rPr>
          <w:color w:val="000000"/>
        </w:rPr>
        <w:t>Division 81 Services to buildings and landscape activities</w:t>
      </w:r>
    </w:p>
    <w:p w14:paraId="00000468" w14:textId="77777777" w:rsidR="00F8269C" w:rsidRDefault="00450D2D">
      <w:pPr>
        <w:pBdr>
          <w:top w:val="nil"/>
          <w:left w:val="nil"/>
          <w:bottom w:val="nil"/>
          <w:right w:val="nil"/>
          <w:between w:val="nil"/>
        </w:pBdr>
        <w:ind w:left="720"/>
        <w:rPr>
          <w:color w:val="000000"/>
        </w:rPr>
      </w:pPr>
      <w:r>
        <w:rPr>
          <w:color w:val="000000"/>
        </w:rPr>
        <w:t>Division 82 Office administrative, office support and other business support activities</w:t>
      </w:r>
    </w:p>
    <w:p w14:paraId="00000469" w14:textId="1B75DE53" w:rsidR="00F8269C" w:rsidRDefault="00450D2D">
      <w:pPr>
        <w:pStyle w:val="Heading4"/>
      </w:pPr>
      <w:bookmarkStart w:id="203" w:name="_Toc90191900"/>
      <w:bookmarkStart w:id="204" w:name="_Toc93842820"/>
      <w:bookmarkStart w:id="205" w:name="_Toc93843006"/>
      <w:r>
        <w:t xml:space="preserve">Section O: Public </w:t>
      </w:r>
      <w:r w:rsidR="00DA4D0D">
        <w:t>A</w:t>
      </w:r>
      <w:r>
        <w:t xml:space="preserve">dministration and </w:t>
      </w:r>
      <w:r w:rsidR="00DA4D0D">
        <w:t>D</w:t>
      </w:r>
      <w:r>
        <w:t xml:space="preserve">efence; </w:t>
      </w:r>
      <w:r w:rsidR="00DA4D0D">
        <w:t>C</w:t>
      </w:r>
      <w:r>
        <w:t xml:space="preserve">ompulsory </w:t>
      </w:r>
      <w:r w:rsidR="00DA4D0D">
        <w:t>S</w:t>
      </w:r>
      <w:r>
        <w:t xml:space="preserve">ocial </w:t>
      </w:r>
      <w:r w:rsidR="00DA4D0D">
        <w:t>S</w:t>
      </w:r>
      <w:r>
        <w:t>ecurity</w:t>
      </w:r>
      <w:bookmarkEnd w:id="203"/>
      <w:bookmarkEnd w:id="204"/>
      <w:bookmarkEnd w:id="205"/>
    </w:p>
    <w:p w14:paraId="0000046A" w14:textId="77777777" w:rsidR="00F8269C" w:rsidRDefault="00450D2D">
      <w:pPr>
        <w:pBdr>
          <w:top w:val="nil"/>
          <w:left w:val="nil"/>
          <w:bottom w:val="nil"/>
          <w:right w:val="nil"/>
          <w:between w:val="nil"/>
        </w:pBdr>
        <w:ind w:left="720"/>
        <w:rPr>
          <w:color w:val="000000"/>
        </w:rPr>
      </w:pPr>
      <w:r>
        <w:rPr>
          <w:color w:val="000000"/>
        </w:rPr>
        <w:t>Division 84 Public administration and defence; compulsory social security</w:t>
      </w:r>
    </w:p>
    <w:p w14:paraId="0000046B" w14:textId="77777777" w:rsidR="00F8269C" w:rsidRDefault="00450D2D">
      <w:pPr>
        <w:pStyle w:val="Heading4"/>
      </w:pPr>
      <w:bookmarkStart w:id="206" w:name="_Toc90191901"/>
      <w:bookmarkStart w:id="207" w:name="_Toc93842821"/>
      <w:bookmarkStart w:id="208" w:name="_Toc93843007"/>
      <w:r>
        <w:t>Section P: Education</w:t>
      </w:r>
      <w:bookmarkEnd w:id="206"/>
      <w:bookmarkEnd w:id="207"/>
      <w:bookmarkEnd w:id="208"/>
    </w:p>
    <w:p w14:paraId="0000046C" w14:textId="77777777" w:rsidR="00F8269C" w:rsidRDefault="00450D2D">
      <w:pPr>
        <w:pBdr>
          <w:top w:val="nil"/>
          <w:left w:val="nil"/>
          <w:bottom w:val="nil"/>
          <w:right w:val="nil"/>
          <w:between w:val="nil"/>
        </w:pBdr>
        <w:ind w:left="720"/>
        <w:rPr>
          <w:color w:val="000000"/>
        </w:rPr>
      </w:pPr>
      <w:r>
        <w:rPr>
          <w:color w:val="000000"/>
        </w:rPr>
        <w:t>Division 85 Education</w:t>
      </w:r>
    </w:p>
    <w:p w14:paraId="0000046D" w14:textId="0C7EDC47" w:rsidR="00F8269C" w:rsidRDefault="00450D2D">
      <w:pPr>
        <w:pStyle w:val="Heading4"/>
      </w:pPr>
      <w:bookmarkStart w:id="209" w:name="_Toc90191902"/>
      <w:bookmarkStart w:id="210" w:name="_Toc93842822"/>
      <w:bookmarkStart w:id="211" w:name="_Toc93843008"/>
      <w:r>
        <w:t xml:space="preserve">Section Q: Human </w:t>
      </w:r>
      <w:r w:rsidR="00DA4D0D">
        <w:t>H</w:t>
      </w:r>
      <w:r>
        <w:t xml:space="preserve">ealth and </w:t>
      </w:r>
      <w:r w:rsidR="00DA4D0D">
        <w:t>S</w:t>
      </w:r>
      <w:r>
        <w:t xml:space="preserve">ocial </w:t>
      </w:r>
      <w:r w:rsidR="00DA4D0D">
        <w:t>W</w:t>
      </w:r>
      <w:r>
        <w:t xml:space="preserve">ork </w:t>
      </w:r>
      <w:r w:rsidR="00DA4D0D">
        <w:t>A</w:t>
      </w:r>
      <w:r>
        <w:t>ctivities</w:t>
      </w:r>
      <w:bookmarkEnd w:id="209"/>
      <w:bookmarkEnd w:id="210"/>
      <w:bookmarkEnd w:id="211"/>
    </w:p>
    <w:p w14:paraId="0000046E" w14:textId="77777777" w:rsidR="00F8269C" w:rsidRDefault="00450D2D">
      <w:pPr>
        <w:pBdr>
          <w:top w:val="nil"/>
          <w:left w:val="nil"/>
          <w:bottom w:val="nil"/>
          <w:right w:val="nil"/>
          <w:between w:val="nil"/>
        </w:pBdr>
        <w:spacing w:after="0"/>
        <w:ind w:left="720"/>
        <w:rPr>
          <w:color w:val="000000"/>
        </w:rPr>
      </w:pPr>
      <w:r>
        <w:rPr>
          <w:color w:val="000000"/>
        </w:rPr>
        <w:t>Division 86 Human health activities</w:t>
      </w:r>
    </w:p>
    <w:p w14:paraId="0000046F" w14:textId="77777777" w:rsidR="00F8269C" w:rsidRDefault="00450D2D">
      <w:pPr>
        <w:pBdr>
          <w:top w:val="nil"/>
          <w:left w:val="nil"/>
          <w:bottom w:val="nil"/>
          <w:right w:val="nil"/>
          <w:between w:val="nil"/>
        </w:pBdr>
        <w:spacing w:after="0"/>
        <w:ind w:left="720"/>
        <w:rPr>
          <w:color w:val="000000"/>
        </w:rPr>
      </w:pPr>
      <w:r>
        <w:rPr>
          <w:color w:val="000000"/>
        </w:rPr>
        <w:t>Division 87 Residential care activities</w:t>
      </w:r>
    </w:p>
    <w:p w14:paraId="00000470" w14:textId="77777777" w:rsidR="00F8269C" w:rsidRDefault="00450D2D">
      <w:pPr>
        <w:pBdr>
          <w:top w:val="nil"/>
          <w:left w:val="nil"/>
          <w:bottom w:val="nil"/>
          <w:right w:val="nil"/>
          <w:between w:val="nil"/>
        </w:pBdr>
        <w:ind w:left="720"/>
        <w:rPr>
          <w:color w:val="000000"/>
        </w:rPr>
      </w:pPr>
      <w:r>
        <w:rPr>
          <w:color w:val="000000"/>
        </w:rPr>
        <w:t>Division 88 Social work activities without accommodation</w:t>
      </w:r>
    </w:p>
    <w:p w14:paraId="00000471" w14:textId="55ECE41C" w:rsidR="00F8269C" w:rsidRDefault="00450D2D">
      <w:pPr>
        <w:pStyle w:val="Heading4"/>
      </w:pPr>
      <w:bookmarkStart w:id="212" w:name="_Toc90191903"/>
      <w:bookmarkStart w:id="213" w:name="_Toc93842823"/>
      <w:bookmarkStart w:id="214" w:name="_Toc93843009"/>
      <w:r>
        <w:t>Section R</w:t>
      </w:r>
      <w:r w:rsidR="00BB7CD6">
        <w:t>:</w:t>
      </w:r>
      <w:r>
        <w:t xml:space="preserve"> Arts, </w:t>
      </w:r>
      <w:r w:rsidR="00DA4D0D">
        <w:t>E</w:t>
      </w:r>
      <w:r>
        <w:t xml:space="preserve">ntertainment and </w:t>
      </w:r>
      <w:r w:rsidR="00DA4D0D">
        <w:t>R</w:t>
      </w:r>
      <w:r>
        <w:t>ecreation</w:t>
      </w:r>
      <w:bookmarkEnd w:id="212"/>
      <w:bookmarkEnd w:id="213"/>
      <w:bookmarkEnd w:id="214"/>
    </w:p>
    <w:p w14:paraId="00000472" w14:textId="77777777" w:rsidR="00F8269C" w:rsidRDefault="00450D2D">
      <w:pPr>
        <w:pBdr>
          <w:top w:val="nil"/>
          <w:left w:val="nil"/>
          <w:bottom w:val="nil"/>
          <w:right w:val="nil"/>
          <w:between w:val="nil"/>
        </w:pBdr>
        <w:spacing w:after="0"/>
        <w:ind w:left="720"/>
        <w:rPr>
          <w:color w:val="000000"/>
        </w:rPr>
      </w:pPr>
      <w:r>
        <w:rPr>
          <w:color w:val="000000"/>
        </w:rPr>
        <w:t>Division 90 Creative, arts and entertainment activities</w:t>
      </w:r>
    </w:p>
    <w:p w14:paraId="00000473" w14:textId="77777777" w:rsidR="00F8269C" w:rsidRDefault="00450D2D">
      <w:pPr>
        <w:pBdr>
          <w:top w:val="nil"/>
          <w:left w:val="nil"/>
          <w:bottom w:val="nil"/>
          <w:right w:val="nil"/>
          <w:between w:val="nil"/>
        </w:pBdr>
        <w:spacing w:after="0"/>
        <w:ind w:left="720"/>
        <w:rPr>
          <w:color w:val="000000"/>
        </w:rPr>
      </w:pPr>
      <w:r>
        <w:rPr>
          <w:color w:val="000000"/>
        </w:rPr>
        <w:t>Division 91 Libraries, archives, museums and other cultural activities</w:t>
      </w:r>
    </w:p>
    <w:p w14:paraId="00000474" w14:textId="77777777" w:rsidR="00F8269C" w:rsidRDefault="00450D2D">
      <w:pPr>
        <w:pBdr>
          <w:top w:val="nil"/>
          <w:left w:val="nil"/>
          <w:bottom w:val="nil"/>
          <w:right w:val="nil"/>
          <w:between w:val="nil"/>
        </w:pBdr>
        <w:spacing w:after="0"/>
        <w:ind w:left="720"/>
        <w:rPr>
          <w:color w:val="000000"/>
        </w:rPr>
      </w:pPr>
      <w:r>
        <w:rPr>
          <w:color w:val="000000"/>
        </w:rPr>
        <w:t>Division 92 Gambling and betting activities</w:t>
      </w:r>
    </w:p>
    <w:p w14:paraId="00000475" w14:textId="77777777" w:rsidR="00F8269C" w:rsidRDefault="00450D2D">
      <w:pPr>
        <w:pBdr>
          <w:top w:val="nil"/>
          <w:left w:val="nil"/>
          <w:bottom w:val="nil"/>
          <w:right w:val="nil"/>
          <w:between w:val="nil"/>
        </w:pBdr>
        <w:ind w:left="720"/>
        <w:rPr>
          <w:color w:val="000000"/>
        </w:rPr>
      </w:pPr>
      <w:r>
        <w:rPr>
          <w:color w:val="000000"/>
        </w:rPr>
        <w:t>Division 93 Sports activities and amusement and recreation activities</w:t>
      </w:r>
    </w:p>
    <w:p w14:paraId="00000476" w14:textId="19B53586" w:rsidR="00F8269C" w:rsidRDefault="00450D2D">
      <w:pPr>
        <w:pStyle w:val="Heading4"/>
      </w:pPr>
      <w:bookmarkStart w:id="215" w:name="_Toc90191904"/>
      <w:bookmarkStart w:id="216" w:name="_Toc93842824"/>
      <w:bookmarkStart w:id="217" w:name="_Toc93843010"/>
      <w:r>
        <w:t xml:space="preserve">Section S: Other </w:t>
      </w:r>
      <w:r w:rsidR="00DA4D0D">
        <w:t>S</w:t>
      </w:r>
      <w:r>
        <w:t xml:space="preserve">ervice </w:t>
      </w:r>
      <w:r w:rsidR="00DA4D0D">
        <w:t>A</w:t>
      </w:r>
      <w:r>
        <w:t>ctivities</w:t>
      </w:r>
      <w:bookmarkEnd w:id="215"/>
      <w:bookmarkEnd w:id="216"/>
      <w:bookmarkEnd w:id="217"/>
    </w:p>
    <w:p w14:paraId="00000477" w14:textId="77777777" w:rsidR="00F8269C" w:rsidRDefault="00450D2D">
      <w:pPr>
        <w:pBdr>
          <w:top w:val="nil"/>
          <w:left w:val="nil"/>
          <w:bottom w:val="nil"/>
          <w:right w:val="nil"/>
          <w:between w:val="nil"/>
        </w:pBdr>
        <w:spacing w:after="0"/>
        <w:ind w:left="720"/>
        <w:rPr>
          <w:color w:val="000000"/>
        </w:rPr>
      </w:pPr>
      <w:r>
        <w:rPr>
          <w:color w:val="000000"/>
        </w:rPr>
        <w:t>Division 94 Activities of membership organisations</w:t>
      </w:r>
    </w:p>
    <w:p w14:paraId="00000478" w14:textId="77777777" w:rsidR="00F8269C" w:rsidRDefault="00450D2D">
      <w:pPr>
        <w:pBdr>
          <w:top w:val="nil"/>
          <w:left w:val="nil"/>
          <w:bottom w:val="nil"/>
          <w:right w:val="nil"/>
          <w:between w:val="nil"/>
        </w:pBdr>
        <w:spacing w:after="0"/>
        <w:ind w:left="720"/>
        <w:rPr>
          <w:color w:val="000000"/>
        </w:rPr>
      </w:pPr>
      <w:r>
        <w:rPr>
          <w:color w:val="000000"/>
        </w:rPr>
        <w:t>Division 95: Repair of computers and personal and household goods</w:t>
      </w:r>
    </w:p>
    <w:p w14:paraId="00000479" w14:textId="77777777" w:rsidR="00F8269C" w:rsidRDefault="00450D2D">
      <w:pPr>
        <w:pBdr>
          <w:top w:val="nil"/>
          <w:left w:val="nil"/>
          <w:bottom w:val="nil"/>
          <w:right w:val="nil"/>
          <w:between w:val="nil"/>
        </w:pBdr>
        <w:ind w:left="720"/>
        <w:rPr>
          <w:color w:val="000000"/>
        </w:rPr>
      </w:pPr>
      <w:r>
        <w:rPr>
          <w:color w:val="000000"/>
        </w:rPr>
        <w:t>Division 96 Other personal service activities</w:t>
      </w:r>
    </w:p>
    <w:p w14:paraId="0000047A" w14:textId="1A9265C6" w:rsidR="00F8269C" w:rsidRDefault="00450D2D">
      <w:pPr>
        <w:pStyle w:val="Heading4"/>
      </w:pPr>
      <w:bookmarkStart w:id="218" w:name="_Toc90191905"/>
      <w:bookmarkStart w:id="219" w:name="_Toc93842825"/>
      <w:bookmarkStart w:id="220" w:name="_Toc93843011"/>
      <w:r>
        <w:t xml:space="preserve">Section T: Activities of </w:t>
      </w:r>
      <w:r w:rsidR="00DA4D0D">
        <w:t>H</w:t>
      </w:r>
      <w:r>
        <w:t xml:space="preserve">ouseholds </w:t>
      </w:r>
      <w:r w:rsidR="00DA4D0D">
        <w:t>A</w:t>
      </w:r>
      <w:r>
        <w:t xml:space="preserve">s </w:t>
      </w:r>
      <w:r w:rsidR="00DA4D0D">
        <w:t>E</w:t>
      </w:r>
      <w:r>
        <w:t xml:space="preserve">mployers; </w:t>
      </w:r>
      <w:r w:rsidR="00DA4D0D">
        <w:t>U</w:t>
      </w:r>
      <w:r>
        <w:t xml:space="preserve">ndifferentiated </w:t>
      </w:r>
      <w:r w:rsidR="00DA4D0D">
        <w:t>G</w:t>
      </w:r>
      <w:r>
        <w:t>oods</w:t>
      </w:r>
      <w:r w:rsidR="00FC72D8">
        <w:t xml:space="preserve"> </w:t>
      </w:r>
      <w:r>
        <w:t xml:space="preserve">and </w:t>
      </w:r>
      <w:r w:rsidR="00DA4D0D">
        <w:t>S</w:t>
      </w:r>
      <w:r>
        <w:t xml:space="preserve">ervices-producing </w:t>
      </w:r>
      <w:r w:rsidR="00DA4D0D">
        <w:t>A</w:t>
      </w:r>
      <w:r>
        <w:t xml:space="preserve">ctivities of </w:t>
      </w:r>
      <w:r w:rsidR="00DA4D0D">
        <w:t>H</w:t>
      </w:r>
      <w:r>
        <w:t xml:space="preserve">ouseholds for </w:t>
      </w:r>
      <w:r w:rsidR="00DA4D0D">
        <w:t>O</w:t>
      </w:r>
      <w:r>
        <w:t xml:space="preserve">wn </w:t>
      </w:r>
      <w:r w:rsidR="00DA4D0D">
        <w:t>U</w:t>
      </w:r>
      <w:r>
        <w:t>se</w:t>
      </w:r>
      <w:bookmarkEnd w:id="218"/>
      <w:bookmarkEnd w:id="219"/>
      <w:bookmarkEnd w:id="220"/>
    </w:p>
    <w:p w14:paraId="0000047B" w14:textId="77777777" w:rsidR="00F8269C" w:rsidRDefault="00450D2D">
      <w:pPr>
        <w:pBdr>
          <w:top w:val="nil"/>
          <w:left w:val="nil"/>
          <w:bottom w:val="nil"/>
          <w:right w:val="nil"/>
          <w:between w:val="nil"/>
        </w:pBdr>
        <w:spacing w:after="0"/>
        <w:ind w:left="720"/>
        <w:rPr>
          <w:color w:val="000000"/>
        </w:rPr>
      </w:pPr>
      <w:r>
        <w:rPr>
          <w:color w:val="000000"/>
        </w:rPr>
        <w:t>Division 97 Activities of households as employers of domestic personnel</w:t>
      </w:r>
    </w:p>
    <w:p w14:paraId="0000047C" w14:textId="6B84BCC2" w:rsidR="00F8269C" w:rsidRDefault="00450D2D">
      <w:pPr>
        <w:pBdr>
          <w:top w:val="nil"/>
          <w:left w:val="nil"/>
          <w:bottom w:val="nil"/>
          <w:right w:val="nil"/>
          <w:between w:val="nil"/>
        </w:pBdr>
        <w:ind w:left="720"/>
        <w:rPr>
          <w:color w:val="000000"/>
        </w:rPr>
      </w:pPr>
      <w:r>
        <w:rPr>
          <w:color w:val="000000"/>
        </w:rPr>
        <w:t>Division 98 Undifferentiated goods</w:t>
      </w:r>
      <w:r w:rsidR="00FC72D8">
        <w:rPr>
          <w:color w:val="000000"/>
        </w:rPr>
        <w:t xml:space="preserve"> </w:t>
      </w:r>
      <w:r>
        <w:rPr>
          <w:color w:val="000000"/>
        </w:rPr>
        <w:t>and services-producing activities of private households for own use.</w:t>
      </w:r>
    </w:p>
    <w:p w14:paraId="0000047D" w14:textId="287E53FF" w:rsidR="00F8269C" w:rsidRDefault="00450D2D">
      <w:pPr>
        <w:pStyle w:val="Heading4"/>
        <w:numPr>
          <w:ilvl w:val="0"/>
          <w:numId w:val="10"/>
        </w:numPr>
        <w:rPr>
          <w:b/>
          <w:sz w:val="24"/>
          <w:szCs w:val="24"/>
        </w:rPr>
      </w:pPr>
      <w:bookmarkStart w:id="221" w:name="_Toc90191906"/>
      <w:bookmarkStart w:id="222" w:name="_Toc93842826"/>
      <w:bookmarkStart w:id="223" w:name="_Toc93843012"/>
      <w:r>
        <w:rPr>
          <w:b/>
          <w:sz w:val="24"/>
          <w:szCs w:val="24"/>
        </w:rPr>
        <w:t>Stats</w:t>
      </w:r>
      <w:r w:rsidR="003649AD">
        <w:rPr>
          <w:b/>
          <w:sz w:val="24"/>
          <w:szCs w:val="24"/>
        </w:rPr>
        <w:t> </w:t>
      </w:r>
      <w:r>
        <w:rPr>
          <w:b/>
          <w:sz w:val="24"/>
          <w:szCs w:val="24"/>
        </w:rPr>
        <w:t>SA’s Annual Financial Statistics</w:t>
      </w:r>
      <w:bookmarkEnd w:id="221"/>
      <w:bookmarkEnd w:id="222"/>
      <w:bookmarkEnd w:id="223"/>
    </w:p>
    <w:p w14:paraId="0000047E" w14:textId="4C7EF89A" w:rsidR="00F8269C" w:rsidRDefault="00450D2D" w:rsidP="009D3DA2">
      <w:pPr>
        <w:jc w:val="both"/>
      </w:pPr>
      <w:r>
        <w:t>The AFS provides supply data of cultural activities. The AFS is published by Stats</w:t>
      </w:r>
      <w:r w:rsidR="003649AD">
        <w:t> </w:t>
      </w:r>
      <w:r>
        <w:t>SA on an annual basis in December each year, and is used in the annual calculation of the GDP. The 2014 AFS</w:t>
      </w:r>
      <w:r w:rsidR="00BB7CD6">
        <w:t>,</w:t>
      </w:r>
      <w:r>
        <w:t xml:space="preserve"> for example</w:t>
      </w:r>
      <w:r w:rsidR="00BB7CD6">
        <w:t>,</w:t>
      </w:r>
      <w:r>
        <w:t xml:space="preserve"> </w:t>
      </w:r>
      <w:r w:rsidR="00BB7CD6">
        <w:t xml:space="preserve">is </w:t>
      </w:r>
      <w:r>
        <w:t>based on a sample of 12 922 enterprises that was drawn from the total enterprise population (obtained in cooperation with the SA Revenue Services (SARS)). According to Stats SA, all enterprises are first stratified by the predominant type of activity (according to SIC codes) then by size, using turnover as a measure of size. All enterprises in the size group representing the largest enterprises according to turn over were selected</w:t>
      </w:r>
      <w:r w:rsidR="00BB7CD6">
        <w:t>:</w:t>
      </w:r>
      <w:r>
        <w:t xml:space="preserve"> simply a census of large companies and not just a survey. These large enterprises account for approximately 41% of the total sample. For medium and small enterprises, samples are drawn by randomly selecting the allocated number of enterprises within these groups and each industry.</w:t>
      </w:r>
    </w:p>
    <w:p w14:paraId="0000047F" w14:textId="3E14185E" w:rsidR="00F8269C" w:rsidRDefault="00450D2D" w:rsidP="009D3DA2">
      <w:pPr>
        <w:jc w:val="both"/>
      </w:pPr>
      <w:r>
        <w:lastRenderedPageBreak/>
        <w:t>The AFS data excludes agricultural activities, selected financial activities, and the general government.</w:t>
      </w:r>
    </w:p>
    <w:p w14:paraId="00000480" w14:textId="77777777" w:rsidR="00F8269C" w:rsidRDefault="00450D2D" w:rsidP="009D3DA2">
      <w:pPr>
        <w:jc w:val="both"/>
      </w:pPr>
      <w:r>
        <w:t>The AFS survey collects a range of financial statistics in respect of enterprises in the formal business sector of the South African economy. The purpose of the AFS is to derive a set of measures of industry performance based on information available from the financial accounts of enterprises. The AFS includes:</w:t>
      </w:r>
    </w:p>
    <w:p w14:paraId="00000481" w14:textId="757C9C60" w:rsidR="00F8269C" w:rsidRDefault="00450D2D">
      <w:pPr>
        <w:numPr>
          <w:ilvl w:val="0"/>
          <w:numId w:val="17"/>
        </w:numPr>
        <w:pBdr>
          <w:top w:val="nil"/>
          <w:left w:val="nil"/>
          <w:bottom w:val="nil"/>
          <w:right w:val="nil"/>
          <w:between w:val="nil"/>
        </w:pBdr>
        <w:spacing w:after="0"/>
      </w:pPr>
      <w:r>
        <w:rPr>
          <w:color w:val="000000"/>
        </w:rPr>
        <w:t>income items;</w:t>
      </w:r>
    </w:p>
    <w:p w14:paraId="00000482" w14:textId="77777777" w:rsidR="00F8269C" w:rsidRDefault="00450D2D">
      <w:pPr>
        <w:numPr>
          <w:ilvl w:val="0"/>
          <w:numId w:val="17"/>
        </w:numPr>
        <w:pBdr>
          <w:top w:val="nil"/>
          <w:left w:val="nil"/>
          <w:bottom w:val="nil"/>
          <w:right w:val="nil"/>
          <w:between w:val="nil"/>
        </w:pBdr>
        <w:spacing w:after="0"/>
      </w:pPr>
      <w:r>
        <w:rPr>
          <w:color w:val="000000"/>
        </w:rPr>
        <w:t>inventory;</w:t>
      </w:r>
    </w:p>
    <w:p w14:paraId="00000483" w14:textId="488807BC" w:rsidR="00F8269C" w:rsidRDefault="00450D2D">
      <w:pPr>
        <w:numPr>
          <w:ilvl w:val="0"/>
          <w:numId w:val="17"/>
        </w:numPr>
        <w:pBdr>
          <w:top w:val="nil"/>
          <w:left w:val="nil"/>
          <w:bottom w:val="nil"/>
          <w:right w:val="nil"/>
          <w:between w:val="nil"/>
        </w:pBdr>
        <w:spacing w:after="0"/>
      </w:pPr>
      <w:r>
        <w:rPr>
          <w:color w:val="000000"/>
        </w:rPr>
        <w:t>expenditure items</w:t>
      </w:r>
      <w:r w:rsidR="00BB7CD6">
        <w:rPr>
          <w:color w:val="000000"/>
        </w:rPr>
        <w:t>;</w:t>
      </w:r>
    </w:p>
    <w:p w14:paraId="00000484" w14:textId="259D90B0" w:rsidR="00F8269C" w:rsidRDefault="00450D2D">
      <w:pPr>
        <w:numPr>
          <w:ilvl w:val="0"/>
          <w:numId w:val="17"/>
        </w:numPr>
        <w:pBdr>
          <w:top w:val="nil"/>
          <w:left w:val="nil"/>
          <w:bottom w:val="nil"/>
          <w:right w:val="nil"/>
          <w:between w:val="nil"/>
        </w:pBdr>
        <w:spacing w:after="0"/>
      </w:pPr>
      <w:r>
        <w:rPr>
          <w:color w:val="000000"/>
        </w:rPr>
        <w:t>profit/loss</w:t>
      </w:r>
      <w:r w:rsidR="00BB7CD6">
        <w:rPr>
          <w:color w:val="000000"/>
        </w:rPr>
        <w:t>;</w:t>
      </w:r>
    </w:p>
    <w:p w14:paraId="00000485" w14:textId="28C47E2A" w:rsidR="00F8269C" w:rsidRDefault="00450D2D">
      <w:pPr>
        <w:numPr>
          <w:ilvl w:val="0"/>
          <w:numId w:val="17"/>
        </w:numPr>
        <w:pBdr>
          <w:top w:val="nil"/>
          <w:left w:val="nil"/>
          <w:bottom w:val="nil"/>
          <w:right w:val="nil"/>
          <w:between w:val="nil"/>
        </w:pBdr>
        <w:spacing w:after="0"/>
      </w:pPr>
      <w:r>
        <w:rPr>
          <w:color w:val="000000"/>
        </w:rPr>
        <w:t>tax and dividends</w:t>
      </w:r>
      <w:r w:rsidR="00BB7CD6">
        <w:rPr>
          <w:color w:val="000000"/>
        </w:rPr>
        <w:t>;</w:t>
      </w:r>
    </w:p>
    <w:p w14:paraId="00000486" w14:textId="1528DD03" w:rsidR="00F8269C" w:rsidRDefault="00450D2D">
      <w:pPr>
        <w:numPr>
          <w:ilvl w:val="0"/>
          <w:numId w:val="17"/>
        </w:numPr>
        <w:pBdr>
          <w:top w:val="nil"/>
          <w:left w:val="nil"/>
          <w:bottom w:val="nil"/>
          <w:right w:val="nil"/>
          <w:between w:val="nil"/>
        </w:pBdr>
        <w:spacing w:after="0"/>
      </w:pPr>
      <w:r>
        <w:rPr>
          <w:color w:val="000000"/>
        </w:rPr>
        <w:t>current assets</w:t>
      </w:r>
      <w:r w:rsidR="00BB7CD6">
        <w:rPr>
          <w:color w:val="000000"/>
        </w:rPr>
        <w:t>;</w:t>
      </w:r>
    </w:p>
    <w:p w14:paraId="00000487" w14:textId="5BB38811" w:rsidR="00F8269C" w:rsidRDefault="00450D2D">
      <w:pPr>
        <w:numPr>
          <w:ilvl w:val="0"/>
          <w:numId w:val="17"/>
        </w:numPr>
        <w:pBdr>
          <w:top w:val="nil"/>
          <w:left w:val="nil"/>
          <w:bottom w:val="nil"/>
          <w:right w:val="nil"/>
          <w:between w:val="nil"/>
        </w:pBdr>
        <w:spacing w:after="0"/>
      </w:pPr>
      <w:r>
        <w:rPr>
          <w:color w:val="000000"/>
        </w:rPr>
        <w:t>equity</w:t>
      </w:r>
      <w:r w:rsidR="00BB7CD6">
        <w:rPr>
          <w:color w:val="000000"/>
        </w:rPr>
        <w:t>;</w:t>
      </w:r>
    </w:p>
    <w:p w14:paraId="00000488" w14:textId="23F7A19F" w:rsidR="00F8269C" w:rsidRDefault="00450D2D">
      <w:pPr>
        <w:numPr>
          <w:ilvl w:val="0"/>
          <w:numId w:val="17"/>
        </w:numPr>
        <w:pBdr>
          <w:top w:val="nil"/>
          <w:left w:val="nil"/>
          <w:bottom w:val="nil"/>
          <w:right w:val="nil"/>
          <w:between w:val="nil"/>
        </w:pBdr>
        <w:spacing w:after="0"/>
      </w:pPr>
      <w:r>
        <w:rPr>
          <w:color w:val="000000"/>
        </w:rPr>
        <w:t>non-current liabilities; and</w:t>
      </w:r>
    </w:p>
    <w:p w14:paraId="00000489" w14:textId="6E001192" w:rsidR="00F8269C" w:rsidRDefault="00450D2D">
      <w:pPr>
        <w:numPr>
          <w:ilvl w:val="0"/>
          <w:numId w:val="17"/>
        </w:numPr>
        <w:pBdr>
          <w:top w:val="nil"/>
          <w:left w:val="nil"/>
          <w:bottom w:val="nil"/>
          <w:right w:val="nil"/>
          <w:between w:val="nil"/>
        </w:pBdr>
      </w:pPr>
      <w:r>
        <w:rPr>
          <w:color w:val="000000"/>
        </w:rPr>
        <w:t>current liabilities.</w:t>
      </w:r>
    </w:p>
    <w:p w14:paraId="0000048A" w14:textId="0B0C65CF" w:rsidR="00F8269C" w:rsidRDefault="00450D2D" w:rsidP="009D3DA2">
      <w:pPr>
        <w:jc w:val="both"/>
      </w:pPr>
      <w:r>
        <w:t>Importantly turnover for each sector is included in the income items, net profit and employment costs. It is therefore convenient to use the 2014 AFS so that the data are more aligned to the Stats</w:t>
      </w:r>
      <w:r w:rsidR="003649AD">
        <w:t> </w:t>
      </w:r>
      <w:r>
        <w:t>SA 2014 South African IO (http://www.statssa.gov.za/?page_id=1854&amp;PPN=P0021)</w:t>
      </w:r>
      <w:r w:rsidR="00A95223">
        <w:t>.</w:t>
      </w:r>
    </w:p>
    <w:p w14:paraId="0000048B" w14:textId="75AA67E0" w:rsidR="00F8269C" w:rsidRDefault="00450D2D" w:rsidP="009D3DA2">
      <w:pPr>
        <w:jc w:val="both"/>
      </w:pPr>
      <w:r>
        <w:t>As discussed above, not all industry sectors have subcategories that include CCIs. In such cases, estimates have been based on the number of CCI employees as a percentage of total employees of the sector concerned. These data are based on the Quarterly Labour Force Survey (QLSF) 2014 (Quarter 3) provided by Stats</w:t>
      </w:r>
      <w:r w:rsidR="003649AD">
        <w:t> </w:t>
      </w:r>
      <w:r>
        <w:t>SA.</w:t>
      </w:r>
    </w:p>
    <w:p w14:paraId="0000048C" w14:textId="77777777" w:rsidR="00F8269C" w:rsidRDefault="00450D2D" w:rsidP="009D3DA2">
      <w:pPr>
        <w:jc w:val="both"/>
      </w:pPr>
      <w:r>
        <w:t>The 2019 AFS consists for example of 299 industries (290 disaggregated and nine aggregated). The AFS provides financial data on income items, inventories, expenditure items, profit/loss, tax and dividends and assets and liabilities. Typical sectors (or part thereof) that can be considered are:</w:t>
      </w:r>
    </w:p>
    <w:p w14:paraId="0000048D" w14:textId="77777777" w:rsidR="00F8269C" w:rsidRDefault="00450D2D">
      <w:pPr>
        <w:numPr>
          <w:ilvl w:val="0"/>
          <w:numId w:val="17"/>
        </w:numPr>
        <w:pBdr>
          <w:top w:val="nil"/>
          <w:left w:val="nil"/>
          <w:bottom w:val="nil"/>
          <w:right w:val="nil"/>
          <w:between w:val="nil"/>
        </w:pBdr>
        <w:spacing w:after="0"/>
      </w:pPr>
      <w:r>
        <w:rPr>
          <w:color w:val="000000"/>
        </w:rPr>
        <w:t>Photographic activities (SIC 8894);</w:t>
      </w:r>
    </w:p>
    <w:p w14:paraId="0000048E" w14:textId="77777777" w:rsidR="00F8269C" w:rsidRDefault="00450D2D">
      <w:pPr>
        <w:numPr>
          <w:ilvl w:val="0"/>
          <w:numId w:val="17"/>
        </w:numPr>
        <w:pBdr>
          <w:top w:val="nil"/>
          <w:left w:val="nil"/>
          <w:bottom w:val="nil"/>
          <w:right w:val="nil"/>
          <w:between w:val="nil"/>
        </w:pBdr>
        <w:spacing w:after="0"/>
      </w:pPr>
      <w:r>
        <w:rPr>
          <w:color w:val="000000"/>
        </w:rPr>
        <w:t>Dramatic arts, music and other arts activities (SIC 9614);</w:t>
      </w:r>
    </w:p>
    <w:p w14:paraId="0000048F" w14:textId="77777777" w:rsidR="00F8269C" w:rsidRDefault="00450D2D">
      <w:pPr>
        <w:numPr>
          <w:ilvl w:val="0"/>
          <w:numId w:val="17"/>
        </w:numPr>
        <w:pBdr>
          <w:top w:val="nil"/>
          <w:left w:val="nil"/>
          <w:bottom w:val="nil"/>
          <w:right w:val="nil"/>
          <w:between w:val="nil"/>
        </w:pBdr>
        <w:spacing w:after="0"/>
      </w:pPr>
      <w:r>
        <w:rPr>
          <w:color w:val="000000"/>
        </w:rPr>
        <w:t>Library and archives activities (SIC 9631);</w:t>
      </w:r>
    </w:p>
    <w:p w14:paraId="00000490" w14:textId="77777777" w:rsidR="00F8269C" w:rsidRDefault="00450D2D">
      <w:pPr>
        <w:numPr>
          <w:ilvl w:val="0"/>
          <w:numId w:val="17"/>
        </w:numPr>
        <w:pBdr>
          <w:top w:val="nil"/>
          <w:left w:val="nil"/>
          <w:bottom w:val="nil"/>
          <w:right w:val="nil"/>
          <w:between w:val="nil"/>
        </w:pBdr>
        <w:spacing w:after="0"/>
      </w:pPr>
      <w:r>
        <w:rPr>
          <w:color w:val="000000"/>
        </w:rPr>
        <w:t>Museum activities and preservation of historical sites and buildings (SIC 9632);</w:t>
      </w:r>
    </w:p>
    <w:p w14:paraId="00000491" w14:textId="77777777" w:rsidR="00F8269C" w:rsidRDefault="00450D2D">
      <w:pPr>
        <w:numPr>
          <w:ilvl w:val="0"/>
          <w:numId w:val="17"/>
        </w:numPr>
        <w:pBdr>
          <w:top w:val="nil"/>
          <w:left w:val="nil"/>
          <w:bottom w:val="nil"/>
          <w:right w:val="nil"/>
          <w:between w:val="nil"/>
        </w:pBdr>
        <w:spacing w:after="0"/>
      </w:pPr>
      <w:r>
        <w:rPr>
          <w:color w:val="000000"/>
        </w:rPr>
        <w:t>Botanical and zoological gardens and nature reserve activities (SIC 9633);</w:t>
      </w:r>
    </w:p>
    <w:p w14:paraId="00000492" w14:textId="46D523BD" w:rsidR="00F8269C" w:rsidRDefault="00450D2D">
      <w:pPr>
        <w:numPr>
          <w:ilvl w:val="0"/>
          <w:numId w:val="17"/>
        </w:numPr>
        <w:pBdr>
          <w:top w:val="nil"/>
          <w:left w:val="nil"/>
          <w:bottom w:val="nil"/>
          <w:right w:val="nil"/>
          <w:between w:val="nil"/>
        </w:pBdr>
        <w:spacing w:after="0"/>
      </w:pPr>
      <w:r>
        <w:rPr>
          <w:color w:val="000000"/>
        </w:rPr>
        <w:t>Motion picture and video production and distribution (SIC9611)</w:t>
      </w:r>
      <w:r w:rsidR="00A95223">
        <w:rPr>
          <w:color w:val="000000"/>
        </w:rPr>
        <w:t>;</w:t>
      </w:r>
      <w:r>
        <w:rPr>
          <w:color w:val="000000"/>
        </w:rPr>
        <w:t xml:space="preserve"> and</w:t>
      </w:r>
    </w:p>
    <w:p w14:paraId="00000493" w14:textId="77777777" w:rsidR="00F8269C" w:rsidRDefault="00450D2D">
      <w:pPr>
        <w:numPr>
          <w:ilvl w:val="0"/>
          <w:numId w:val="17"/>
        </w:numPr>
        <w:pBdr>
          <w:top w:val="nil"/>
          <w:left w:val="nil"/>
          <w:bottom w:val="nil"/>
          <w:right w:val="nil"/>
          <w:between w:val="nil"/>
        </w:pBdr>
      </w:pPr>
      <w:r>
        <w:rPr>
          <w:color w:val="000000"/>
        </w:rPr>
        <w:t>Sporting activities (SIC 9641).</w:t>
      </w:r>
    </w:p>
    <w:p w14:paraId="00000494" w14:textId="13AF12D1" w:rsidR="00F8269C" w:rsidRDefault="00450D2D">
      <w:pPr>
        <w:pStyle w:val="Heading4"/>
        <w:numPr>
          <w:ilvl w:val="0"/>
          <w:numId w:val="10"/>
        </w:numPr>
        <w:rPr>
          <w:b/>
        </w:rPr>
      </w:pPr>
      <w:bookmarkStart w:id="224" w:name="_heading=h.2w5ecyt" w:colFirst="0" w:colLast="0"/>
      <w:bookmarkStart w:id="225" w:name="_Toc90191907"/>
      <w:bookmarkStart w:id="226" w:name="_Toc93842827"/>
      <w:bookmarkStart w:id="227" w:name="_Toc93843013"/>
      <w:bookmarkEnd w:id="224"/>
      <w:r>
        <w:rPr>
          <w:b/>
          <w:sz w:val="24"/>
          <w:szCs w:val="24"/>
        </w:rPr>
        <w:t>List of Dimensions Included in the AFS</w:t>
      </w:r>
      <w:bookmarkEnd w:id="225"/>
      <w:bookmarkEnd w:id="226"/>
      <w:bookmarkEnd w:id="227"/>
    </w:p>
    <w:p w14:paraId="00000495" w14:textId="38259F40" w:rsidR="00F8269C" w:rsidRDefault="00450D2D">
      <w:pPr>
        <w:pStyle w:val="Heading4"/>
      </w:pPr>
      <w:bookmarkStart w:id="228" w:name="_Toc90191908"/>
      <w:bookmarkStart w:id="229" w:name="_Toc93842828"/>
      <w:bookmarkStart w:id="230" w:name="_Toc93843014"/>
      <w:r>
        <w:t xml:space="preserve">Income </w:t>
      </w:r>
      <w:r w:rsidR="00DA4D0D">
        <w:t>I</w:t>
      </w:r>
      <w:r>
        <w:t>tems</w:t>
      </w:r>
      <w:bookmarkEnd w:id="228"/>
      <w:bookmarkEnd w:id="229"/>
      <w:bookmarkEnd w:id="230"/>
    </w:p>
    <w:p w14:paraId="00000496" w14:textId="77777777" w:rsidR="00F8269C" w:rsidRDefault="00450D2D">
      <w:pPr>
        <w:numPr>
          <w:ilvl w:val="0"/>
          <w:numId w:val="17"/>
        </w:numPr>
        <w:pBdr>
          <w:top w:val="nil"/>
          <w:left w:val="nil"/>
          <w:bottom w:val="nil"/>
          <w:right w:val="nil"/>
          <w:between w:val="nil"/>
        </w:pBdr>
        <w:spacing w:after="0"/>
      </w:pPr>
      <w:r>
        <w:rPr>
          <w:color w:val="000000"/>
        </w:rPr>
        <w:t>Turnover;</w:t>
      </w:r>
    </w:p>
    <w:p w14:paraId="00000497" w14:textId="77777777" w:rsidR="00F8269C" w:rsidRDefault="00450D2D">
      <w:pPr>
        <w:numPr>
          <w:ilvl w:val="0"/>
          <w:numId w:val="17"/>
        </w:numPr>
        <w:pBdr>
          <w:top w:val="nil"/>
          <w:left w:val="nil"/>
          <w:bottom w:val="nil"/>
          <w:right w:val="nil"/>
          <w:between w:val="nil"/>
        </w:pBdr>
        <w:spacing w:after="0"/>
      </w:pPr>
      <w:r>
        <w:rPr>
          <w:color w:val="000000"/>
        </w:rPr>
        <w:t>Dividends;</w:t>
      </w:r>
    </w:p>
    <w:p w14:paraId="00000498" w14:textId="77777777" w:rsidR="00F8269C" w:rsidRDefault="00450D2D">
      <w:pPr>
        <w:numPr>
          <w:ilvl w:val="0"/>
          <w:numId w:val="17"/>
        </w:numPr>
        <w:pBdr>
          <w:top w:val="nil"/>
          <w:left w:val="nil"/>
          <w:bottom w:val="nil"/>
          <w:right w:val="nil"/>
          <w:between w:val="nil"/>
        </w:pBdr>
        <w:spacing w:after="0"/>
      </w:pPr>
      <w:r>
        <w:rPr>
          <w:color w:val="000000"/>
        </w:rPr>
        <w:t>Government subsidies and incentives;</w:t>
      </w:r>
    </w:p>
    <w:p w14:paraId="00000499" w14:textId="77777777" w:rsidR="00F8269C" w:rsidRDefault="00450D2D">
      <w:pPr>
        <w:numPr>
          <w:ilvl w:val="0"/>
          <w:numId w:val="17"/>
        </w:numPr>
        <w:pBdr>
          <w:top w:val="nil"/>
          <w:left w:val="nil"/>
          <w:bottom w:val="nil"/>
          <w:right w:val="nil"/>
          <w:between w:val="nil"/>
        </w:pBdr>
        <w:spacing w:after="0"/>
      </w:pPr>
      <w:r>
        <w:rPr>
          <w:color w:val="000000"/>
        </w:rPr>
        <w:t>Capital transfers received from government;</w:t>
      </w:r>
    </w:p>
    <w:p w14:paraId="0000049A" w14:textId="77777777" w:rsidR="00F8269C" w:rsidRDefault="00450D2D">
      <w:pPr>
        <w:numPr>
          <w:ilvl w:val="0"/>
          <w:numId w:val="17"/>
        </w:numPr>
        <w:pBdr>
          <w:top w:val="nil"/>
          <w:left w:val="nil"/>
          <w:bottom w:val="nil"/>
          <w:right w:val="nil"/>
          <w:between w:val="nil"/>
        </w:pBdr>
        <w:spacing w:after="0"/>
      </w:pPr>
      <w:r>
        <w:rPr>
          <w:color w:val="000000"/>
        </w:rPr>
        <w:t>Interest;</w:t>
      </w:r>
    </w:p>
    <w:p w14:paraId="0000049B" w14:textId="77777777" w:rsidR="00F8269C" w:rsidRDefault="00450D2D">
      <w:pPr>
        <w:numPr>
          <w:ilvl w:val="0"/>
          <w:numId w:val="17"/>
        </w:numPr>
        <w:pBdr>
          <w:top w:val="nil"/>
          <w:left w:val="nil"/>
          <w:bottom w:val="nil"/>
          <w:right w:val="nil"/>
          <w:between w:val="nil"/>
        </w:pBdr>
        <w:spacing w:after="0"/>
      </w:pPr>
      <w:r>
        <w:rPr>
          <w:color w:val="000000"/>
        </w:rPr>
        <w:t>Profit on financial and other assets: disposal of assets, realisation for cash and revaluation of assets;</w:t>
      </w:r>
    </w:p>
    <w:p w14:paraId="0000049C" w14:textId="77777777" w:rsidR="00F8269C" w:rsidRDefault="00450D2D">
      <w:pPr>
        <w:numPr>
          <w:ilvl w:val="0"/>
          <w:numId w:val="17"/>
        </w:numPr>
        <w:pBdr>
          <w:top w:val="nil"/>
          <w:left w:val="nil"/>
          <w:bottom w:val="nil"/>
          <w:right w:val="nil"/>
          <w:between w:val="nil"/>
        </w:pBdr>
        <w:spacing w:after="0"/>
      </w:pPr>
      <w:r>
        <w:rPr>
          <w:color w:val="000000"/>
        </w:rPr>
        <w:t>Profit on financial and other liabilities: redemption, liquidation and revaluation of liabilities;</w:t>
      </w:r>
    </w:p>
    <w:p w14:paraId="0000049D" w14:textId="77777777" w:rsidR="00F8269C" w:rsidRDefault="00450D2D">
      <w:pPr>
        <w:numPr>
          <w:ilvl w:val="0"/>
          <w:numId w:val="17"/>
        </w:numPr>
        <w:pBdr>
          <w:top w:val="nil"/>
          <w:left w:val="nil"/>
          <w:bottom w:val="nil"/>
          <w:right w:val="nil"/>
          <w:between w:val="nil"/>
        </w:pBdr>
        <w:spacing w:after="0"/>
      </w:pPr>
      <w:r>
        <w:rPr>
          <w:color w:val="000000"/>
        </w:rPr>
        <w:t>Profit on foreign transactions resulting from changes in foreign exchange rates;</w:t>
      </w:r>
    </w:p>
    <w:p w14:paraId="0000049E" w14:textId="77777777" w:rsidR="00F8269C" w:rsidRDefault="00450D2D">
      <w:pPr>
        <w:numPr>
          <w:ilvl w:val="0"/>
          <w:numId w:val="17"/>
        </w:numPr>
        <w:pBdr>
          <w:top w:val="nil"/>
          <w:left w:val="nil"/>
          <w:bottom w:val="nil"/>
          <w:right w:val="nil"/>
          <w:between w:val="nil"/>
        </w:pBdr>
        <w:spacing w:after="0"/>
      </w:pPr>
      <w:r>
        <w:rPr>
          <w:color w:val="000000"/>
        </w:rPr>
        <w:t>Provisions;</w:t>
      </w:r>
    </w:p>
    <w:p w14:paraId="0000049F" w14:textId="77777777" w:rsidR="00F8269C" w:rsidRDefault="00450D2D">
      <w:pPr>
        <w:numPr>
          <w:ilvl w:val="0"/>
          <w:numId w:val="17"/>
        </w:numPr>
        <w:pBdr>
          <w:top w:val="nil"/>
          <w:left w:val="nil"/>
          <w:bottom w:val="nil"/>
          <w:right w:val="nil"/>
          <w:between w:val="nil"/>
        </w:pBdr>
        <w:spacing w:after="0"/>
      </w:pPr>
      <w:r>
        <w:rPr>
          <w:color w:val="000000"/>
        </w:rPr>
        <w:t>Research and development;</w:t>
      </w:r>
    </w:p>
    <w:p w14:paraId="000004A0" w14:textId="77777777" w:rsidR="00F8269C" w:rsidRDefault="00450D2D">
      <w:pPr>
        <w:numPr>
          <w:ilvl w:val="0"/>
          <w:numId w:val="17"/>
        </w:numPr>
        <w:pBdr>
          <w:top w:val="nil"/>
          <w:left w:val="nil"/>
          <w:bottom w:val="nil"/>
          <w:right w:val="nil"/>
          <w:between w:val="nil"/>
        </w:pBdr>
        <w:spacing w:after="0"/>
      </w:pPr>
      <w:r>
        <w:rPr>
          <w:color w:val="000000"/>
        </w:rPr>
        <w:t>Royalties, franchise fees, copyright, trade names, trademarks and patent rights;</w:t>
      </w:r>
    </w:p>
    <w:p w14:paraId="000004A1" w14:textId="77777777" w:rsidR="00F8269C" w:rsidRDefault="00450D2D">
      <w:pPr>
        <w:numPr>
          <w:ilvl w:val="0"/>
          <w:numId w:val="17"/>
        </w:numPr>
        <w:pBdr>
          <w:top w:val="nil"/>
          <w:left w:val="nil"/>
          <w:bottom w:val="nil"/>
          <w:right w:val="nil"/>
          <w:between w:val="nil"/>
        </w:pBdr>
        <w:spacing w:after="0"/>
      </w:pPr>
      <w:r>
        <w:rPr>
          <w:color w:val="000000"/>
        </w:rPr>
        <w:t>Other;</w:t>
      </w:r>
    </w:p>
    <w:p w14:paraId="000004A2" w14:textId="77777777" w:rsidR="00F8269C" w:rsidRDefault="00450D2D">
      <w:pPr>
        <w:numPr>
          <w:ilvl w:val="0"/>
          <w:numId w:val="17"/>
        </w:numPr>
        <w:pBdr>
          <w:top w:val="nil"/>
          <w:left w:val="nil"/>
          <w:bottom w:val="nil"/>
          <w:right w:val="nil"/>
          <w:between w:val="nil"/>
        </w:pBdr>
      </w:pPr>
      <w:r>
        <w:rPr>
          <w:color w:val="000000"/>
        </w:rPr>
        <w:t>Total income.</w:t>
      </w:r>
    </w:p>
    <w:p w14:paraId="000004A3" w14:textId="77777777" w:rsidR="00F8269C" w:rsidRDefault="00450D2D">
      <w:pPr>
        <w:pStyle w:val="Heading4"/>
      </w:pPr>
      <w:bookmarkStart w:id="231" w:name="_Toc90191909"/>
      <w:bookmarkStart w:id="232" w:name="_Toc93842829"/>
      <w:bookmarkStart w:id="233" w:name="_Toc93843015"/>
      <w:r>
        <w:t>Inventories</w:t>
      </w:r>
      <w:bookmarkEnd w:id="231"/>
      <w:bookmarkEnd w:id="232"/>
      <w:bookmarkEnd w:id="233"/>
    </w:p>
    <w:p w14:paraId="000004A4" w14:textId="77777777" w:rsidR="00F8269C" w:rsidRDefault="00450D2D">
      <w:pPr>
        <w:numPr>
          <w:ilvl w:val="0"/>
          <w:numId w:val="17"/>
        </w:numPr>
        <w:pBdr>
          <w:top w:val="nil"/>
          <w:left w:val="nil"/>
          <w:bottom w:val="nil"/>
          <w:right w:val="nil"/>
          <w:between w:val="nil"/>
        </w:pBdr>
        <w:spacing w:after="0"/>
      </w:pPr>
      <w:r>
        <w:rPr>
          <w:color w:val="000000"/>
        </w:rPr>
        <w:t>Opening value of raw materials;</w:t>
      </w:r>
    </w:p>
    <w:p w14:paraId="000004A5" w14:textId="77777777" w:rsidR="00F8269C" w:rsidRDefault="00450D2D">
      <w:pPr>
        <w:numPr>
          <w:ilvl w:val="0"/>
          <w:numId w:val="17"/>
        </w:numPr>
        <w:pBdr>
          <w:top w:val="nil"/>
          <w:left w:val="nil"/>
          <w:bottom w:val="nil"/>
          <w:right w:val="nil"/>
          <w:between w:val="nil"/>
        </w:pBdr>
        <w:spacing w:after="0"/>
      </w:pPr>
      <w:r>
        <w:rPr>
          <w:color w:val="000000"/>
        </w:rPr>
        <w:t>Opening value of work in progress;</w:t>
      </w:r>
    </w:p>
    <w:p w14:paraId="000004A6" w14:textId="77777777" w:rsidR="00F8269C" w:rsidRDefault="00450D2D">
      <w:pPr>
        <w:numPr>
          <w:ilvl w:val="0"/>
          <w:numId w:val="17"/>
        </w:numPr>
        <w:pBdr>
          <w:top w:val="nil"/>
          <w:left w:val="nil"/>
          <w:bottom w:val="nil"/>
          <w:right w:val="nil"/>
          <w:between w:val="nil"/>
        </w:pBdr>
        <w:spacing w:after="0"/>
      </w:pPr>
      <w:r>
        <w:rPr>
          <w:color w:val="000000"/>
        </w:rPr>
        <w:lastRenderedPageBreak/>
        <w:t>Opening value of finished goods;</w:t>
      </w:r>
    </w:p>
    <w:p w14:paraId="000004A7" w14:textId="77777777" w:rsidR="00F8269C" w:rsidRDefault="00450D2D">
      <w:pPr>
        <w:numPr>
          <w:ilvl w:val="0"/>
          <w:numId w:val="17"/>
        </w:numPr>
        <w:pBdr>
          <w:top w:val="nil"/>
          <w:left w:val="nil"/>
          <w:bottom w:val="nil"/>
          <w:right w:val="nil"/>
          <w:between w:val="nil"/>
        </w:pBdr>
        <w:spacing w:after="0"/>
      </w:pPr>
      <w:r>
        <w:rPr>
          <w:color w:val="000000"/>
        </w:rPr>
        <w:t>Total opening value;</w:t>
      </w:r>
    </w:p>
    <w:p w14:paraId="000004A8" w14:textId="77777777" w:rsidR="00F8269C" w:rsidRDefault="00450D2D">
      <w:pPr>
        <w:numPr>
          <w:ilvl w:val="0"/>
          <w:numId w:val="17"/>
        </w:numPr>
        <w:pBdr>
          <w:top w:val="nil"/>
          <w:left w:val="nil"/>
          <w:bottom w:val="nil"/>
          <w:right w:val="nil"/>
          <w:between w:val="nil"/>
        </w:pBdr>
        <w:spacing w:after="0"/>
      </w:pPr>
      <w:r>
        <w:rPr>
          <w:color w:val="000000"/>
        </w:rPr>
        <w:t>Closing value of raw materials;</w:t>
      </w:r>
    </w:p>
    <w:p w14:paraId="000004A9" w14:textId="77777777" w:rsidR="00F8269C" w:rsidRDefault="00450D2D">
      <w:pPr>
        <w:numPr>
          <w:ilvl w:val="0"/>
          <w:numId w:val="17"/>
        </w:numPr>
        <w:pBdr>
          <w:top w:val="nil"/>
          <w:left w:val="nil"/>
          <w:bottom w:val="nil"/>
          <w:right w:val="nil"/>
          <w:between w:val="nil"/>
        </w:pBdr>
        <w:spacing w:after="0"/>
      </w:pPr>
      <w:r>
        <w:rPr>
          <w:color w:val="000000"/>
        </w:rPr>
        <w:t>Closing value of work in progress;</w:t>
      </w:r>
    </w:p>
    <w:p w14:paraId="000004AA" w14:textId="77777777" w:rsidR="00F8269C" w:rsidRDefault="00450D2D">
      <w:pPr>
        <w:numPr>
          <w:ilvl w:val="0"/>
          <w:numId w:val="17"/>
        </w:numPr>
        <w:pBdr>
          <w:top w:val="nil"/>
          <w:left w:val="nil"/>
          <w:bottom w:val="nil"/>
          <w:right w:val="nil"/>
          <w:between w:val="nil"/>
        </w:pBdr>
        <w:spacing w:after="0"/>
      </w:pPr>
      <w:r>
        <w:rPr>
          <w:color w:val="000000"/>
        </w:rPr>
        <w:t>Closing value of finished goods;</w:t>
      </w:r>
    </w:p>
    <w:p w14:paraId="000004AB" w14:textId="77777777" w:rsidR="00F8269C" w:rsidRDefault="00450D2D">
      <w:pPr>
        <w:numPr>
          <w:ilvl w:val="0"/>
          <w:numId w:val="17"/>
        </w:numPr>
        <w:pBdr>
          <w:top w:val="nil"/>
          <w:left w:val="nil"/>
          <w:bottom w:val="nil"/>
          <w:right w:val="nil"/>
          <w:between w:val="nil"/>
        </w:pBdr>
      </w:pPr>
      <w:r>
        <w:rPr>
          <w:color w:val="000000"/>
        </w:rPr>
        <w:t>Total closing value.</w:t>
      </w:r>
    </w:p>
    <w:p w14:paraId="000004AC" w14:textId="61AE5C7A" w:rsidR="00F8269C" w:rsidRDefault="00450D2D">
      <w:pPr>
        <w:pStyle w:val="Heading4"/>
      </w:pPr>
      <w:bookmarkStart w:id="234" w:name="_Toc90191910"/>
      <w:bookmarkStart w:id="235" w:name="_Toc93842830"/>
      <w:bookmarkStart w:id="236" w:name="_Toc93843016"/>
      <w:r>
        <w:t xml:space="preserve">Expenditure </w:t>
      </w:r>
      <w:r w:rsidR="00DA4D0D">
        <w:t>I</w:t>
      </w:r>
      <w:r>
        <w:t>tems</w:t>
      </w:r>
      <w:bookmarkEnd w:id="234"/>
      <w:bookmarkEnd w:id="235"/>
      <w:bookmarkEnd w:id="236"/>
    </w:p>
    <w:p w14:paraId="000004AD" w14:textId="77777777" w:rsidR="00F8269C" w:rsidRDefault="00450D2D">
      <w:pPr>
        <w:numPr>
          <w:ilvl w:val="0"/>
          <w:numId w:val="17"/>
        </w:numPr>
        <w:pBdr>
          <w:top w:val="nil"/>
          <w:left w:val="nil"/>
          <w:bottom w:val="nil"/>
          <w:right w:val="nil"/>
          <w:between w:val="nil"/>
        </w:pBdr>
        <w:spacing w:after="0"/>
      </w:pPr>
      <w:r>
        <w:rPr>
          <w:color w:val="000000"/>
        </w:rPr>
        <w:t>Purchases;</w:t>
      </w:r>
    </w:p>
    <w:p w14:paraId="000004AE" w14:textId="77777777" w:rsidR="00F8269C" w:rsidRDefault="00450D2D">
      <w:pPr>
        <w:numPr>
          <w:ilvl w:val="0"/>
          <w:numId w:val="17"/>
        </w:numPr>
        <w:pBdr>
          <w:top w:val="nil"/>
          <w:left w:val="nil"/>
          <w:bottom w:val="nil"/>
          <w:right w:val="nil"/>
          <w:between w:val="nil"/>
        </w:pBdr>
        <w:spacing w:after="0"/>
      </w:pPr>
      <w:r>
        <w:rPr>
          <w:color w:val="000000"/>
        </w:rPr>
        <w:t>Advertising;</w:t>
      </w:r>
    </w:p>
    <w:p w14:paraId="000004AF" w14:textId="77777777" w:rsidR="00F8269C" w:rsidRDefault="00450D2D">
      <w:pPr>
        <w:numPr>
          <w:ilvl w:val="0"/>
          <w:numId w:val="17"/>
        </w:numPr>
        <w:pBdr>
          <w:top w:val="nil"/>
          <w:left w:val="nil"/>
          <w:bottom w:val="nil"/>
          <w:right w:val="nil"/>
          <w:between w:val="nil"/>
        </w:pBdr>
        <w:spacing w:after="0"/>
      </w:pPr>
      <w:r>
        <w:rPr>
          <w:color w:val="000000"/>
        </w:rPr>
        <w:t>Amortisation;</w:t>
      </w:r>
    </w:p>
    <w:p w14:paraId="000004B0" w14:textId="77777777" w:rsidR="00F8269C" w:rsidRDefault="00450D2D">
      <w:pPr>
        <w:numPr>
          <w:ilvl w:val="0"/>
          <w:numId w:val="17"/>
        </w:numPr>
        <w:pBdr>
          <w:top w:val="nil"/>
          <w:left w:val="nil"/>
          <w:bottom w:val="nil"/>
          <w:right w:val="nil"/>
          <w:between w:val="nil"/>
        </w:pBdr>
        <w:spacing w:after="0"/>
      </w:pPr>
      <w:r>
        <w:rPr>
          <w:color w:val="000000"/>
        </w:rPr>
        <w:t>Bank charges;</w:t>
      </w:r>
    </w:p>
    <w:p w14:paraId="000004B1" w14:textId="77777777" w:rsidR="00F8269C" w:rsidRDefault="00450D2D">
      <w:pPr>
        <w:numPr>
          <w:ilvl w:val="0"/>
          <w:numId w:val="17"/>
        </w:numPr>
        <w:pBdr>
          <w:top w:val="nil"/>
          <w:left w:val="nil"/>
          <w:bottom w:val="nil"/>
          <w:right w:val="nil"/>
          <w:between w:val="nil"/>
        </w:pBdr>
        <w:spacing w:after="0"/>
      </w:pPr>
      <w:r>
        <w:rPr>
          <w:color w:val="000000"/>
        </w:rPr>
        <w:t>Bursaries;</w:t>
      </w:r>
    </w:p>
    <w:p w14:paraId="000004B2" w14:textId="77777777" w:rsidR="00F8269C" w:rsidRDefault="00450D2D">
      <w:pPr>
        <w:numPr>
          <w:ilvl w:val="0"/>
          <w:numId w:val="17"/>
        </w:numPr>
        <w:pBdr>
          <w:top w:val="nil"/>
          <w:left w:val="nil"/>
          <w:bottom w:val="nil"/>
          <w:right w:val="nil"/>
          <w:between w:val="nil"/>
        </w:pBdr>
        <w:spacing w:after="0"/>
      </w:pPr>
      <w:r>
        <w:rPr>
          <w:color w:val="000000"/>
        </w:rPr>
        <w:t>Computer expenses;</w:t>
      </w:r>
    </w:p>
    <w:p w14:paraId="000004B3" w14:textId="77777777" w:rsidR="00F8269C" w:rsidRDefault="00450D2D">
      <w:pPr>
        <w:numPr>
          <w:ilvl w:val="0"/>
          <w:numId w:val="17"/>
        </w:numPr>
        <w:pBdr>
          <w:top w:val="nil"/>
          <w:left w:val="nil"/>
          <w:bottom w:val="nil"/>
          <w:right w:val="nil"/>
          <w:between w:val="nil"/>
        </w:pBdr>
        <w:spacing w:after="0"/>
      </w:pPr>
      <w:r>
        <w:rPr>
          <w:color w:val="000000"/>
        </w:rPr>
        <w:t>Containers and packaging materials;</w:t>
      </w:r>
    </w:p>
    <w:p w14:paraId="000004B4" w14:textId="77777777" w:rsidR="00F8269C" w:rsidRDefault="00450D2D">
      <w:pPr>
        <w:numPr>
          <w:ilvl w:val="0"/>
          <w:numId w:val="17"/>
        </w:numPr>
        <w:pBdr>
          <w:top w:val="nil"/>
          <w:left w:val="nil"/>
          <w:bottom w:val="nil"/>
          <w:right w:val="nil"/>
          <w:between w:val="nil"/>
        </w:pBdr>
        <w:spacing w:after="0"/>
      </w:pPr>
      <w:r>
        <w:rPr>
          <w:color w:val="000000"/>
        </w:rPr>
        <w:t>Depreciation;</w:t>
      </w:r>
    </w:p>
    <w:p w14:paraId="000004B5" w14:textId="77777777" w:rsidR="00F8269C" w:rsidRDefault="00450D2D">
      <w:pPr>
        <w:numPr>
          <w:ilvl w:val="0"/>
          <w:numId w:val="17"/>
        </w:numPr>
        <w:pBdr>
          <w:top w:val="nil"/>
          <w:left w:val="nil"/>
          <w:bottom w:val="nil"/>
          <w:right w:val="nil"/>
          <w:between w:val="nil"/>
        </w:pBdr>
      </w:pPr>
      <w:r>
        <w:rPr>
          <w:color w:val="000000"/>
        </w:rPr>
        <w:t>Employment cost.</w:t>
      </w:r>
    </w:p>
    <w:p w14:paraId="000004B6" w14:textId="5EAEC3EA" w:rsidR="00F8269C" w:rsidRDefault="00450D2D">
      <w:pPr>
        <w:pStyle w:val="Heading4"/>
      </w:pPr>
      <w:bookmarkStart w:id="237" w:name="_Toc90191911"/>
      <w:bookmarkStart w:id="238" w:name="_Toc93842831"/>
      <w:bookmarkStart w:id="239" w:name="_Toc93843017"/>
      <w:r>
        <w:t xml:space="preserve">Expenditure </w:t>
      </w:r>
      <w:r w:rsidR="00DA4D0D">
        <w:t>I</w:t>
      </w:r>
      <w:r>
        <w:t>tems</w:t>
      </w:r>
      <w:bookmarkEnd w:id="237"/>
      <w:bookmarkEnd w:id="238"/>
      <w:bookmarkEnd w:id="239"/>
    </w:p>
    <w:p w14:paraId="000004B7" w14:textId="77777777" w:rsidR="00F8269C" w:rsidRDefault="00450D2D">
      <w:pPr>
        <w:numPr>
          <w:ilvl w:val="0"/>
          <w:numId w:val="17"/>
        </w:numPr>
        <w:pBdr>
          <w:top w:val="nil"/>
          <w:left w:val="nil"/>
          <w:bottom w:val="nil"/>
          <w:right w:val="nil"/>
          <w:between w:val="nil"/>
        </w:pBdr>
        <w:spacing w:after="0"/>
      </w:pPr>
      <w:r>
        <w:rPr>
          <w:color w:val="000000"/>
        </w:rPr>
        <w:t>Excise and customs duty;</w:t>
      </w:r>
    </w:p>
    <w:p w14:paraId="000004B8" w14:textId="77777777" w:rsidR="00F8269C" w:rsidRDefault="00450D2D">
      <w:pPr>
        <w:numPr>
          <w:ilvl w:val="0"/>
          <w:numId w:val="17"/>
        </w:numPr>
        <w:pBdr>
          <w:top w:val="nil"/>
          <w:left w:val="nil"/>
          <w:bottom w:val="nil"/>
          <w:right w:val="nil"/>
          <w:between w:val="nil"/>
        </w:pBdr>
        <w:spacing w:after="0"/>
      </w:pPr>
      <w:r>
        <w:rPr>
          <w:color w:val="000000"/>
        </w:rPr>
        <w:t>IT security services;</w:t>
      </w:r>
    </w:p>
    <w:p w14:paraId="000004B9" w14:textId="77777777" w:rsidR="00F8269C" w:rsidRDefault="00450D2D">
      <w:pPr>
        <w:numPr>
          <w:ilvl w:val="0"/>
          <w:numId w:val="17"/>
        </w:numPr>
        <w:pBdr>
          <w:top w:val="nil"/>
          <w:left w:val="nil"/>
          <w:bottom w:val="nil"/>
          <w:right w:val="nil"/>
          <w:between w:val="nil"/>
        </w:pBdr>
        <w:spacing w:after="0"/>
      </w:pPr>
      <w:r>
        <w:rPr>
          <w:color w:val="000000"/>
        </w:rPr>
        <w:t>Insurance premiums;</w:t>
      </w:r>
    </w:p>
    <w:p w14:paraId="000004BA" w14:textId="77777777" w:rsidR="00F8269C" w:rsidRDefault="00450D2D">
      <w:pPr>
        <w:numPr>
          <w:ilvl w:val="0"/>
          <w:numId w:val="17"/>
        </w:numPr>
        <w:pBdr>
          <w:top w:val="nil"/>
          <w:left w:val="nil"/>
          <w:bottom w:val="nil"/>
          <w:right w:val="nil"/>
          <w:between w:val="nil"/>
        </w:pBdr>
        <w:spacing w:after="0"/>
      </w:pPr>
      <w:r>
        <w:rPr>
          <w:color w:val="000000"/>
        </w:rPr>
        <w:t>Interest;</w:t>
      </w:r>
    </w:p>
    <w:p w14:paraId="000004BB" w14:textId="77777777" w:rsidR="00F8269C" w:rsidRDefault="00450D2D">
      <w:pPr>
        <w:numPr>
          <w:ilvl w:val="0"/>
          <w:numId w:val="17"/>
        </w:numPr>
        <w:pBdr>
          <w:top w:val="nil"/>
          <w:left w:val="nil"/>
          <w:bottom w:val="nil"/>
          <w:right w:val="nil"/>
          <w:between w:val="nil"/>
        </w:pBdr>
        <w:spacing w:after="0"/>
      </w:pPr>
      <w:r>
        <w:rPr>
          <w:color w:val="000000"/>
        </w:rPr>
        <w:t>Losses on foreign transactions resulting from changes in foreign exchange rates;</w:t>
      </w:r>
    </w:p>
    <w:p w14:paraId="000004BC" w14:textId="77777777" w:rsidR="00F8269C" w:rsidRDefault="00450D2D">
      <w:pPr>
        <w:numPr>
          <w:ilvl w:val="0"/>
          <w:numId w:val="17"/>
        </w:numPr>
        <w:pBdr>
          <w:top w:val="nil"/>
          <w:left w:val="nil"/>
          <w:bottom w:val="nil"/>
          <w:right w:val="nil"/>
          <w:between w:val="nil"/>
        </w:pBdr>
        <w:spacing w:after="0"/>
      </w:pPr>
      <w:r>
        <w:rPr>
          <w:color w:val="000000"/>
        </w:rPr>
        <w:t>Losses on financial and other liabilities: redemption, liquidation and revaluation of liabilities;</w:t>
      </w:r>
    </w:p>
    <w:p w14:paraId="000004BD" w14:textId="77777777" w:rsidR="00F8269C" w:rsidRDefault="00450D2D">
      <w:pPr>
        <w:numPr>
          <w:ilvl w:val="0"/>
          <w:numId w:val="17"/>
        </w:numPr>
        <w:pBdr>
          <w:top w:val="nil"/>
          <w:left w:val="nil"/>
          <w:bottom w:val="nil"/>
          <w:right w:val="nil"/>
          <w:between w:val="nil"/>
        </w:pBdr>
        <w:spacing w:after="0"/>
      </w:pPr>
      <w:r>
        <w:rPr>
          <w:color w:val="000000"/>
        </w:rPr>
        <w:t>Losses on financial and other assets: disposal of assets, realisation for cash and revaluation of assets;</w:t>
      </w:r>
    </w:p>
    <w:p w14:paraId="000004BE" w14:textId="0B06AD41" w:rsidR="00F8269C" w:rsidRDefault="00450D2D">
      <w:pPr>
        <w:numPr>
          <w:ilvl w:val="0"/>
          <w:numId w:val="17"/>
        </w:numPr>
        <w:pBdr>
          <w:top w:val="nil"/>
          <w:left w:val="nil"/>
          <w:bottom w:val="nil"/>
          <w:right w:val="nil"/>
          <w:between w:val="nil"/>
        </w:pBdr>
        <w:spacing w:after="0"/>
      </w:pPr>
      <w:r>
        <w:rPr>
          <w:color w:val="000000"/>
        </w:rPr>
        <w:t>Mineral rights lease</w:t>
      </w:r>
      <w:r w:rsidR="00CD6602">
        <w:rPr>
          <w:color w:val="000000"/>
        </w:rPr>
        <w:t>s</w:t>
      </w:r>
      <w:r>
        <w:rPr>
          <w:color w:val="000000"/>
        </w:rPr>
        <w:t>;</w:t>
      </w:r>
    </w:p>
    <w:p w14:paraId="000004BF" w14:textId="77777777" w:rsidR="00F8269C" w:rsidRDefault="00450D2D">
      <w:pPr>
        <w:numPr>
          <w:ilvl w:val="0"/>
          <w:numId w:val="17"/>
        </w:numPr>
        <w:pBdr>
          <w:top w:val="nil"/>
          <w:left w:val="nil"/>
          <w:bottom w:val="nil"/>
          <w:right w:val="nil"/>
          <w:between w:val="nil"/>
        </w:pBdr>
        <w:spacing w:after="0"/>
      </w:pPr>
      <w:r>
        <w:rPr>
          <w:color w:val="000000"/>
        </w:rPr>
        <w:t>Motor vehicle running expenses;</w:t>
      </w:r>
    </w:p>
    <w:p w14:paraId="000004C0" w14:textId="77777777" w:rsidR="00F8269C" w:rsidRDefault="00450D2D">
      <w:pPr>
        <w:numPr>
          <w:ilvl w:val="0"/>
          <w:numId w:val="17"/>
        </w:numPr>
        <w:pBdr>
          <w:top w:val="nil"/>
          <w:left w:val="nil"/>
          <w:bottom w:val="nil"/>
          <w:right w:val="nil"/>
          <w:between w:val="nil"/>
        </w:pBdr>
        <w:spacing w:after="0"/>
      </w:pPr>
      <w:r>
        <w:rPr>
          <w:color w:val="000000"/>
        </w:rPr>
        <w:t>Operational leasing and hiring of plant, machinery, equipment and vehicles;</w:t>
      </w:r>
    </w:p>
    <w:p w14:paraId="000004C1" w14:textId="77777777" w:rsidR="00F8269C" w:rsidRDefault="00450D2D">
      <w:pPr>
        <w:numPr>
          <w:ilvl w:val="0"/>
          <w:numId w:val="17"/>
        </w:numPr>
        <w:pBdr>
          <w:top w:val="nil"/>
          <w:left w:val="nil"/>
          <w:bottom w:val="nil"/>
          <w:right w:val="nil"/>
          <w:between w:val="nil"/>
        </w:pBdr>
        <w:spacing w:after="0"/>
      </w:pPr>
      <w:r>
        <w:rPr>
          <w:color w:val="000000"/>
        </w:rPr>
        <w:t>Paper, printing and stationery;</w:t>
      </w:r>
    </w:p>
    <w:p w14:paraId="000004C2" w14:textId="77777777" w:rsidR="00F8269C" w:rsidRDefault="00450D2D">
      <w:pPr>
        <w:numPr>
          <w:ilvl w:val="0"/>
          <w:numId w:val="17"/>
        </w:numPr>
        <w:pBdr>
          <w:top w:val="nil"/>
          <w:left w:val="nil"/>
          <w:bottom w:val="nil"/>
          <w:right w:val="nil"/>
          <w:between w:val="nil"/>
        </w:pBdr>
        <w:spacing w:after="0"/>
      </w:pPr>
      <w:r>
        <w:rPr>
          <w:color w:val="000000"/>
        </w:rPr>
        <w:t>Postal and courier services;</w:t>
      </w:r>
    </w:p>
    <w:p w14:paraId="000004C3" w14:textId="77777777" w:rsidR="00F8269C" w:rsidRDefault="00450D2D">
      <w:pPr>
        <w:numPr>
          <w:ilvl w:val="0"/>
          <w:numId w:val="17"/>
        </w:numPr>
        <w:pBdr>
          <w:top w:val="nil"/>
          <w:left w:val="nil"/>
          <w:bottom w:val="nil"/>
          <w:right w:val="nil"/>
          <w:between w:val="nil"/>
        </w:pBdr>
        <w:spacing w:after="0"/>
      </w:pPr>
      <w:r>
        <w:rPr>
          <w:color w:val="000000"/>
        </w:rPr>
        <w:t>Property tax;</w:t>
      </w:r>
    </w:p>
    <w:p w14:paraId="000004C4" w14:textId="77777777" w:rsidR="00F8269C" w:rsidRDefault="00450D2D">
      <w:pPr>
        <w:numPr>
          <w:ilvl w:val="0"/>
          <w:numId w:val="17"/>
        </w:numPr>
        <w:pBdr>
          <w:top w:val="nil"/>
          <w:left w:val="nil"/>
          <w:bottom w:val="nil"/>
          <w:right w:val="nil"/>
          <w:between w:val="nil"/>
        </w:pBdr>
        <w:spacing w:after="0"/>
      </w:pPr>
      <w:r>
        <w:rPr>
          <w:color w:val="000000"/>
        </w:rPr>
        <w:t>Provisions;</w:t>
      </w:r>
    </w:p>
    <w:p w14:paraId="000004C5" w14:textId="77777777" w:rsidR="00F8269C" w:rsidRDefault="00450D2D">
      <w:pPr>
        <w:numPr>
          <w:ilvl w:val="0"/>
          <w:numId w:val="17"/>
        </w:numPr>
        <w:pBdr>
          <w:top w:val="nil"/>
          <w:left w:val="nil"/>
          <w:bottom w:val="nil"/>
          <w:right w:val="nil"/>
          <w:between w:val="nil"/>
        </w:pBdr>
        <w:spacing w:after="0"/>
      </w:pPr>
      <w:r>
        <w:rPr>
          <w:color w:val="000000"/>
        </w:rPr>
        <w:t>Railage and transport-out;</w:t>
      </w:r>
    </w:p>
    <w:p w14:paraId="000004C6" w14:textId="77777777" w:rsidR="00F8269C" w:rsidRDefault="00450D2D">
      <w:pPr>
        <w:numPr>
          <w:ilvl w:val="0"/>
          <w:numId w:val="17"/>
        </w:numPr>
        <w:pBdr>
          <w:top w:val="nil"/>
          <w:left w:val="nil"/>
          <w:bottom w:val="nil"/>
          <w:right w:val="nil"/>
          <w:between w:val="nil"/>
        </w:pBdr>
        <w:spacing w:after="0"/>
      </w:pPr>
      <w:r>
        <w:rPr>
          <w:color w:val="000000"/>
        </w:rPr>
        <w:t>Rental of land, buildings and other structures including water and electricity;</w:t>
      </w:r>
    </w:p>
    <w:p w14:paraId="000004C7" w14:textId="77777777" w:rsidR="00F8269C" w:rsidRDefault="00450D2D">
      <w:pPr>
        <w:numPr>
          <w:ilvl w:val="0"/>
          <w:numId w:val="17"/>
        </w:numPr>
        <w:pBdr>
          <w:top w:val="nil"/>
          <w:left w:val="nil"/>
          <w:bottom w:val="nil"/>
          <w:right w:val="nil"/>
          <w:between w:val="nil"/>
        </w:pBdr>
        <w:spacing w:after="0"/>
      </w:pPr>
      <w:r>
        <w:rPr>
          <w:color w:val="000000"/>
        </w:rPr>
        <w:t>Repair and maintenance;</w:t>
      </w:r>
    </w:p>
    <w:p w14:paraId="000004C8" w14:textId="77777777" w:rsidR="00F8269C" w:rsidRDefault="00450D2D">
      <w:pPr>
        <w:numPr>
          <w:ilvl w:val="0"/>
          <w:numId w:val="17"/>
        </w:numPr>
        <w:pBdr>
          <w:top w:val="nil"/>
          <w:left w:val="nil"/>
          <w:bottom w:val="nil"/>
          <w:right w:val="nil"/>
          <w:between w:val="nil"/>
        </w:pBdr>
        <w:spacing w:after="0"/>
      </w:pPr>
      <w:r>
        <w:rPr>
          <w:color w:val="000000"/>
        </w:rPr>
        <w:t>Research and development;</w:t>
      </w:r>
    </w:p>
    <w:p w14:paraId="000004C9" w14:textId="77777777" w:rsidR="00F8269C" w:rsidRDefault="00450D2D">
      <w:pPr>
        <w:numPr>
          <w:ilvl w:val="0"/>
          <w:numId w:val="17"/>
        </w:numPr>
        <w:pBdr>
          <w:top w:val="nil"/>
          <w:left w:val="nil"/>
          <w:bottom w:val="nil"/>
          <w:right w:val="nil"/>
          <w:between w:val="nil"/>
        </w:pBdr>
        <w:spacing w:after="0"/>
      </w:pPr>
      <w:r>
        <w:rPr>
          <w:color w:val="000000"/>
        </w:rPr>
        <w:t>Royalties, franchise fees, copyright, trade names, trademarks and patent rights;</w:t>
      </w:r>
    </w:p>
    <w:p w14:paraId="000004CA" w14:textId="77777777" w:rsidR="00F8269C" w:rsidRDefault="00450D2D">
      <w:pPr>
        <w:numPr>
          <w:ilvl w:val="0"/>
          <w:numId w:val="17"/>
        </w:numPr>
        <w:pBdr>
          <w:top w:val="nil"/>
          <w:left w:val="nil"/>
          <w:bottom w:val="nil"/>
          <w:right w:val="nil"/>
          <w:between w:val="nil"/>
        </w:pBdr>
        <w:spacing w:after="0"/>
      </w:pPr>
      <w:r>
        <w:rPr>
          <w:color w:val="000000"/>
        </w:rPr>
        <w:t>Security services;</w:t>
      </w:r>
    </w:p>
    <w:p w14:paraId="000004CB" w14:textId="77777777" w:rsidR="00F8269C" w:rsidRDefault="00450D2D">
      <w:pPr>
        <w:numPr>
          <w:ilvl w:val="0"/>
          <w:numId w:val="17"/>
        </w:numPr>
        <w:pBdr>
          <w:top w:val="nil"/>
          <w:left w:val="nil"/>
          <w:bottom w:val="nil"/>
          <w:right w:val="nil"/>
          <w:between w:val="nil"/>
        </w:pBdr>
        <w:spacing w:after="0"/>
      </w:pPr>
      <w:r>
        <w:rPr>
          <w:color w:val="000000"/>
        </w:rPr>
        <w:t>Staff training;</w:t>
      </w:r>
    </w:p>
    <w:p w14:paraId="000004CC" w14:textId="77777777" w:rsidR="00F8269C" w:rsidRDefault="00450D2D">
      <w:pPr>
        <w:numPr>
          <w:ilvl w:val="0"/>
          <w:numId w:val="17"/>
        </w:numPr>
        <w:pBdr>
          <w:top w:val="nil"/>
          <w:left w:val="nil"/>
          <w:bottom w:val="nil"/>
          <w:right w:val="nil"/>
          <w:between w:val="nil"/>
        </w:pBdr>
        <w:spacing w:after="0"/>
      </w:pPr>
      <w:r>
        <w:rPr>
          <w:color w:val="000000"/>
        </w:rPr>
        <w:t>Subcontractors;</w:t>
      </w:r>
    </w:p>
    <w:p w14:paraId="000004CD" w14:textId="77777777" w:rsidR="00F8269C" w:rsidRDefault="00450D2D">
      <w:pPr>
        <w:numPr>
          <w:ilvl w:val="0"/>
          <w:numId w:val="17"/>
        </w:numPr>
        <w:pBdr>
          <w:top w:val="nil"/>
          <w:left w:val="nil"/>
          <w:bottom w:val="nil"/>
          <w:right w:val="nil"/>
          <w:between w:val="nil"/>
        </w:pBdr>
        <w:spacing w:after="0"/>
      </w:pPr>
      <w:r>
        <w:rPr>
          <w:color w:val="000000"/>
        </w:rPr>
        <w:t>Telecommunication services;</w:t>
      </w:r>
    </w:p>
    <w:p w14:paraId="000004CE" w14:textId="77777777" w:rsidR="00F8269C" w:rsidRDefault="00450D2D">
      <w:pPr>
        <w:numPr>
          <w:ilvl w:val="0"/>
          <w:numId w:val="17"/>
        </w:numPr>
        <w:pBdr>
          <w:top w:val="nil"/>
          <w:left w:val="nil"/>
          <w:bottom w:val="nil"/>
          <w:right w:val="nil"/>
          <w:between w:val="nil"/>
        </w:pBdr>
        <w:spacing w:after="0"/>
      </w:pPr>
      <w:r>
        <w:rPr>
          <w:color w:val="000000"/>
        </w:rPr>
        <w:t>Travelling, accommodation and entertainment;</w:t>
      </w:r>
    </w:p>
    <w:p w14:paraId="000004CF" w14:textId="77777777" w:rsidR="00F8269C" w:rsidRDefault="00450D2D">
      <w:pPr>
        <w:numPr>
          <w:ilvl w:val="0"/>
          <w:numId w:val="17"/>
        </w:numPr>
        <w:pBdr>
          <w:top w:val="nil"/>
          <w:left w:val="nil"/>
          <w:bottom w:val="nil"/>
          <w:right w:val="nil"/>
          <w:between w:val="nil"/>
        </w:pBdr>
      </w:pPr>
      <w:r>
        <w:rPr>
          <w:color w:val="000000"/>
        </w:rPr>
        <w:t>Other.</w:t>
      </w:r>
    </w:p>
    <w:p w14:paraId="000004D0" w14:textId="63211261" w:rsidR="00F8269C" w:rsidRDefault="00450D2D">
      <w:pPr>
        <w:pStyle w:val="Heading4"/>
      </w:pPr>
      <w:bookmarkStart w:id="240" w:name="_Toc90191912"/>
      <w:bookmarkStart w:id="241" w:name="_Toc93842832"/>
      <w:bookmarkStart w:id="242" w:name="_Toc93843018"/>
      <w:r>
        <w:t xml:space="preserve">Total </w:t>
      </w:r>
      <w:r w:rsidR="00DA4D0D">
        <w:t>E</w:t>
      </w:r>
      <w:r>
        <w:t>xpenditure</w:t>
      </w:r>
      <w:bookmarkEnd w:id="240"/>
      <w:bookmarkEnd w:id="241"/>
      <w:bookmarkEnd w:id="242"/>
    </w:p>
    <w:p w14:paraId="000004D1" w14:textId="77777777" w:rsidR="00F8269C" w:rsidRDefault="00450D2D">
      <w:pPr>
        <w:numPr>
          <w:ilvl w:val="0"/>
          <w:numId w:val="17"/>
        </w:numPr>
        <w:pBdr>
          <w:top w:val="nil"/>
          <w:left w:val="nil"/>
          <w:bottom w:val="nil"/>
          <w:right w:val="nil"/>
          <w:between w:val="nil"/>
        </w:pBdr>
        <w:spacing w:after="0"/>
      </w:pPr>
      <w:r>
        <w:rPr>
          <w:color w:val="000000"/>
        </w:rPr>
        <w:t>Profit/loss, tax and dividends;</w:t>
      </w:r>
    </w:p>
    <w:p w14:paraId="000004D2" w14:textId="77777777" w:rsidR="00F8269C" w:rsidRDefault="00450D2D">
      <w:pPr>
        <w:numPr>
          <w:ilvl w:val="0"/>
          <w:numId w:val="17"/>
        </w:numPr>
        <w:pBdr>
          <w:top w:val="nil"/>
          <w:left w:val="nil"/>
          <w:bottom w:val="nil"/>
          <w:right w:val="nil"/>
          <w:between w:val="nil"/>
        </w:pBdr>
        <w:spacing w:after="0"/>
      </w:pPr>
      <w:r>
        <w:rPr>
          <w:color w:val="000000"/>
        </w:rPr>
        <w:t>Net profit before providing for company tax and dividends;</w:t>
      </w:r>
    </w:p>
    <w:p w14:paraId="000004D3" w14:textId="77777777" w:rsidR="00F8269C" w:rsidRDefault="00450D2D">
      <w:pPr>
        <w:numPr>
          <w:ilvl w:val="0"/>
          <w:numId w:val="17"/>
        </w:numPr>
        <w:pBdr>
          <w:top w:val="nil"/>
          <w:left w:val="nil"/>
          <w:bottom w:val="nil"/>
          <w:right w:val="nil"/>
          <w:between w:val="nil"/>
        </w:pBdr>
        <w:spacing w:after="0"/>
      </w:pPr>
      <w:r>
        <w:rPr>
          <w:color w:val="000000"/>
        </w:rPr>
        <w:t>Company tax paid or provided for during the financial year;</w:t>
      </w:r>
    </w:p>
    <w:p w14:paraId="000004D4" w14:textId="77777777" w:rsidR="00F8269C" w:rsidRDefault="00450D2D">
      <w:pPr>
        <w:numPr>
          <w:ilvl w:val="0"/>
          <w:numId w:val="17"/>
        </w:numPr>
        <w:pBdr>
          <w:top w:val="nil"/>
          <w:left w:val="nil"/>
          <w:bottom w:val="nil"/>
          <w:right w:val="nil"/>
          <w:between w:val="nil"/>
        </w:pBdr>
        <w:spacing w:after="0"/>
      </w:pPr>
      <w:r>
        <w:rPr>
          <w:color w:val="000000"/>
        </w:rPr>
        <w:t>Dividends paid or provided for during the financial year;</w:t>
      </w:r>
    </w:p>
    <w:p w14:paraId="000004D5" w14:textId="77777777" w:rsidR="00F8269C" w:rsidRDefault="00450D2D">
      <w:pPr>
        <w:numPr>
          <w:ilvl w:val="0"/>
          <w:numId w:val="17"/>
        </w:numPr>
        <w:pBdr>
          <w:top w:val="nil"/>
          <w:left w:val="nil"/>
          <w:bottom w:val="nil"/>
          <w:right w:val="nil"/>
          <w:between w:val="nil"/>
        </w:pBdr>
      </w:pPr>
      <w:r>
        <w:rPr>
          <w:color w:val="000000"/>
        </w:rPr>
        <w:t>Net profit after providing for company tax and dividends.</w:t>
      </w:r>
    </w:p>
    <w:p w14:paraId="000004D6" w14:textId="45AC037E" w:rsidR="00F8269C" w:rsidRDefault="00450D2D">
      <w:pPr>
        <w:pStyle w:val="Heading4"/>
      </w:pPr>
      <w:bookmarkStart w:id="243" w:name="_Toc90191913"/>
      <w:bookmarkStart w:id="244" w:name="_Toc93842833"/>
      <w:bookmarkStart w:id="245" w:name="_Toc93843019"/>
      <w:r>
        <w:t xml:space="preserve">Non-current </w:t>
      </w:r>
      <w:r w:rsidR="00DA4D0D">
        <w:t>A</w:t>
      </w:r>
      <w:r>
        <w:t>ssets</w:t>
      </w:r>
      <w:bookmarkEnd w:id="243"/>
      <w:bookmarkEnd w:id="244"/>
      <w:bookmarkEnd w:id="245"/>
    </w:p>
    <w:p w14:paraId="000004D7" w14:textId="77777777" w:rsidR="00F8269C" w:rsidRDefault="00450D2D">
      <w:pPr>
        <w:numPr>
          <w:ilvl w:val="0"/>
          <w:numId w:val="17"/>
        </w:numPr>
        <w:pBdr>
          <w:top w:val="nil"/>
          <w:left w:val="nil"/>
          <w:bottom w:val="nil"/>
          <w:right w:val="nil"/>
          <w:between w:val="nil"/>
        </w:pBdr>
        <w:spacing w:after="0"/>
      </w:pPr>
      <w:r>
        <w:rPr>
          <w:color w:val="000000"/>
        </w:rPr>
        <w:t>Property, plant and equipment and intangible assets;</w:t>
      </w:r>
    </w:p>
    <w:p w14:paraId="000004D8" w14:textId="77777777" w:rsidR="00F8269C" w:rsidRDefault="00450D2D">
      <w:pPr>
        <w:numPr>
          <w:ilvl w:val="0"/>
          <w:numId w:val="17"/>
        </w:numPr>
        <w:pBdr>
          <w:top w:val="nil"/>
          <w:left w:val="nil"/>
          <w:bottom w:val="nil"/>
          <w:right w:val="nil"/>
          <w:between w:val="nil"/>
        </w:pBdr>
        <w:spacing w:after="0"/>
      </w:pPr>
      <w:r>
        <w:rPr>
          <w:color w:val="000000"/>
        </w:rPr>
        <w:t>Long-term investments;</w:t>
      </w:r>
    </w:p>
    <w:p w14:paraId="000004D9" w14:textId="77777777" w:rsidR="00F8269C" w:rsidRDefault="00450D2D">
      <w:pPr>
        <w:numPr>
          <w:ilvl w:val="0"/>
          <w:numId w:val="17"/>
        </w:numPr>
        <w:pBdr>
          <w:top w:val="nil"/>
          <w:left w:val="nil"/>
          <w:bottom w:val="nil"/>
          <w:right w:val="nil"/>
          <w:between w:val="nil"/>
        </w:pBdr>
        <w:spacing w:after="0"/>
      </w:pPr>
      <w:r>
        <w:rPr>
          <w:color w:val="000000"/>
        </w:rPr>
        <w:t>Other non-current assets;</w:t>
      </w:r>
    </w:p>
    <w:p w14:paraId="000004DA" w14:textId="77777777" w:rsidR="00F8269C" w:rsidRDefault="00450D2D">
      <w:pPr>
        <w:numPr>
          <w:ilvl w:val="0"/>
          <w:numId w:val="17"/>
        </w:numPr>
        <w:pBdr>
          <w:top w:val="nil"/>
          <w:left w:val="nil"/>
          <w:bottom w:val="nil"/>
          <w:right w:val="nil"/>
          <w:between w:val="nil"/>
        </w:pBdr>
      </w:pPr>
      <w:r>
        <w:rPr>
          <w:color w:val="000000"/>
        </w:rPr>
        <w:lastRenderedPageBreak/>
        <w:t>Total non-current assets.</w:t>
      </w:r>
    </w:p>
    <w:p w14:paraId="000004DB" w14:textId="059CEBB3" w:rsidR="00F8269C" w:rsidRDefault="00450D2D">
      <w:pPr>
        <w:pStyle w:val="Heading4"/>
      </w:pPr>
      <w:bookmarkStart w:id="246" w:name="_Toc90191914"/>
      <w:bookmarkStart w:id="247" w:name="_Toc93842834"/>
      <w:bookmarkStart w:id="248" w:name="_Toc93843020"/>
      <w:r>
        <w:t xml:space="preserve">Current </w:t>
      </w:r>
      <w:r w:rsidR="00DA4D0D">
        <w:t>A</w:t>
      </w:r>
      <w:r>
        <w:t>ssets</w:t>
      </w:r>
      <w:bookmarkEnd w:id="246"/>
      <w:bookmarkEnd w:id="247"/>
      <w:bookmarkEnd w:id="248"/>
    </w:p>
    <w:p w14:paraId="000004DC" w14:textId="77777777" w:rsidR="00F8269C" w:rsidRDefault="00450D2D">
      <w:pPr>
        <w:numPr>
          <w:ilvl w:val="0"/>
          <w:numId w:val="17"/>
        </w:numPr>
        <w:pBdr>
          <w:top w:val="nil"/>
          <w:left w:val="nil"/>
          <w:bottom w:val="nil"/>
          <w:right w:val="nil"/>
          <w:between w:val="nil"/>
        </w:pBdr>
        <w:spacing w:after="0"/>
      </w:pPr>
      <w:r>
        <w:rPr>
          <w:color w:val="000000"/>
        </w:rPr>
        <w:t>Trade and other receivables;</w:t>
      </w:r>
    </w:p>
    <w:p w14:paraId="000004DD" w14:textId="77777777" w:rsidR="00F8269C" w:rsidRDefault="00450D2D">
      <w:pPr>
        <w:numPr>
          <w:ilvl w:val="0"/>
          <w:numId w:val="17"/>
        </w:numPr>
        <w:pBdr>
          <w:top w:val="nil"/>
          <w:left w:val="nil"/>
          <w:bottom w:val="nil"/>
          <w:right w:val="nil"/>
          <w:between w:val="nil"/>
        </w:pBdr>
        <w:spacing w:after="0"/>
      </w:pPr>
      <w:r>
        <w:rPr>
          <w:color w:val="000000"/>
        </w:rPr>
        <w:t>Cash and cash equivalents;</w:t>
      </w:r>
    </w:p>
    <w:p w14:paraId="000004DE" w14:textId="77777777" w:rsidR="00F8269C" w:rsidRDefault="00450D2D">
      <w:pPr>
        <w:numPr>
          <w:ilvl w:val="0"/>
          <w:numId w:val="17"/>
        </w:numPr>
        <w:pBdr>
          <w:top w:val="nil"/>
          <w:left w:val="nil"/>
          <w:bottom w:val="nil"/>
          <w:right w:val="nil"/>
          <w:between w:val="nil"/>
        </w:pBdr>
        <w:spacing w:after="0"/>
      </w:pPr>
      <w:r>
        <w:rPr>
          <w:color w:val="000000"/>
        </w:rPr>
        <w:t>Inventory;</w:t>
      </w:r>
    </w:p>
    <w:p w14:paraId="000004DF" w14:textId="77777777" w:rsidR="00F8269C" w:rsidRDefault="00450D2D">
      <w:pPr>
        <w:numPr>
          <w:ilvl w:val="0"/>
          <w:numId w:val="17"/>
        </w:numPr>
        <w:pBdr>
          <w:top w:val="nil"/>
          <w:left w:val="nil"/>
          <w:bottom w:val="nil"/>
          <w:right w:val="nil"/>
          <w:between w:val="nil"/>
        </w:pBdr>
        <w:spacing w:after="0"/>
      </w:pPr>
      <w:r>
        <w:rPr>
          <w:color w:val="000000"/>
        </w:rPr>
        <w:t>Other current assets;</w:t>
      </w:r>
    </w:p>
    <w:p w14:paraId="000004E0" w14:textId="77777777" w:rsidR="00F8269C" w:rsidRDefault="00450D2D">
      <w:pPr>
        <w:numPr>
          <w:ilvl w:val="0"/>
          <w:numId w:val="17"/>
        </w:numPr>
        <w:pBdr>
          <w:top w:val="nil"/>
          <w:left w:val="nil"/>
          <w:bottom w:val="nil"/>
          <w:right w:val="nil"/>
          <w:between w:val="nil"/>
        </w:pBdr>
        <w:spacing w:after="0"/>
      </w:pPr>
      <w:r>
        <w:rPr>
          <w:color w:val="000000"/>
        </w:rPr>
        <w:t>Total current assets;</w:t>
      </w:r>
    </w:p>
    <w:p w14:paraId="000004E1" w14:textId="77777777" w:rsidR="00F8269C" w:rsidRDefault="00450D2D">
      <w:pPr>
        <w:numPr>
          <w:ilvl w:val="0"/>
          <w:numId w:val="17"/>
        </w:numPr>
        <w:pBdr>
          <w:top w:val="nil"/>
          <w:left w:val="nil"/>
          <w:bottom w:val="nil"/>
          <w:right w:val="nil"/>
          <w:between w:val="nil"/>
        </w:pBdr>
      </w:pPr>
      <w:r>
        <w:rPr>
          <w:color w:val="000000"/>
        </w:rPr>
        <w:t>Total assets.</w:t>
      </w:r>
    </w:p>
    <w:p w14:paraId="000004E2" w14:textId="77777777" w:rsidR="00F8269C" w:rsidRDefault="00450D2D">
      <w:pPr>
        <w:pStyle w:val="Heading4"/>
      </w:pPr>
      <w:bookmarkStart w:id="249" w:name="_Toc90191915"/>
      <w:bookmarkStart w:id="250" w:name="_Toc93842835"/>
      <w:bookmarkStart w:id="251" w:name="_Toc93843021"/>
      <w:r>
        <w:t>Equity</w:t>
      </w:r>
      <w:bookmarkEnd w:id="249"/>
      <w:bookmarkEnd w:id="250"/>
      <w:bookmarkEnd w:id="251"/>
    </w:p>
    <w:p w14:paraId="000004E3" w14:textId="77777777" w:rsidR="00F8269C" w:rsidRDefault="00450D2D">
      <w:pPr>
        <w:numPr>
          <w:ilvl w:val="0"/>
          <w:numId w:val="17"/>
        </w:numPr>
        <w:pBdr>
          <w:top w:val="nil"/>
          <w:left w:val="nil"/>
          <w:bottom w:val="nil"/>
          <w:right w:val="nil"/>
          <w:between w:val="nil"/>
        </w:pBdr>
      </w:pPr>
      <w:r>
        <w:rPr>
          <w:color w:val="000000"/>
        </w:rPr>
        <w:t>Total equity</w:t>
      </w:r>
    </w:p>
    <w:p w14:paraId="000004E4" w14:textId="00406172" w:rsidR="00F8269C" w:rsidRDefault="00450D2D">
      <w:pPr>
        <w:pStyle w:val="Heading4"/>
      </w:pPr>
      <w:bookmarkStart w:id="252" w:name="_Toc90191916"/>
      <w:bookmarkStart w:id="253" w:name="_Toc93842836"/>
      <w:bookmarkStart w:id="254" w:name="_Toc93843022"/>
      <w:r>
        <w:t xml:space="preserve">Non-current </w:t>
      </w:r>
      <w:r w:rsidR="00DA4D0D">
        <w:t>L</w:t>
      </w:r>
      <w:r>
        <w:t>iabilities</w:t>
      </w:r>
      <w:bookmarkEnd w:id="252"/>
      <w:bookmarkEnd w:id="253"/>
      <w:bookmarkEnd w:id="254"/>
    </w:p>
    <w:p w14:paraId="000004E5" w14:textId="79C8D4BC" w:rsidR="00F8269C" w:rsidRDefault="00450D2D">
      <w:pPr>
        <w:numPr>
          <w:ilvl w:val="0"/>
          <w:numId w:val="17"/>
        </w:numPr>
        <w:pBdr>
          <w:top w:val="nil"/>
          <w:left w:val="nil"/>
          <w:bottom w:val="nil"/>
          <w:right w:val="nil"/>
          <w:between w:val="nil"/>
        </w:pBdr>
        <w:spacing w:after="0"/>
      </w:pPr>
      <w:r>
        <w:rPr>
          <w:color w:val="000000"/>
        </w:rPr>
        <w:t>Long-term loans</w:t>
      </w:r>
    </w:p>
    <w:p w14:paraId="000004E6" w14:textId="289630A7" w:rsidR="00F8269C" w:rsidRDefault="00450D2D">
      <w:pPr>
        <w:numPr>
          <w:ilvl w:val="0"/>
          <w:numId w:val="17"/>
        </w:numPr>
        <w:pBdr>
          <w:top w:val="nil"/>
          <w:left w:val="nil"/>
          <w:bottom w:val="nil"/>
          <w:right w:val="nil"/>
          <w:between w:val="nil"/>
        </w:pBdr>
        <w:spacing w:after="0"/>
      </w:pPr>
      <w:r>
        <w:rPr>
          <w:color w:val="000000"/>
        </w:rPr>
        <w:t>Other non-current liabilities</w:t>
      </w:r>
    </w:p>
    <w:p w14:paraId="000004E7" w14:textId="77777777" w:rsidR="00F8269C" w:rsidRDefault="00450D2D">
      <w:pPr>
        <w:numPr>
          <w:ilvl w:val="0"/>
          <w:numId w:val="17"/>
        </w:numPr>
        <w:pBdr>
          <w:top w:val="nil"/>
          <w:left w:val="nil"/>
          <w:bottom w:val="nil"/>
          <w:right w:val="nil"/>
          <w:between w:val="nil"/>
        </w:pBdr>
      </w:pPr>
      <w:r>
        <w:rPr>
          <w:color w:val="000000"/>
        </w:rPr>
        <w:t>Total non-current liabilities.</w:t>
      </w:r>
    </w:p>
    <w:p w14:paraId="000004E8" w14:textId="5EFA85F6" w:rsidR="00F8269C" w:rsidRDefault="00450D2D">
      <w:pPr>
        <w:pStyle w:val="Heading4"/>
      </w:pPr>
      <w:bookmarkStart w:id="255" w:name="_Toc90191917"/>
      <w:bookmarkStart w:id="256" w:name="_Toc93842837"/>
      <w:bookmarkStart w:id="257" w:name="_Toc93843023"/>
      <w:r>
        <w:t xml:space="preserve">Current </w:t>
      </w:r>
      <w:r w:rsidR="00DA4D0D">
        <w:t>L</w:t>
      </w:r>
      <w:r>
        <w:t>iabilities</w:t>
      </w:r>
      <w:bookmarkEnd w:id="255"/>
      <w:bookmarkEnd w:id="256"/>
      <w:bookmarkEnd w:id="257"/>
    </w:p>
    <w:p w14:paraId="000004E9" w14:textId="24D52FFD" w:rsidR="00F8269C" w:rsidRDefault="00450D2D">
      <w:pPr>
        <w:numPr>
          <w:ilvl w:val="0"/>
          <w:numId w:val="17"/>
        </w:numPr>
        <w:pBdr>
          <w:top w:val="nil"/>
          <w:left w:val="nil"/>
          <w:bottom w:val="nil"/>
          <w:right w:val="nil"/>
          <w:between w:val="nil"/>
        </w:pBdr>
        <w:spacing w:after="0"/>
      </w:pPr>
      <w:r>
        <w:rPr>
          <w:color w:val="000000"/>
        </w:rPr>
        <w:t>Trade and other payables</w:t>
      </w:r>
    </w:p>
    <w:p w14:paraId="000004EA" w14:textId="219ED507" w:rsidR="00F8269C" w:rsidRDefault="00450D2D">
      <w:pPr>
        <w:numPr>
          <w:ilvl w:val="0"/>
          <w:numId w:val="17"/>
        </w:numPr>
        <w:pBdr>
          <w:top w:val="nil"/>
          <w:left w:val="nil"/>
          <w:bottom w:val="nil"/>
          <w:right w:val="nil"/>
          <w:between w:val="nil"/>
        </w:pBdr>
        <w:spacing w:after="0"/>
      </w:pPr>
      <w:r>
        <w:rPr>
          <w:color w:val="000000"/>
        </w:rPr>
        <w:t>Bank overdraft</w:t>
      </w:r>
    </w:p>
    <w:p w14:paraId="000004EB" w14:textId="655F3865" w:rsidR="00F8269C" w:rsidRDefault="00450D2D">
      <w:pPr>
        <w:numPr>
          <w:ilvl w:val="0"/>
          <w:numId w:val="17"/>
        </w:numPr>
        <w:pBdr>
          <w:top w:val="nil"/>
          <w:left w:val="nil"/>
          <w:bottom w:val="nil"/>
          <w:right w:val="nil"/>
          <w:between w:val="nil"/>
        </w:pBdr>
        <w:spacing w:after="0"/>
      </w:pPr>
      <w:r>
        <w:rPr>
          <w:color w:val="000000"/>
        </w:rPr>
        <w:t>Other current liabilities</w:t>
      </w:r>
    </w:p>
    <w:p w14:paraId="000004EC" w14:textId="11036624" w:rsidR="00F8269C" w:rsidRDefault="00450D2D">
      <w:pPr>
        <w:numPr>
          <w:ilvl w:val="0"/>
          <w:numId w:val="17"/>
        </w:numPr>
        <w:pBdr>
          <w:top w:val="nil"/>
          <w:left w:val="nil"/>
          <w:bottom w:val="nil"/>
          <w:right w:val="nil"/>
          <w:between w:val="nil"/>
        </w:pBdr>
        <w:spacing w:after="0"/>
      </w:pPr>
      <w:r>
        <w:rPr>
          <w:color w:val="000000"/>
        </w:rPr>
        <w:t>Total current liabilities</w:t>
      </w:r>
    </w:p>
    <w:p w14:paraId="000004ED" w14:textId="77777777" w:rsidR="00F8269C" w:rsidRDefault="00450D2D">
      <w:pPr>
        <w:numPr>
          <w:ilvl w:val="0"/>
          <w:numId w:val="17"/>
        </w:numPr>
        <w:pBdr>
          <w:top w:val="nil"/>
          <w:left w:val="nil"/>
          <w:bottom w:val="nil"/>
          <w:right w:val="nil"/>
          <w:between w:val="nil"/>
        </w:pBdr>
      </w:pPr>
      <w:r>
        <w:rPr>
          <w:color w:val="000000"/>
        </w:rPr>
        <w:t>Total equity and liabilities.</w:t>
      </w:r>
    </w:p>
    <w:p w14:paraId="000004EE" w14:textId="77777777" w:rsidR="00F8269C" w:rsidRDefault="00450D2D">
      <w:pPr>
        <w:pStyle w:val="Heading4"/>
      </w:pPr>
      <w:bookmarkStart w:id="258" w:name="_Toc90191918"/>
      <w:bookmarkStart w:id="259" w:name="_Toc93842838"/>
      <w:bookmarkStart w:id="260" w:name="_Toc93843024"/>
      <w:r>
        <w:t>PPE</w:t>
      </w:r>
      <w:bookmarkEnd w:id="258"/>
      <w:bookmarkEnd w:id="259"/>
      <w:bookmarkEnd w:id="260"/>
    </w:p>
    <w:p w14:paraId="000004EF" w14:textId="77777777" w:rsidR="00F8269C" w:rsidRDefault="00450D2D">
      <w:pPr>
        <w:numPr>
          <w:ilvl w:val="0"/>
          <w:numId w:val="17"/>
        </w:numPr>
        <w:pBdr>
          <w:top w:val="nil"/>
          <w:left w:val="nil"/>
          <w:bottom w:val="nil"/>
          <w:right w:val="nil"/>
          <w:between w:val="nil"/>
        </w:pBdr>
      </w:pPr>
      <w:r>
        <w:rPr>
          <w:color w:val="000000"/>
        </w:rPr>
        <w:t>Carrying value of property, plant and equipment and intangible assets at the end of the financial year</w:t>
      </w:r>
    </w:p>
    <w:p w14:paraId="000004F0" w14:textId="3E718A4F" w:rsidR="00F8269C" w:rsidRDefault="00450D2D">
      <w:pPr>
        <w:pStyle w:val="Heading4"/>
        <w:numPr>
          <w:ilvl w:val="0"/>
          <w:numId w:val="10"/>
        </w:numPr>
        <w:rPr>
          <w:b/>
        </w:rPr>
      </w:pPr>
      <w:bookmarkStart w:id="261" w:name="_Toc90191919"/>
      <w:bookmarkStart w:id="262" w:name="_Toc93842839"/>
      <w:bookmarkStart w:id="263" w:name="_Toc93843025"/>
      <w:r>
        <w:rPr>
          <w:b/>
          <w:sz w:val="24"/>
          <w:szCs w:val="24"/>
        </w:rPr>
        <w:t>ISIC Codes Description</w:t>
      </w:r>
      <w:bookmarkEnd w:id="261"/>
      <w:bookmarkEnd w:id="262"/>
      <w:bookmarkEnd w:id="263"/>
    </w:p>
    <w:p w14:paraId="55816D98" w14:textId="6F5B9C19" w:rsidR="00496274" w:rsidRDefault="00496274">
      <w:pPr>
        <w:pStyle w:val="Heading4"/>
      </w:pPr>
      <w:bookmarkStart w:id="264" w:name="_Toc93842840"/>
      <w:bookmarkStart w:id="265" w:name="_Toc93843026"/>
      <w:bookmarkStart w:id="266" w:name="_Toc90191920"/>
      <w:r w:rsidRPr="00496274">
        <w:t xml:space="preserve">ISIC Code 9000 – Creative, </w:t>
      </w:r>
      <w:r w:rsidR="00DA4D0D">
        <w:t>A</w:t>
      </w:r>
      <w:r w:rsidRPr="00496274">
        <w:t xml:space="preserve">rts and </w:t>
      </w:r>
      <w:r w:rsidR="00DA4D0D">
        <w:t>E</w:t>
      </w:r>
      <w:r w:rsidRPr="00496274">
        <w:t xml:space="preserve">ntertainment </w:t>
      </w:r>
      <w:r w:rsidR="00DA4D0D">
        <w:t>A</w:t>
      </w:r>
      <w:r w:rsidRPr="00496274">
        <w:t>ctivities</w:t>
      </w:r>
      <w:bookmarkEnd w:id="264"/>
      <w:bookmarkEnd w:id="265"/>
    </w:p>
    <w:p w14:paraId="000004F1" w14:textId="24D3BCE3" w:rsidR="00F8269C" w:rsidRDefault="00450D2D">
      <w:pPr>
        <w:pStyle w:val="Heading4"/>
      </w:pPr>
      <w:bookmarkStart w:id="267" w:name="_Toc93842841"/>
      <w:bookmarkStart w:id="268" w:name="_Toc93843027"/>
      <w:r>
        <w:t>Inclusions</w:t>
      </w:r>
      <w:bookmarkEnd w:id="266"/>
      <w:bookmarkEnd w:id="267"/>
      <w:bookmarkEnd w:id="268"/>
    </w:p>
    <w:p w14:paraId="000004F2" w14:textId="6A020F2D" w:rsidR="00F8269C" w:rsidRDefault="00450D2D">
      <w:pPr>
        <w:pBdr>
          <w:top w:val="nil"/>
          <w:left w:val="nil"/>
          <w:bottom w:val="nil"/>
          <w:right w:val="nil"/>
          <w:between w:val="nil"/>
        </w:pBdr>
        <w:spacing w:before="120" w:after="120" w:line="276" w:lineRule="auto"/>
        <w:jc w:val="both"/>
        <w:rPr>
          <w:color w:val="000000"/>
        </w:rPr>
      </w:pPr>
      <w:r>
        <w:rPr>
          <w:color w:val="000000"/>
        </w:rPr>
        <w:t>This class includes the operation of facilities and provision of services to meet the cultural and entertainment interests of their customers. This includes the production and promotion of, and participation in, live performances, events or exhibits intended for public viewing; the provision of artistic, creative or technical skills for the production of artistic products and live performances.</w:t>
      </w:r>
    </w:p>
    <w:p w14:paraId="000004F3" w14:textId="6C0D32D2" w:rsidR="00F8269C" w:rsidRDefault="00450D2D">
      <w:pPr>
        <w:pBdr>
          <w:top w:val="nil"/>
          <w:left w:val="nil"/>
          <w:bottom w:val="nil"/>
          <w:right w:val="nil"/>
          <w:between w:val="nil"/>
        </w:pBdr>
        <w:spacing w:before="120" w:after="120" w:line="276" w:lineRule="auto"/>
        <w:jc w:val="both"/>
        <w:rPr>
          <w:color w:val="000000"/>
        </w:rPr>
      </w:pPr>
      <w:r>
        <w:rPr>
          <w:color w:val="000000"/>
        </w:rPr>
        <w:t>This class includes:</w:t>
      </w:r>
    </w:p>
    <w:p w14:paraId="000004F4" w14:textId="4A7238B0" w:rsidR="00F8269C" w:rsidRDefault="00450D2D">
      <w:pPr>
        <w:numPr>
          <w:ilvl w:val="0"/>
          <w:numId w:val="17"/>
        </w:numPr>
        <w:pBdr>
          <w:top w:val="nil"/>
          <w:left w:val="nil"/>
          <w:bottom w:val="nil"/>
          <w:right w:val="nil"/>
          <w:between w:val="nil"/>
        </w:pBdr>
        <w:spacing w:after="0"/>
      </w:pPr>
      <w:r>
        <w:rPr>
          <w:color w:val="000000"/>
        </w:rPr>
        <w:t>Production of live theatrical presentations, concerts and opera or dance productions and other stage productions</w:t>
      </w:r>
    </w:p>
    <w:p w14:paraId="000004F5" w14:textId="1AF587F7" w:rsidR="00F8269C" w:rsidRDefault="00450D2D" w:rsidP="009D3DA2">
      <w:pPr>
        <w:numPr>
          <w:ilvl w:val="0"/>
          <w:numId w:val="25"/>
        </w:numPr>
        <w:pBdr>
          <w:top w:val="nil"/>
          <w:left w:val="nil"/>
          <w:bottom w:val="nil"/>
          <w:right w:val="nil"/>
          <w:between w:val="nil"/>
        </w:pBdr>
        <w:spacing w:after="0"/>
        <w:ind w:left="1077" w:hanging="357"/>
      </w:pPr>
      <w:r>
        <w:rPr>
          <w:color w:val="000000"/>
        </w:rPr>
        <w:t>Activities of groups, circuses or companies, orchestras or bands</w:t>
      </w:r>
    </w:p>
    <w:p w14:paraId="000004F6" w14:textId="586DC1E8" w:rsidR="00F8269C" w:rsidRDefault="00450D2D" w:rsidP="009D3DA2">
      <w:pPr>
        <w:numPr>
          <w:ilvl w:val="0"/>
          <w:numId w:val="25"/>
        </w:numPr>
        <w:pBdr>
          <w:top w:val="nil"/>
          <w:left w:val="nil"/>
          <w:bottom w:val="nil"/>
          <w:right w:val="nil"/>
          <w:between w:val="nil"/>
        </w:pBdr>
        <w:spacing w:after="0"/>
        <w:ind w:left="1077" w:hanging="357"/>
      </w:pPr>
      <w:r>
        <w:rPr>
          <w:color w:val="000000"/>
        </w:rPr>
        <w:t>Activities of individual artists such as authors, actors, directors, musicians, lecturers or speakers, stage-set designers and builders etc.</w:t>
      </w:r>
    </w:p>
    <w:p w14:paraId="000004F7" w14:textId="05B4BD72" w:rsidR="00F8269C" w:rsidRDefault="00450D2D">
      <w:pPr>
        <w:numPr>
          <w:ilvl w:val="0"/>
          <w:numId w:val="17"/>
        </w:numPr>
        <w:pBdr>
          <w:top w:val="nil"/>
          <w:left w:val="nil"/>
          <w:bottom w:val="nil"/>
          <w:right w:val="nil"/>
          <w:between w:val="nil"/>
        </w:pBdr>
        <w:spacing w:after="0"/>
      </w:pPr>
      <w:r>
        <w:rPr>
          <w:color w:val="000000"/>
        </w:rPr>
        <w:t>Operation of concert and theatre halls and other arts facilities</w:t>
      </w:r>
    </w:p>
    <w:p w14:paraId="000004F8" w14:textId="01D481EE" w:rsidR="00F8269C" w:rsidRDefault="00450D2D">
      <w:pPr>
        <w:numPr>
          <w:ilvl w:val="0"/>
          <w:numId w:val="17"/>
        </w:numPr>
        <w:pBdr>
          <w:top w:val="nil"/>
          <w:left w:val="nil"/>
          <w:bottom w:val="nil"/>
          <w:right w:val="nil"/>
          <w:between w:val="nil"/>
        </w:pBdr>
        <w:spacing w:after="0"/>
      </w:pPr>
      <w:r>
        <w:rPr>
          <w:color w:val="000000"/>
        </w:rPr>
        <w:t>Activities of sculptors, painters, cartoonists, engravers, etchers etc.</w:t>
      </w:r>
    </w:p>
    <w:p w14:paraId="000004F9" w14:textId="50892DD3" w:rsidR="00F8269C" w:rsidRDefault="00450D2D">
      <w:pPr>
        <w:numPr>
          <w:ilvl w:val="0"/>
          <w:numId w:val="17"/>
        </w:numPr>
        <w:pBdr>
          <w:top w:val="nil"/>
          <w:left w:val="nil"/>
          <w:bottom w:val="nil"/>
          <w:right w:val="nil"/>
          <w:between w:val="nil"/>
        </w:pBdr>
        <w:spacing w:after="0"/>
      </w:pPr>
      <w:r>
        <w:rPr>
          <w:color w:val="000000"/>
        </w:rPr>
        <w:t>Activities of individual writers, for all subjects including fictional writing, technical writing etc.</w:t>
      </w:r>
    </w:p>
    <w:p w14:paraId="000004FA" w14:textId="39AFD17F" w:rsidR="00F8269C" w:rsidRDefault="00450D2D">
      <w:pPr>
        <w:numPr>
          <w:ilvl w:val="0"/>
          <w:numId w:val="17"/>
        </w:numPr>
        <w:pBdr>
          <w:top w:val="nil"/>
          <w:left w:val="nil"/>
          <w:bottom w:val="nil"/>
          <w:right w:val="nil"/>
          <w:between w:val="nil"/>
        </w:pBdr>
        <w:spacing w:after="0"/>
      </w:pPr>
      <w:r>
        <w:rPr>
          <w:color w:val="000000"/>
        </w:rPr>
        <w:t>Activities of independent journalists</w:t>
      </w:r>
    </w:p>
    <w:p w14:paraId="000004FB" w14:textId="6E5B58C7" w:rsidR="00F8269C" w:rsidRDefault="002475E0">
      <w:pPr>
        <w:numPr>
          <w:ilvl w:val="0"/>
          <w:numId w:val="17"/>
        </w:numPr>
        <w:pBdr>
          <w:top w:val="nil"/>
          <w:left w:val="nil"/>
          <w:bottom w:val="nil"/>
          <w:right w:val="nil"/>
          <w:between w:val="nil"/>
        </w:pBdr>
        <w:spacing w:after="0"/>
      </w:pPr>
      <w:sdt>
        <w:sdtPr>
          <w:tag w:val="goog_rdk_68"/>
          <w:id w:val="-278345874"/>
        </w:sdtPr>
        <w:sdtEndPr/>
        <w:sdtContent/>
      </w:sdt>
      <w:r w:rsidR="00450D2D">
        <w:rPr>
          <w:color w:val="000000"/>
        </w:rPr>
        <w:t>Restor</w:t>
      </w:r>
      <w:r w:rsidR="00163C1E">
        <w:rPr>
          <w:color w:val="000000"/>
        </w:rPr>
        <w:t>ation</w:t>
      </w:r>
      <w:r w:rsidR="00450D2D">
        <w:rPr>
          <w:color w:val="000000"/>
        </w:rPr>
        <w:t xml:space="preserve"> of works of art such as paintings etc.</w:t>
      </w:r>
    </w:p>
    <w:p w14:paraId="000004FC" w14:textId="51639DB2" w:rsidR="00F8269C" w:rsidRDefault="00450D2D">
      <w:pPr>
        <w:numPr>
          <w:ilvl w:val="0"/>
          <w:numId w:val="17"/>
        </w:numPr>
        <w:pBdr>
          <w:top w:val="nil"/>
          <w:left w:val="nil"/>
          <w:bottom w:val="nil"/>
          <w:right w:val="nil"/>
          <w:between w:val="nil"/>
        </w:pBdr>
      </w:pPr>
      <w:r>
        <w:rPr>
          <w:color w:val="000000"/>
        </w:rPr>
        <w:t>Activities of producers or entrepreneurs of arts live events, with or without facilities</w:t>
      </w:r>
      <w:r w:rsidR="00A95223">
        <w:rPr>
          <w:color w:val="000000"/>
        </w:rPr>
        <w:t>.</w:t>
      </w:r>
    </w:p>
    <w:p w14:paraId="000004FD" w14:textId="75A595CB" w:rsidR="00F8269C" w:rsidRDefault="00450D2D">
      <w:pPr>
        <w:pStyle w:val="Heading4"/>
      </w:pPr>
      <w:bookmarkStart w:id="269" w:name="_Toc90191921"/>
      <w:bookmarkStart w:id="270" w:name="_Toc93842842"/>
      <w:bookmarkStart w:id="271" w:name="_Toc93843028"/>
      <w:r>
        <w:t>Exclusions</w:t>
      </w:r>
      <w:bookmarkEnd w:id="269"/>
      <w:bookmarkEnd w:id="270"/>
      <w:bookmarkEnd w:id="271"/>
    </w:p>
    <w:p w14:paraId="000004FE" w14:textId="6C708EAB" w:rsidR="00F8269C" w:rsidRDefault="00450D2D">
      <w:pPr>
        <w:pBdr>
          <w:top w:val="nil"/>
          <w:left w:val="nil"/>
          <w:bottom w:val="nil"/>
          <w:right w:val="nil"/>
          <w:between w:val="nil"/>
        </w:pBdr>
        <w:spacing w:before="120" w:after="120" w:line="276" w:lineRule="auto"/>
        <w:jc w:val="both"/>
        <w:rPr>
          <w:color w:val="000000"/>
        </w:rPr>
      </w:pPr>
      <w:r>
        <w:rPr>
          <w:color w:val="000000"/>
        </w:rPr>
        <w:t>This class excludes:</w:t>
      </w:r>
    </w:p>
    <w:p w14:paraId="000004FF" w14:textId="351E3520" w:rsidR="00F8269C" w:rsidRDefault="00450D2D">
      <w:pPr>
        <w:numPr>
          <w:ilvl w:val="0"/>
          <w:numId w:val="17"/>
        </w:numPr>
        <w:pBdr>
          <w:top w:val="nil"/>
          <w:left w:val="nil"/>
          <w:bottom w:val="nil"/>
          <w:right w:val="nil"/>
          <w:between w:val="nil"/>
        </w:pBdr>
        <w:spacing w:after="0"/>
      </w:pPr>
      <w:r>
        <w:rPr>
          <w:color w:val="000000"/>
        </w:rPr>
        <w:t>Restoring of stained glass windows, see ISIC Code - 2310</w:t>
      </w:r>
    </w:p>
    <w:p w14:paraId="00000500" w14:textId="62E8E1F7" w:rsidR="00F8269C" w:rsidRDefault="00450D2D">
      <w:pPr>
        <w:numPr>
          <w:ilvl w:val="0"/>
          <w:numId w:val="17"/>
        </w:numPr>
        <w:pBdr>
          <w:top w:val="nil"/>
          <w:left w:val="nil"/>
          <w:bottom w:val="nil"/>
          <w:right w:val="nil"/>
          <w:between w:val="nil"/>
        </w:pBdr>
        <w:spacing w:after="0"/>
      </w:pPr>
      <w:r>
        <w:rPr>
          <w:color w:val="000000"/>
        </w:rPr>
        <w:t>Manufacture of statues, other than artistic originals, see ISIC Code - 2396</w:t>
      </w:r>
    </w:p>
    <w:p w14:paraId="00000501" w14:textId="1B31BCAA" w:rsidR="00F8269C" w:rsidRDefault="00450D2D">
      <w:pPr>
        <w:numPr>
          <w:ilvl w:val="0"/>
          <w:numId w:val="17"/>
        </w:numPr>
        <w:pBdr>
          <w:top w:val="nil"/>
          <w:left w:val="nil"/>
          <w:bottom w:val="nil"/>
          <w:right w:val="nil"/>
          <w:between w:val="nil"/>
        </w:pBdr>
        <w:spacing w:after="0"/>
      </w:pPr>
      <w:r>
        <w:rPr>
          <w:color w:val="000000"/>
        </w:rPr>
        <w:t>Restoring of organs and other historical musical instruments, see ISIC Code - 3319</w:t>
      </w:r>
    </w:p>
    <w:p w14:paraId="00000502" w14:textId="5E1F89DE" w:rsidR="00F8269C" w:rsidRDefault="00450D2D">
      <w:pPr>
        <w:numPr>
          <w:ilvl w:val="0"/>
          <w:numId w:val="17"/>
        </w:numPr>
        <w:pBdr>
          <w:top w:val="nil"/>
          <w:left w:val="nil"/>
          <w:bottom w:val="nil"/>
          <w:right w:val="nil"/>
          <w:between w:val="nil"/>
        </w:pBdr>
        <w:spacing w:after="0"/>
      </w:pPr>
      <w:r>
        <w:rPr>
          <w:color w:val="000000"/>
        </w:rPr>
        <w:t>Restoring of historical sites and buildings, see ISIC Code - 4100</w:t>
      </w:r>
    </w:p>
    <w:p w14:paraId="00000503" w14:textId="7AF8E7C1" w:rsidR="00F8269C" w:rsidRDefault="00450D2D">
      <w:pPr>
        <w:numPr>
          <w:ilvl w:val="0"/>
          <w:numId w:val="17"/>
        </w:numPr>
        <w:pBdr>
          <w:top w:val="nil"/>
          <w:left w:val="nil"/>
          <w:bottom w:val="nil"/>
          <w:right w:val="nil"/>
          <w:between w:val="nil"/>
        </w:pBdr>
        <w:spacing w:after="0"/>
      </w:pPr>
      <w:r>
        <w:rPr>
          <w:color w:val="000000"/>
        </w:rPr>
        <w:lastRenderedPageBreak/>
        <w:t>Motion picture and video production, see ISIC Code - 5911, ISIC Code - 5912</w:t>
      </w:r>
    </w:p>
    <w:p w14:paraId="00000504" w14:textId="39DFDCB6" w:rsidR="00F8269C" w:rsidRDefault="00450D2D">
      <w:pPr>
        <w:numPr>
          <w:ilvl w:val="0"/>
          <w:numId w:val="17"/>
        </w:numPr>
        <w:pBdr>
          <w:top w:val="nil"/>
          <w:left w:val="nil"/>
          <w:bottom w:val="nil"/>
          <w:right w:val="nil"/>
          <w:between w:val="nil"/>
        </w:pBdr>
        <w:spacing w:after="0"/>
      </w:pPr>
      <w:r>
        <w:rPr>
          <w:color w:val="000000"/>
        </w:rPr>
        <w:t>Operation of cinemas, see ISIC Code - 5914</w:t>
      </w:r>
    </w:p>
    <w:p w14:paraId="00000505" w14:textId="5C2306DC" w:rsidR="00F8269C" w:rsidRDefault="00450D2D">
      <w:pPr>
        <w:numPr>
          <w:ilvl w:val="0"/>
          <w:numId w:val="17"/>
        </w:numPr>
        <w:pBdr>
          <w:top w:val="nil"/>
          <w:left w:val="nil"/>
          <w:bottom w:val="nil"/>
          <w:right w:val="nil"/>
          <w:between w:val="nil"/>
        </w:pBdr>
        <w:spacing w:after="0"/>
      </w:pPr>
      <w:r>
        <w:rPr>
          <w:color w:val="000000"/>
        </w:rPr>
        <w:t>Activities of personal theatrical or artistic agents or agencies, see ISIC Code - 7490</w:t>
      </w:r>
    </w:p>
    <w:p w14:paraId="00000506" w14:textId="46CB1078" w:rsidR="00F8269C" w:rsidRDefault="00450D2D">
      <w:pPr>
        <w:numPr>
          <w:ilvl w:val="0"/>
          <w:numId w:val="17"/>
        </w:numPr>
        <w:pBdr>
          <w:top w:val="nil"/>
          <w:left w:val="nil"/>
          <w:bottom w:val="nil"/>
          <w:right w:val="nil"/>
          <w:between w:val="nil"/>
        </w:pBdr>
        <w:spacing w:after="0"/>
      </w:pPr>
      <w:r>
        <w:rPr>
          <w:color w:val="000000"/>
        </w:rPr>
        <w:t>Casting activities, see ISIC Code - 7810</w:t>
      </w:r>
    </w:p>
    <w:p w14:paraId="00000507" w14:textId="7743B0AB" w:rsidR="00F8269C" w:rsidRDefault="00450D2D">
      <w:pPr>
        <w:numPr>
          <w:ilvl w:val="0"/>
          <w:numId w:val="17"/>
        </w:numPr>
        <w:pBdr>
          <w:top w:val="nil"/>
          <w:left w:val="nil"/>
          <w:bottom w:val="nil"/>
          <w:right w:val="nil"/>
          <w:between w:val="nil"/>
        </w:pBdr>
        <w:spacing w:after="0"/>
      </w:pPr>
      <w:r>
        <w:rPr>
          <w:color w:val="000000"/>
        </w:rPr>
        <w:t>Activities of ticket agencies, see ISIC Code - 7990</w:t>
      </w:r>
    </w:p>
    <w:p w14:paraId="00000508" w14:textId="7ADD9198" w:rsidR="00F8269C" w:rsidRDefault="00450D2D">
      <w:pPr>
        <w:numPr>
          <w:ilvl w:val="0"/>
          <w:numId w:val="17"/>
        </w:numPr>
        <w:pBdr>
          <w:top w:val="nil"/>
          <w:left w:val="nil"/>
          <w:bottom w:val="nil"/>
          <w:right w:val="nil"/>
          <w:between w:val="nil"/>
        </w:pBdr>
        <w:spacing w:after="0"/>
      </w:pPr>
      <w:r>
        <w:rPr>
          <w:color w:val="000000"/>
        </w:rPr>
        <w:t>Operation of museums of all kinds, see ISIC Code - 9102</w:t>
      </w:r>
    </w:p>
    <w:p w14:paraId="00000509" w14:textId="21276FA1" w:rsidR="00F8269C" w:rsidRDefault="00450D2D">
      <w:pPr>
        <w:numPr>
          <w:ilvl w:val="0"/>
          <w:numId w:val="17"/>
        </w:numPr>
        <w:pBdr>
          <w:top w:val="nil"/>
          <w:left w:val="nil"/>
          <w:bottom w:val="nil"/>
          <w:right w:val="nil"/>
          <w:between w:val="nil"/>
        </w:pBdr>
        <w:spacing w:after="0"/>
      </w:pPr>
      <w:r>
        <w:rPr>
          <w:color w:val="000000"/>
        </w:rPr>
        <w:t>Sports and amusement and recreation activities, see ISIC Code - 93</w:t>
      </w:r>
    </w:p>
    <w:p w14:paraId="0000050A" w14:textId="00F22D43" w:rsidR="00F8269C" w:rsidRDefault="00450D2D">
      <w:pPr>
        <w:numPr>
          <w:ilvl w:val="0"/>
          <w:numId w:val="17"/>
        </w:numPr>
        <w:pBdr>
          <w:top w:val="nil"/>
          <w:left w:val="nil"/>
          <w:bottom w:val="nil"/>
          <w:right w:val="nil"/>
          <w:between w:val="nil"/>
        </w:pBdr>
        <w:spacing w:after="0"/>
      </w:pPr>
      <w:r>
        <w:rPr>
          <w:color w:val="000000"/>
        </w:rPr>
        <w:t>Restoring of furniture (except museum type restoration), see ISIC Code - 9524</w:t>
      </w:r>
    </w:p>
    <w:p w14:paraId="0000050C" w14:textId="77777777" w:rsidR="00F8269C" w:rsidRDefault="00450D2D">
      <w:pPr>
        <w:pStyle w:val="Heading4"/>
      </w:pPr>
      <w:bookmarkStart w:id="272" w:name="_Toc90191922"/>
      <w:bookmarkStart w:id="273" w:name="_Toc93842843"/>
      <w:bookmarkStart w:id="274" w:name="_Toc93843029"/>
      <w:r>
        <w:t>ISIC Code 9102 - Museums Activities and Operation of Historical Sites and Buildings</w:t>
      </w:r>
      <w:bookmarkEnd w:id="272"/>
      <w:bookmarkEnd w:id="273"/>
      <w:bookmarkEnd w:id="274"/>
    </w:p>
    <w:p w14:paraId="0000050D" w14:textId="65BF1889" w:rsidR="00F8269C" w:rsidRDefault="00450D2D">
      <w:pPr>
        <w:pStyle w:val="Heading4"/>
      </w:pPr>
      <w:bookmarkStart w:id="275" w:name="_Toc90191923"/>
      <w:bookmarkStart w:id="276" w:name="_Toc93842844"/>
      <w:bookmarkStart w:id="277" w:name="_Toc93843030"/>
      <w:r>
        <w:t>Inclusions</w:t>
      </w:r>
      <w:bookmarkEnd w:id="275"/>
      <w:bookmarkEnd w:id="276"/>
      <w:bookmarkEnd w:id="277"/>
    </w:p>
    <w:p w14:paraId="0000050E" w14:textId="6F1D3E9F" w:rsidR="00F8269C" w:rsidRDefault="00450D2D">
      <w:r>
        <w:t>This class includes:</w:t>
      </w:r>
    </w:p>
    <w:p w14:paraId="0000050F" w14:textId="4FF852EC" w:rsidR="00F8269C" w:rsidRDefault="00450D2D">
      <w:pPr>
        <w:numPr>
          <w:ilvl w:val="0"/>
          <w:numId w:val="17"/>
        </w:numPr>
        <w:pBdr>
          <w:top w:val="nil"/>
          <w:left w:val="nil"/>
          <w:bottom w:val="nil"/>
          <w:right w:val="nil"/>
          <w:between w:val="nil"/>
        </w:pBdr>
        <w:spacing w:after="0"/>
      </w:pPr>
      <w:r>
        <w:rPr>
          <w:color w:val="000000"/>
        </w:rPr>
        <w:t>Operation of museums of all kinds</w:t>
      </w:r>
      <w:r w:rsidR="00A62EA2">
        <w:rPr>
          <w:color w:val="000000"/>
        </w:rPr>
        <w:t>:</w:t>
      </w:r>
    </w:p>
    <w:p w14:paraId="00000510" w14:textId="0491F6A3" w:rsidR="00F8269C" w:rsidRDefault="00450D2D" w:rsidP="009D3DA2">
      <w:pPr>
        <w:numPr>
          <w:ilvl w:val="0"/>
          <w:numId w:val="26"/>
        </w:numPr>
        <w:pBdr>
          <w:top w:val="nil"/>
          <w:left w:val="nil"/>
          <w:bottom w:val="nil"/>
          <w:right w:val="nil"/>
          <w:between w:val="nil"/>
        </w:pBdr>
        <w:spacing w:after="0"/>
        <w:ind w:left="1077" w:hanging="357"/>
      </w:pPr>
      <w:r>
        <w:rPr>
          <w:color w:val="000000"/>
        </w:rPr>
        <w:t>Art museums, museums of jewellery, furniture, costumes, ceramics, silverware</w:t>
      </w:r>
    </w:p>
    <w:p w14:paraId="00000511" w14:textId="6EAF88F4" w:rsidR="00F8269C" w:rsidRDefault="00450D2D" w:rsidP="009D3DA2">
      <w:pPr>
        <w:numPr>
          <w:ilvl w:val="0"/>
          <w:numId w:val="26"/>
        </w:numPr>
        <w:pBdr>
          <w:top w:val="nil"/>
          <w:left w:val="nil"/>
          <w:bottom w:val="nil"/>
          <w:right w:val="nil"/>
          <w:between w:val="nil"/>
        </w:pBdr>
        <w:spacing w:after="0"/>
        <w:ind w:left="1077" w:hanging="357"/>
      </w:pPr>
      <w:r>
        <w:rPr>
          <w:color w:val="000000"/>
        </w:rPr>
        <w:t>Natural history, science and technological museums, historical museums, including military museums</w:t>
      </w:r>
    </w:p>
    <w:p w14:paraId="00000512" w14:textId="5F25EC41" w:rsidR="00F8269C" w:rsidRDefault="00450D2D" w:rsidP="009D3DA2">
      <w:pPr>
        <w:numPr>
          <w:ilvl w:val="0"/>
          <w:numId w:val="26"/>
        </w:numPr>
        <w:pBdr>
          <w:top w:val="nil"/>
          <w:left w:val="nil"/>
          <w:bottom w:val="nil"/>
          <w:right w:val="nil"/>
          <w:between w:val="nil"/>
        </w:pBdr>
        <w:spacing w:after="0"/>
        <w:ind w:left="1077" w:hanging="357"/>
      </w:pPr>
      <w:r>
        <w:rPr>
          <w:color w:val="000000"/>
        </w:rPr>
        <w:t>Other speciali</w:t>
      </w:r>
      <w:r w:rsidR="00B83450">
        <w:rPr>
          <w:color w:val="000000"/>
        </w:rPr>
        <w:t>s</w:t>
      </w:r>
      <w:r>
        <w:rPr>
          <w:color w:val="000000"/>
        </w:rPr>
        <w:t>ed museums</w:t>
      </w:r>
    </w:p>
    <w:p w14:paraId="00000513" w14:textId="4CE55DF1" w:rsidR="00F8269C" w:rsidRDefault="00450D2D" w:rsidP="009D3DA2">
      <w:pPr>
        <w:numPr>
          <w:ilvl w:val="0"/>
          <w:numId w:val="26"/>
        </w:numPr>
        <w:pBdr>
          <w:top w:val="nil"/>
          <w:left w:val="nil"/>
          <w:bottom w:val="nil"/>
          <w:right w:val="nil"/>
          <w:between w:val="nil"/>
        </w:pBdr>
        <w:spacing w:after="0"/>
        <w:ind w:left="1077" w:hanging="357"/>
      </w:pPr>
      <w:r>
        <w:rPr>
          <w:color w:val="000000"/>
        </w:rPr>
        <w:t>Open-air museums</w:t>
      </w:r>
    </w:p>
    <w:p w14:paraId="00000514" w14:textId="1651C8B6" w:rsidR="00F8269C" w:rsidRDefault="00450D2D">
      <w:pPr>
        <w:numPr>
          <w:ilvl w:val="0"/>
          <w:numId w:val="17"/>
        </w:numPr>
        <w:pBdr>
          <w:top w:val="nil"/>
          <w:left w:val="nil"/>
          <w:bottom w:val="nil"/>
          <w:right w:val="nil"/>
          <w:between w:val="nil"/>
        </w:pBdr>
      </w:pPr>
      <w:r>
        <w:rPr>
          <w:color w:val="000000"/>
        </w:rPr>
        <w:t>Operation of historical sites and buildings</w:t>
      </w:r>
      <w:r w:rsidR="001F2CBF">
        <w:rPr>
          <w:color w:val="000000"/>
        </w:rPr>
        <w:t>.</w:t>
      </w:r>
    </w:p>
    <w:p w14:paraId="00000515" w14:textId="5A8D9FA5" w:rsidR="00F8269C" w:rsidRDefault="00450D2D">
      <w:pPr>
        <w:pStyle w:val="Heading4"/>
      </w:pPr>
      <w:bookmarkStart w:id="278" w:name="_Toc90191924"/>
      <w:bookmarkStart w:id="279" w:name="_Toc93842845"/>
      <w:bookmarkStart w:id="280" w:name="_Toc93843031"/>
      <w:r>
        <w:t>Exclusions</w:t>
      </w:r>
      <w:bookmarkEnd w:id="278"/>
      <w:bookmarkEnd w:id="279"/>
      <w:bookmarkEnd w:id="280"/>
    </w:p>
    <w:p w14:paraId="00000516" w14:textId="06325942" w:rsidR="00F8269C" w:rsidRDefault="00450D2D">
      <w:r>
        <w:t>This class excludes:</w:t>
      </w:r>
    </w:p>
    <w:p w14:paraId="00000518" w14:textId="5496E40F" w:rsidR="00F8269C" w:rsidRDefault="00450D2D">
      <w:pPr>
        <w:numPr>
          <w:ilvl w:val="0"/>
          <w:numId w:val="17"/>
        </w:numPr>
        <w:pBdr>
          <w:top w:val="nil"/>
          <w:left w:val="nil"/>
          <w:bottom w:val="nil"/>
          <w:right w:val="nil"/>
          <w:between w:val="nil"/>
        </w:pBdr>
        <w:spacing w:after="0"/>
      </w:pPr>
      <w:r>
        <w:rPr>
          <w:color w:val="000000"/>
        </w:rPr>
        <w:t>Restoration of works of art and museum collection objects, see ISIC Code - 9000</w:t>
      </w:r>
    </w:p>
    <w:p w14:paraId="00000519" w14:textId="3BB7FE4C" w:rsidR="00F8269C" w:rsidRDefault="00450D2D">
      <w:pPr>
        <w:numPr>
          <w:ilvl w:val="0"/>
          <w:numId w:val="17"/>
        </w:numPr>
        <w:pBdr>
          <w:top w:val="nil"/>
          <w:left w:val="nil"/>
          <w:bottom w:val="nil"/>
          <w:right w:val="nil"/>
          <w:between w:val="nil"/>
        </w:pBdr>
      </w:pPr>
      <w:r>
        <w:rPr>
          <w:color w:val="000000"/>
        </w:rPr>
        <w:t xml:space="preserve">Activities of libraries and archives, see ISIC Code </w:t>
      </w:r>
      <w:r w:rsidR="001F2CBF">
        <w:rPr>
          <w:color w:val="000000"/>
        </w:rPr>
        <w:t>–</w:t>
      </w:r>
      <w:r>
        <w:rPr>
          <w:color w:val="000000"/>
        </w:rPr>
        <w:t xml:space="preserve"> 9101</w:t>
      </w:r>
      <w:r w:rsidR="001F2CBF">
        <w:rPr>
          <w:color w:val="000000"/>
        </w:rPr>
        <w:t>.</w:t>
      </w:r>
    </w:p>
    <w:p w14:paraId="0000051A" w14:textId="1CA38433" w:rsidR="00F8269C" w:rsidRDefault="00450D2D">
      <w:pPr>
        <w:pStyle w:val="Heading4"/>
      </w:pPr>
      <w:bookmarkStart w:id="281" w:name="_Toc90191925"/>
      <w:bookmarkStart w:id="282" w:name="_Toc93842846"/>
      <w:bookmarkStart w:id="283" w:name="_Toc93843032"/>
      <w:r>
        <w:t>ISIC Code 9103 - Botanical and Zoological Gardens and Nature Reserves Activities</w:t>
      </w:r>
      <w:bookmarkEnd w:id="281"/>
      <w:bookmarkEnd w:id="282"/>
      <w:bookmarkEnd w:id="283"/>
    </w:p>
    <w:p w14:paraId="0000051B" w14:textId="48136328" w:rsidR="00F8269C" w:rsidRDefault="00450D2D">
      <w:pPr>
        <w:pStyle w:val="Heading4"/>
      </w:pPr>
      <w:bookmarkStart w:id="284" w:name="_Toc90191926"/>
      <w:bookmarkStart w:id="285" w:name="_Toc93842847"/>
      <w:bookmarkStart w:id="286" w:name="_Toc93843033"/>
      <w:r>
        <w:t>Inclusions</w:t>
      </w:r>
      <w:bookmarkEnd w:id="284"/>
      <w:bookmarkEnd w:id="285"/>
      <w:bookmarkEnd w:id="286"/>
    </w:p>
    <w:p w14:paraId="0000051C" w14:textId="2ACFCC13" w:rsidR="00F8269C" w:rsidRDefault="00450D2D">
      <w:r>
        <w:t>This class includes:</w:t>
      </w:r>
    </w:p>
    <w:p w14:paraId="0000051D" w14:textId="00D4C6E1" w:rsidR="00F8269C" w:rsidRDefault="00450D2D">
      <w:pPr>
        <w:numPr>
          <w:ilvl w:val="0"/>
          <w:numId w:val="17"/>
        </w:numPr>
        <w:pBdr>
          <w:top w:val="nil"/>
          <w:left w:val="nil"/>
          <w:bottom w:val="nil"/>
          <w:right w:val="nil"/>
          <w:between w:val="nil"/>
        </w:pBdr>
        <w:spacing w:after="0"/>
      </w:pPr>
      <w:r>
        <w:rPr>
          <w:color w:val="000000"/>
        </w:rPr>
        <w:t>Operation of botanical and zoological gardens, including children's zoos</w:t>
      </w:r>
    </w:p>
    <w:p w14:paraId="0000051E" w14:textId="7DDE4E45" w:rsidR="00F8269C" w:rsidRDefault="00450D2D">
      <w:pPr>
        <w:numPr>
          <w:ilvl w:val="0"/>
          <w:numId w:val="17"/>
        </w:numPr>
        <w:pBdr>
          <w:top w:val="nil"/>
          <w:left w:val="nil"/>
          <w:bottom w:val="nil"/>
          <w:right w:val="nil"/>
          <w:between w:val="nil"/>
        </w:pBdr>
      </w:pPr>
      <w:r>
        <w:rPr>
          <w:color w:val="000000"/>
        </w:rPr>
        <w:t>Operation of nature reserves, including wildlife preservation, etc.</w:t>
      </w:r>
    </w:p>
    <w:p w14:paraId="0000051F" w14:textId="546DB789" w:rsidR="00F8269C" w:rsidRDefault="00450D2D">
      <w:pPr>
        <w:pStyle w:val="Heading4"/>
      </w:pPr>
      <w:bookmarkStart w:id="287" w:name="_Toc90191927"/>
      <w:bookmarkStart w:id="288" w:name="_Toc93842848"/>
      <w:bookmarkStart w:id="289" w:name="_Toc93843034"/>
      <w:r>
        <w:t>Exclusions</w:t>
      </w:r>
      <w:bookmarkEnd w:id="287"/>
      <w:bookmarkEnd w:id="288"/>
      <w:bookmarkEnd w:id="289"/>
    </w:p>
    <w:p w14:paraId="00000520" w14:textId="1026DB90" w:rsidR="00F8269C" w:rsidRDefault="00450D2D">
      <w:r>
        <w:t>This class excludes:</w:t>
      </w:r>
    </w:p>
    <w:p w14:paraId="00000521" w14:textId="3DC1E028" w:rsidR="00F8269C" w:rsidRDefault="00450D2D">
      <w:pPr>
        <w:numPr>
          <w:ilvl w:val="0"/>
          <w:numId w:val="17"/>
        </w:numPr>
        <w:pBdr>
          <w:top w:val="nil"/>
          <w:left w:val="nil"/>
          <w:bottom w:val="nil"/>
          <w:right w:val="nil"/>
          <w:between w:val="nil"/>
        </w:pBdr>
        <w:spacing w:after="0"/>
      </w:pPr>
      <w:r>
        <w:rPr>
          <w:color w:val="000000"/>
        </w:rPr>
        <w:t>Landscape and gardening services, see ISIC Code - 8130</w:t>
      </w:r>
    </w:p>
    <w:p w14:paraId="00000522" w14:textId="51C124E3" w:rsidR="00F8269C" w:rsidRDefault="00450D2D">
      <w:pPr>
        <w:numPr>
          <w:ilvl w:val="0"/>
          <w:numId w:val="17"/>
        </w:numPr>
        <w:pBdr>
          <w:top w:val="nil"/>
          <w:left w:val="nil"/>
          <w:bottom w:val="nil"/>
          <w:right w:val="nil"/>
          <w:between w:val="nil"/>
        </w:pBdr>
      </w:pPr>
      <w:r>
        <w:rPr>
          <w:color w:val="000000"/>
        </w:rPr>
        <w:t>Operation of sport fishing and hunting preserves, see ISIC Code – 9319</w:t>
      </w:r>
      <w:r w:rsidR="001F2CBF">
        <w:rPr>
          <w:color w:val="000000"/>
        </w:rPr>
        <w:t>.</w:t>
      </w:r>
    </w:p>
    <w:p w14:paraId="00000523" w14:textId="79B107CE" w:rsidR="00F8269C" w:rsidRDefault="00450D2D">
      <w:pPr>
        <w:pStyle w:val="Heading4"/>
      </w:pPr>
      <w:bookmarkStart w:id="290" w:name="_Toc90191928"/>
      <w:bookmarkStart w:id="291" w:name="_Toc93842849"/>
      <w:bookmarkStart w:id="292" w:name="_Toc93843035"/>
      <w:r>
        <w:t>ISIC Code 47</w:t>
      </w:r>
      <w:r w:rsidR="00496274">
        <w:t>6</w:t>
      </w:r>
      <w:r>
        <w:t>4 - Retail Sale of Second-Hand Goods</w:t>
      </w:r>
      <w:bookmarkEnd w:id="290"/>
      <w:bookmarkEnd w:id="291"/>
      <w:bookmarkEnd w:id="292"/>
    </w:p>
    <w:p w14:paraId="00000524" w14:textId="178566E5" w:rsidR="00F8269C" w:rsidRDefault="00450D2D">
      <w:pPr>
        <w:pStyle w:val="Heading4"/>
      </w:pPr>
      <w:bookmarkStart w:id="293" w:name="_Toc90191929"/>
      <w:bookmarkStart w:id="294" w:name="_Toc93842850"/>
      <w:bookmarkStart w:id="295" w:name="_Toc93843036"/>
      <w:r>
        <w:t>Inclusions</w:t>
      </w:r>
      <w:bookmarkEnd w:id="293"/>
      <w:bookmarkEnd w:id="294"/>
      <w:bookmarkEnd w:id="295"/>
    </w:p>
    <w:p w14:paraId="00000525" w14:textId="73C918CF" w:rsidR="00F8269C" w:rsidRDefault="00450D2D">
      <w:r>
        <w:t>This class includes:</w:t>
      </w:r>
    </w:p>
    <w:p w14:paraId="00000526" w14:textId="04C9B131" w:rsidR="00F8269C" w:rsidRDefault="00450D2D">
      <w:pPr>
        <w:numPr>
          <w:ilvl w:val="0"/>
          <w:numId w:val="17"/>
        </w:numPr>
        <w:pBdr>
          <w:top w:val="nil"/>
          <w:left w:val="nil"/>
          <w:bottom w:val="nil"/>
          <w:right w:val="nil"/>
          <w:between w:val="nil"/>
        </w:pBdr>
        <w:spacing w:after="0"/>
      </w:pPr>
      <w:r>
        <w:rPr>
          <w:color w:val="000000"/>
        </w:rPr>
        <w:t>Retail sale of second-hand books</w:t>
      </w:r>
    </w:p>
    <w:p w14:paraId="00000527" w14:textId="489F5F2B" w:rsidR="00F8269C" w:rsidRDefault="00450D2D">
      <w:pPr>
        <w:numPr>
          <w:ilvl w:val="0"/>
          <w:numId w:val="17"/>
        </w:numPr>
        <w:pBdr>
          <w:top w:val="nil"/>
          <w:left w:val="nil"/>
          <w:bottom w:val="nil"/>
          <w:right w:val="nil"/>
          <w:between w:val="nil"/>
        </w:pBdr>
        <w:spacing w:after="0"/>
      </w:pPr>
      <w:r>
        <w:rPr>
          <w:color w:val="000000"/>
        </w:rPr>
        <w:t>Retail sale of other second-hand goods</w:t>
      </w:r>
    </w:p>
    <w:p w14:paraId="00000528" w14:textId="2512E192" w:rsidR="00F8269C" w:rsidRDefault="00450D2D">
      <w:pPr>
        <w:numPr>
          <w:ilvl w:val="0"/>
          <w:numId w:val="17"/>
        </w:numPr>
        <w:pBdr>
          <w:top w:val="nil"/>
          <w:left w:val="nil"/>
          <w:bottom w:val="nil"/>
          <w:right w:val="nil"/>
          <w:between w:val="nil"/>
        </w:pBdr>
        <w:spacing w:after="0"/>
      </w:pPr>
      <w:r>
        <w:rPr>
          <w:color w:val="000000"/>
        </w:rPr>
        <w:t>Retail sale of antiques</w:t>
      </w:r>
    </w:p>
    <w:p w14:paraId="6F9F57F1" w14:textId="77777777" w:rsidR="00127FA9" w:rsidRPr="009D3DA2" w:rsidRDefault="00450D2D" w:rsidP="009D3DA2">
      <w:pPr>
        <w:numPr>
          <w:ilvl w:val="0"/>
          <w:numId w:val="17"/>
        </w:numPr>
        <w:pBdr>
          <w:top w:val="nil"/>
          <w:left w:val="nil"/>
          <w:bottom w:val="nil"/>
          <w:right w:val="nil"/>
          <w:between w:val="nil"/>
        </w:pBdr>
        <w:spacing w:after="0"/>
        <w:ind w:left="714" w:hanging="357"/>
      </w:pPr>
      <w:r>
        <w:rPr>
          <w:color w:val="000000"/>
        </w:rPr>
        <w:t>Activities of auctioning houses (retail)</w:t>
      </w:r>
    </w:p>
    <w:p w14:paraId="00000529" w14:textId="6064558F" w:rsidR="00F8269C" w:rsidRDefault="00127FA9">
      <w:pPr>
        <w:numPr>
          <w:ilvl w:val="0"/>
          <w:numId w:val="17"/>
        </w:numPr>
        <w:pBdr>
          <w:top w:val="nil"/>
          <w:left w:val="nil"/>
          <w:bottom w:val="nil"/>
          <w:right w:val="nil"/>
          <w:between w:val="nil"/>
        </w:pBdr>
      </w:pPr>
      <w:r>
        <w:rPr>
          <w:color w:val="000000"/>
        </w:rPr>
        <w:t>Activities of trading stamps and coins</w:t>
      </w:r>
      <w:r w:rsidR="001F2CBF">
        <w:rPr>
          <w:color w:val="000000"/>
        </w:rPr>
        <w:t>.</w:t>
      </w:r>
    </w:p>
    <w:p w14:paraId="0000052A" w14:textId="04333FA5" w:rsidR="00F8269C" w:rsidRDefault="00450D2D">
      <w:pPr>
        <w:pStyle w:val="Heading4"/>
      </w:pPr>
      <w:bookmarkStart w:id="296" w:name="_Toc90191930"/>
      <w:bookmarkStart w:id="297" w:name="_Toc93842851"/>
      <w:bookmarkStart w:id="298" w:name="_Toc93843037"/>
      <w:r>
        <w:t>Exclusions</w:t>
      </w:r>
      <w:bookmarkEnd w:id="296"/>
      <w:bookmarkEnd w:id="297"/>
      <w:bookmarkEnd w:id="298"/>
    </w:p>
    <w:p w14:paraId="0000052B" w14:textId="3D1D579C" w:rsidR="00F8269C" w:rsidRDefault="00450D2D">
      <w:r>
        <w:t>This class excludes:</w:t>
      </w:r>
    </w:p>
    <w:p w14:paraId="0000052C" w14:textId="29B6DE21" w:rsidR="00F8269C" w:rsidRDefault="00450D2D">
      <w:pPr>
        <w:numPr>
          <w:ilvl w:val="0"/>
          <w:numId w:val="17"/>
        </w:numPr>
        <w:pBdr>
          <w:top w:val="nil"/>
          <w:left w:val="nil"/>
          <w:bottom w:val="nil"/>
          <w:right w:val="nil"/>
          <w:between w:val="nil"/>
        </w:pBdr>
        <w:spacing w:after="0"/>
      </w:pPr>
      <w:r>
        <w:rPr>
          <w:color w:val="000000"/>
        </w:rPr>
        <w:t>Retail sale of second-hand motor vehicles, see ISIC Code - 4510</w:t>
      </w:r>
    </w:p>
    <w:p w14:paraId="0000052D" w14:textId="67746563" w:rsidR="00F8269C" w:rsidRDefault="00450D2D">
      <w:pPr>
        <w:numPr>
          <w:ilvl w:val="0"/>
          <w:numId w:val="17"/>
        </w:numPr>
        <w:pBdr>
          <w:top w:val="nil"/>
          <w:left w:val="nil"/>
          <w:bottom w:val="nil"/>
          <w:right w:val="nil"/>
          <w:between w:val="nil"/>
        </w:pBdr>
        <w:spacing w:after="0"/>
      </w:pPr>
      <w:r>
        <w:rPr>
          <w:color w:val="000000"/>
        </w:rPr>
        <w:t>Activities of Internet auctions and other non-store auctions (retail), see ISIC Code - 4791, ISIC Code - 4799</w:t>
      </w:r>
    </w:p>
    <w:p w14:paraId="0000052E" w14:textId="77627927" w:rsidR="00F8269C" w:rsidRDefault="00450D2D">
      <w:pPr>
        <w:numPr>
          <w:ilvl w:val="0"/>
          <w:numId w:val="17"/>
        </w:numPr>
        <w:pBdr>
          <w:top w:val="nil"/>
          <w:left w:val="nil"/>
          <w:bottom w:val="nil"/>
          <w:right w:val="nil"/>
          <w:between w:val="nil"/>
        </w:pBdr>
      </w:pPr>
      <w:r>
        <w:rPr>
          <w:color w:val="000000"/>
        </w:rPr>
        <w:t xml:space="preserve">Activities of pawn shops, see ISIC Code </w:t>
      </w:r>
      <w:r w:rsidR="001F2CBF">
        <w:rPr>
          <w:color w:val="000000"/>
        </w:rPr>
        <w:t>–</w:t>
      </w:r>
      <w:r>
        <w:rPr>
          <w:color w:val="000000"/>
        </w:rPr>
        <w:t xml:space="preserve"> 6492</w:t>
      </w:r>
      <w:r w:rsidR="001F2CBF">
        <w:rPr>
          <w:color w:val="000000"/>
        </w:rPr>
        <w:t>.</w:t>
      </w:r>
    </w:p>
    <w:p w14:paraId="0000052F" w14:textId="17CEC67B" w:rsidR="00F8269C" w:rsidRDefault="00450D2D">
      <w:pPr>
        <w:pStyle w:val="Heading4"/>
      </w:pPr>
      <w:bookmarkStart w:id="299" w:name="_Toc90191931"/>
      <w:bookmarkStart w:id="300" w:name="_Toc93842852"/>
      <w:bookmarkStart w:id="301" w:name="_Toc93843038"/>
      <w:r>
        <w:lastRenderedPageBreak/>
        <w:t xml:space="preserve">ISIC Code 3220 - Manufacture </w:t>
      </w:r>
      <w:r w:rsidR="001F2CBF">
        <w:t xml:space="preserve">of </w:t>
      </w:r>
      <w:r>
        <w:t>Musical Instruments</w:t>
      </w:r>
      <w:bookmarkEnd w:id="299"/>
      <w:bookmarkEnd w:id="300"/>
      <w:bookmarkEnd w:id="301"/>
    </w:p>
    <w:p w14:paraId="00000530" w14:textId="72A11327" w:rsidR="00F8269C" w:rsidRDefault="00450D2D">
      <w:pPr>
        <w:pStyle w:val="Heading4"/>
      </w:pPr>
      <w:bookmarkStart w:id="302" w:name="_Toc90191932"/>
      <w:bookmarkStart w:id="303" w:name="_Toc93842853"/>
      <w:bookmarkStart w:id="304" w:name="_Toc93843039"/>
      <w:r>
        <w:t>Inclusions</w:t>
      </w:r>
      <w:bookmarkEnd w:id="302"/>
      <w:bookmarkEnd w:id="303"/>
      <w:bookmarkEnd w:id="304"/>
    </w:p>
    <w:p w14:paraId="00000531" w14:textId="2868C165" w:rsidR="00F8269C" w:rsidRDefault="00450D2D">
      <w:r>
        <w:t>This class includes:</w:t>
      </w:r>
    </w:p>
    <w:p w14:paraId="00000532" w14:textId="55D00DD7" w:rsidR="00F8269C" w:rsidRDefault="00450D2D">
      <w:pPr>
        <w:numPr>
          <w:ilvl w:val="0"/>
          <w:numId w:val="17"/>
        </w:numPr>
        <w:pBdr>
          <w:top w:val="nil"/>
          <w:left w:val="nil"/>
          <w:bottom w:val="nil"/>
          <w:right w:val="nil"/>
          <w:between w:val="nil"/>
        </w:pBdr>
        <w:spacing w:after="0"/>
      </w:pPr>
      <w:r>
        <w:rPr>
          <w:color w:val="000000"/>
        </w:rPr>
        <w:t>Manufacture of stringed instruments</w:t>
      </w:r>
    </w:p>
    <w:p w14:paraId="00000533" w14:textId="29AFDC41" w:rsidR="00F8269C" w:rsidRDefault="00450D2D">
      <w:pPr>
        <w:numPr>
          <w:ilvl w:val="0"/>
          <w:numId w:val="17"/>
        </w:numPr>
        <w:pBdr>
          <w:top w:val="nil"/>
          <w:left w:val="nil"/>
          <w:bottom w:val="nil"/>
          <w:right w:val="nil"/>
          <w:between w:val="nil"/>
        </w:pBdr>
        <w:spacing w:after="0"/>
      </w:pPr>
      <w:r>
        <w:rPr>
          <w:color w:val="000000"/>
        </w:rPr>
        <w:t>Manufacture of keyboard stringed instruments, including automatic pianos</w:t>
      </w:r>
    </w:p>
    <w:p w14:paraId="00000534" w14:textId="5AA179B6" w:rsidR="00F8269C" w:rsidRDefault="00450D2D">
      <w:pPr>
        <w:numPr>
          <w:ilvl w:val="0"/>
          <w:numId w:val="17"/>
        </w:numPr>
        <w:pBdr>
          <w:top w:val="nil"/>
          <w:left w:val="nil"/>
          <w:bottom w:val="nil"/>
          <w:right w:val="nil"/>
          <w:between w:val="nil"/>
        </w:pBdr>
        <w:spacing w:after="0"/>
      </w:pPr>
      <w:r>
        <w:rPr>
          <w:color w:val="000000"/>
        </w:rPr>
        <w:t>Manufacture of keyboard pipe organs, including harmoniums and similar keyboard instruments with free metal reeds</w:t>
      </w:r>
    </w:p>
    <w:p w14:paraId="00000535" w14:textId="7FC71B9F" w:rsidR="00F8269C" w:rsidRDefault="00450D2D">
      <w:pPr>
        <w:numPr>
          <w:ilvl w:val="0"/>
          <w:numId w:val="17"/>
        </w:numPr>
        <w:pBdr>
          <w:top w:val="nil"/>
          <w:left w:val="nil"/>
          <w:bottom w:val="nil"/>
          <w:right w:val="nil"/>
          <w:between w:val="nil"/>
        </w:pBdr>
        <w:spacing w:after="0"/>
      </w:pPr>
      <w:r>
        <w:rPr>
          <w:color w:val="000000"/>
        </w:rPr>
        <w:t>Manufacture of accordions and similar instruments, including mouth organs</w:t>
      </w:r>
    </w:p>
    <w:p w14:paraId="00000536" w14:textId="147BA12B" w:rsidR="00F8269C" w:rsidRDefault="00450D2D">
      <w:pPr>
        <w:numPr>
          <w:ilvl w:val="0"/>
          <w:numId w:val="17"/>
        </w:numPr>
        <w:pBdr>
          <w:top w:val="nil"/>
          <w:left w:val="nil"/>
          <w:bottom w:val="nil"/>
          <w:right w:val="nil"/>
          <w:between w:val="nil"/>
        </w:pBdr>
        <w:spacing w:after="0"/>
      </w:pPr>
      <w:r>
        <w:rPr>
          <w:color w:val="000000"/>
        </w:rPr>
        <w:t>Manufacture of wind instruments</w:t>
      </w:r>
    </w:p>
    <w:p w14:paraId="00000537" w14:textId="65E2B294" w:rsidR="00F8269C" w:rsidRDefault="00450D2D">
      <w:pPr>
        <w:numPr>
          <w:ilvl w:val="0"/>
          <w:numId w:val="17"/>
        </w:numPr>
        <w:pBdr>
          <w:top w:val="nil"/>
          <w:left w:val="nil"/>
          <w:bottom w:val="nil"/>
          <w:right w:val="nil"/>
          <w:between w:val="nil"/>
        </w:pBdr>
        <w:spacing w:after="0"/>
      </w:pPr>
      <w:r>
        <w:rPr>
          <w:color w:val="000000"/>
        </w:rPr>
        <w:t>Manufacture of percussion musical instruments</w:t>
      </w:r>
    </w:p>
    <w:p w14:paraId="00000538" w14:textId="44E9CE4D" w:rsidR="00F8269C" w:rsidRDefault="00450D2D">
      <w:pPr>
        <w:numPr>
          <w:ilvl w:val="0"/>
          <w:numId w:val="17"/>
        </w:numPr>
        <w:pBdr>
          <w:top w:val="nil"/>
          <w:left w:val="nil"/>
          <w:bottom w:val="nil"/>
          <w:right w:val="nil"/>
          <w:between w:val="nil"/>
        </w:pBdr>
        <w:spacing w:after="0"/>
      </w:pPr>
      <w:r>
        <w:rPr>
          <w:color w:val="000000"/>
        </w:rPr>
        <w:t>Manufacture of musical instruments, the sound of which is produced electronically</w:t>
      </w:r>
    </w:p>
    <w:p w14:paraId="00000539" w14:textId="589C4773" w:rsidR="00F8269C" w:rsidRDefault="00450D2D">
      <w:pPr>
        <w:numPr>
          <w:ilvl w:val="0"/>
          <w:numId w:val="17"/>
        </w:numPr>
        <w:pBdr>
          <w:top w:val="nil"/>
          <w:left w:val="nil"/>
          <w:bottom w:val="nil"/>
          <w:right w:val="nil"/>
          <w:between w:val="nil"/>
        </w:pBdr>
        <w:spacing w:after="0"/>
      </w:pPr>
      <w:r>
        <w:rPr>
          <w:color w:val="000000"/>
        </w:rPr>
        <w:t>Manufacture of musical boxes, fairground organs, calliopes etc.</w:t>
      </w:r>
    </w:p>
    <w:p w14:paraId="0000053A" w14:textId="06074984" w:rsidR="00F8269C" w:rsidRDefault="00450D2D">
      <w:pPr>
        <w:numPr>
          <w:ilvl w:val="0"/>
          <w:numId w:val="17"/>
        </w:numPr>
        <w:pBdr>
          <w:top w:val="nil"/>
          <w:left w:val="nil"/>
          <w:bottom w:val="nil"/>
          <w:right w:val="nil"/>
          <w:between w:val="nil"/>
        </w:pBdr>
        <w:spacing w:after="0"/>
      </w:pPr>
      <w:r>
        <w:rPr>
          <w:color w:val="000000"/>
        </w:rPr>
        <w:t>Manufacture of instrument parts and accessories</w:t>
      </w:r>
    </w:p>
    <w:p w14:paraId="0000053B" w14:textId="7E6DDAB2" w:rsidR="00F8269C" w:rsidRDefault="00450D2D" w:rsidP="009D3DA2">
      <w:pPr>
        <w:numPr>
          <w:ilvl w:val="0"/>
          <w:numId w:val="27"/>
        </w:numPr>
        <w:pBdr>
          <w:top w:val="nil"/>
          <w:left w:val="nil"/>
          <w:bottom w:val="nil"/>
          <w:right w:val="nil"/>
          <w:between w:val="nil"/>
        </w:pBdr>
        <w:spacing w:after="0"/>
        <w:ind w:left="1077" w:hanging="357"/>
      </w:pPr>
      <w:r>
        <w:rPr>
          <w:color w:val="000000"/>
        </w:rPr>
        <w:t>Metronomes, tuning forks, pitch pipes, cards, discs and rolls for automatic mechanical instruments etc.</w:t>
      </w:r>
    </w:p>
    <w:p w14:paraId="0000053C" w14:textId="576BC949" w:rsidR="00F8269C" w:rsidRDefault="00450D2D">
      <w:pPr>
        <w:numPr>
          <w:ilvl w:val="0"/>
          <w:numId w:val="17"/>
        </w:numPr>
        <w:pBdr>
          <w:top w:val="nil"/>
          <w:left w:val="nil"/>
          <w:bottom w:val="nil"/>
          <w:right w:val="nil"/>
          <w:between w:val="nil"/>
        </w:pBdr>
      </w:pPr>
      <w:r>
        <w:rPr>
          <w:color w:val="000000"/>
        </w:rPr>
        <w:t>Manufacture of whistles, call horns and other mouth-blown sound signalling instruments</w:t>
      </w:r>
      <w:r w:rsidR="001F2CBF">
        <w:rPr>
          <w:color w:val="000000"/>
        </w:rPr>
        <w:t>.</w:t>
      </w:r>
    </w:p>
    <w:p w14:paraId="0000053D" w14:textId="5D15E1A4" w:rsidR="00F8269C" w:rsidRDefault="00450D2D">
      <w:pPr>
        <w:pStyle w:val="Heading4"/>
      </w:pPr>
      <w:bookmarkStart w:id="305" w:name="_Toc90191933"/>
      <w:bookmarkStart w:id="306" w:name="_Toc93842854"/>
      <w:bookmarkStart w:id="307" w:name="_Toc93843040"/>
      <w:r>
        <w:t>Exclusions</w:t>
      </w:r>
      <w:bookmarkEnd w:id="305"/>
      <w:bookmarkEnd w:id="306"/>
      <w:bookmarkEnd w:id="307"/>
    </w:p>
    <w:p w14:paraId="0000053E" w14:textId="2B7E2E8A" w:rsidR="00F8269C" w:rsidRDefault="00450D2D">
      <w:r>
        <w:t>This class excludes:</w:t>
      </w:r>
    </w:p>
    <w:p w14:paraId="0000053F" w14:textId="22CC356F" w:rsidR="00F8269C" w:rsidRDefault="00450D2D">
      <w:pPr>
        <w:numPr>
          <w:ilvl w:val="0"/>
          <w:numId w:val="17"/>
        </w:numPr>
        <w:pBdr>
          <w:top w:val="nil"/>
          <w:left w:val="nil"/>
          <w:bottom w:val="nil"/>
          <w:right w:val="nil"/>
          <w:between w:val="nil"/>
        </w:pBdr>
        <w:spacing w:after="0"/>
      </w:pPr>
      <w:r>
        <w:rPr>
          <w:color w:val="000000"/>
        </w:rPr>
        <w:t>Reproduction of pre-recorded sound and video tapes and discs, see ISIC Code - 1820</w:t>
      </w:r>
    </w:p>
    <w:p w14:paraId="00000540" w14:textId="0F2A99E0" w:rsidR="00F8269C" w:rsidRDefault="00450D2D">
      <w:pPr>
        <w:numPr>
          <w:ilvl w:val="0"/>
          <w:numId w:val="17"/>
        </w:numPr>
        <w:pBdr>
          <w:top w:val="nil"/>
          <w:left w:val="nil"/>
          <w:bottom w:val="nil"/>
          <w:right w:val="nil"/>
          <w:between w:val="nil"/>
        </w:pBdr>
        <w:spacing w:after="0"/>
      </w:pPr>
      <w:r>
        <w:rPr>
          <w:color w:val="000000"/>
        </w:rPr>
        <w:t>Manufacture of microphones, amplifiers, loudspeakers, headphones and similar components, see ISIC Code - 2640</w:t>
      </w:r>
    </w:p>
    <w:p w14:paraId="00000541" w14:textId="705DE2D7" w:rsidR="00F8269C" w:rsidRDefault="00450D2D">
      <w:pPr>
        <w:numPr>
          <w:ilvl w:val="0"/>
          <w:numId w:val="17"/>
        </w:numPr>
        <w:pBdr>
          <w:top w:val="nil"/>
          <w:left w:val="nil"/>
          <w:bottom w:val="nil"/>
          <w:right w:val="nil"/>
          <w:between w:val="nil"/>
        </w:pBdr>
        <w:spacing w:after="0"/>
      </w:pPr>
      <w:r>
        <w:rPr>
          <w:color w:val="000000"/>
        </w:rPr>
        <w:t>Manufacture of record players, tape recorders and the like, see ISIC Code - 2640</w:t>
      </w:r>
    </w:p>
    <w:p w14:paraId="00000542" w14:textId="5CD44259" w:rsidR="00F8269C" w:rsidRDefault="00450D2D">
      <w:pPr>
        <w:numPr>
          <w:ilvl w:val="0"/>
          <w:numId w:val="17"/>
        </w:numPr>
        <w:pBdr>
          <w:top w:val="nil"/>
          <w:left w:val="nil"/>
          <w:bottom w:val="nil"/>
          <w:right w:val="nil"/>
          <w:between w:val="nil"/>
        </w:pBdr>
        <w:spacing w:after="0"/>
      </w:pPr>
      <w:r>
        <w:rPr>
          <w:color w:val="000000"/>
        </w:rPr>
        <w:t>Manufacture of toy musical instruments, see ISIC Code - 3240</w:t>
      </w:r>
    </w:p>
    <w:p w14:paraId="00000543" w14:textId="56022E11" w:rsidR="00F8269C" w:rsidRDefault="00450D2D">
      <w:pPr>
        <w:numPr>
          <w:ilvl w:val="0"/>
          <w:numId w:val="17"/>
        </w:numPr>
        <w:pBdr>
          <w:top w:val="nil"/>
          <w:left w:val="nil"/>
          <w:bottom w:val="nil"/>
          <w:right w:val="nil"/>
          <w:between w:val="nil"/>
        </w:pBdr>
        <w:spacing w:after="0"/>
      </w:pPr>
      <w:r>
        <w:rPr>
          <w:color w:val="000000"/>
        </w:rPr>
        <w:t>Restoring of organs and other historic musical instruments, see ISIC Code - 3319</w:t>
      </w:r>
    </w:p>
    <w:p w14:paraId="00000544" w14:textId="2CAE24EF" w:rsidR="00F8269C" w:rsidRDefault="00450D2D">
      <w:pPr>
        <w:numPr>
          <w:ilvl w:val="0"/>
          <w:numId w:val="17"/>
        </w:numPr>
        <w:pBdr>
          <w:top w:val="nil"/>
          <w:left w:val="nil"/>
          <w:bottom w:val="nil"/>
          <w:right w:val="nil"/>
          <w:between w:val="nil"/>
        </w:pBdr>
        <w:spacing w:after="0"/>
      </w:pPr>
      <w:r>
        <w:rPr>
          <w:color w:val="000000"/>
        </w:rPr>
        <w:t>Publishing of pre-recorded sound and video tapes and discs, see ISIC Code - 5920</w:t>
      </w:r>
    </w:p>
    <w:p w14:paraId="00000545" w14:textId="2FCBA7BD" w:rsidR="00F8269C" w:rsidRDefault="00450D2D">
      <w:pPr>
        <w:numPr>
          <w:ilvl w:val="0"/>
          <w:numId w:val="17"/>
        </w:numPr>
        <w:pBdr>
          <w:top w:val="nil"/>
          <w:left w:val="nil"/>
          <w:bottom w:val="nil"/>
          <w:right w:val="nil"/>
          <w:between w:val="nil"/>
        </w:pBdr>
      </w:pPr>
      <w:r>
        <w:rPr>
          <w:color w:val="000000"/>
        </w:rPr>
        <w:t>Piano tuning, see ISIC Code - 9529</w:t>
      </w:r>
    </w:p>
    <w:p w14:paraId="00000546" w14:textId="32EEB901" w:rsidR="00F8269C" w:rsidRDefault="00450D2D">
      <w:pPr>
        <w:pStyle w:val="Heading4"/>
      </w:pPr>
      <w:bookmarkStart w:id="308" w:name="_Toc90191934"/>
      <w:bookmarkStart w:id="309" w:name="_Toc93842855"/>
      <w:bookmarkStart w:id="310" w:name="_Toc93843041"/>
      <w:r>
        <w:t>ISIC Code 5920 - Sound Recording and Music Publishing Activities</w:t>
      </w:r>
      <w:bookmarkEnd w:id="308"/>
      <w:bookmarkEnd w:id="309"/>
      <w:bookmarkEnd w:id="310"/>
    </w:p>
    <w:p w14:paraId="00000547" w14:textId="0B3C2FD0" w:rsidR="00F8269C" w:rsidRDefault="00450D2D">
      <w:pPr>
        <w:pStyle w:val="Heading4"/>
      </w:pPr>
      <w:bookmarkStart w:id="311" w:name="_Toc90191935"/>
      <w:bookmarkStart w:id="312" w:name="_Toc93842856"/>
      <w:bookmarkStart w:id="313" w:name="_Toc93843042"/>
      <w:r>
        <w:t>Inclusions</w:t>
      </w:r>
      <w:bookmarkEnd w:id="311"/>
      <w:bookmarkEnd w:id="312"/>
      <w:bookmarkEnd w:id="313"/>
    </w:p>
    <w:p w14:paraId="00000548" w14:textId="1F02E6E0" w:rsidR="00F8269C" w:rsidRDefault="00450D2D">
      <w:r>
        <w:t>This class includes:</w:t>
      </w:r>
    </w:p>
    <w:p w14:paraId="00000549" w14:textId="4D5FEE93" w:rsidR="00F8269C" w:rsidRDefault="00450D2D">
      <w:pPr>
        <w:numPr>
          <w:ilvl w:val="0"/>
          <w:numId w:val="17"/>
        </w:numPr>
        <w:pBdr>
          <w:top w:val="nil"/>
          <w:left w:val="nil"/>
          <w:bottom w:val="nil"/>
          <w:right w:val="nil"/>
          <w:between w:val="nil"/>
        </w:pBdr>
        <w:spacing w:after="0"/>
      </w:pPr>
      <w:r>
        <w:rPr>
          <w:color w:val="000000"/>
        </w:rPr>
        <w:t>Production of original (sound) master recordings, such as tapes, CDs</w:t>
      </w:r>
    </w:p>
    <w:p w14:paraId="0000054A" w14:textId="74505704" w:rsidR="00F8269C" w:rsidRDefault="00450D2D" w:rsidP="009D3DA2">
      <w:pPr>
        <w:numPr>
          <w:ilvl w:val="0"/>
          <w:numId w:val="17"/>
        </w:numPr>
        <w:pBdr>
          <w:top w:val="nil"/>
          <w:left w:val="nil"/>
          <w:bottom w:val="nil"/>
          <w:right w:val="nil"/>
          <w:between w:val="nil"/>
        </w:pBdr>
        <w:spacing w:after="0"/>
        <w:ind w:left="714" w:hanging="357"/>
      </w:pPr>
      <w:r>
        <w:rPr>
          <w:color w:val="000000"/>
        </w:rPr>
        <w:t>Sound recording service activities in a studio or elsewhere, including the production of taped (i.e. non-live) radio programming, audio for film, television etc.</w:t>
      </w:r>
    </w:p>
    <w:p w14:paraId="0000054B" w14:textId="49271795" w:rsidR="00F8269C" w:rsidRDefault="00450D2D">
      <w:pPr>
        <w:numPr>
          <w:ilvl w:val="0"/>
          <w:numId w:val="17"/>
        </w:numPr>
        <w:pBdr>
          <w:top w:val="nil"/>
          <w:left w:val="nil"/>
          <w:bottom w:val="nil"/>
          <w:right w:val="nil"/>
          <w:between w:val="nil"/>
        </w:pBdr>
        <w:spacing w:after="0"/>
      </w:pPr>
      <w:r>
        <w:rPr>
          <w:color w:val="000000"/>
        </w:rPr>
        <w:t>Music publishing, i.e. activities of:</w:t>
      </w:r>
    </w:p>
    <w:p w14:paraId="0000054C" w14:textId="7BC094F4" w:rsidR="00F8269C" w:rsidRDefault="00450D2D" w:rsidP="009D3DA2">
      <w:pPr>
        <w:numPr>
          <w:ilvl w:val="1"/>
          <w:numId w:val="21"/>
        </w:numPr>
        <w:pBdr>
          <w:top w:val="nil"/>
          <w:left w:val="nil"/>
          <w:bottom w:val="nil"/>
          <w:right w:val="nil"/>
          <w:between w:val="nil"/>
        </w:pBdr>
        <w:spacing w:after="0"/>
        <w:ind w:left="1077" w:hanging="357"/>
      </w:pPr>
      <w:r>
        <w:rPr>
          <w:color w:val="000000"/>
        </w:rPr>
        <w:t>Acquiring and registering copyrights for musical compositions</w:t>
      </w:r>
    </w:p>
    <w:p w14:paraId="0000054D" w14:textId="261F4F13" w:rsidR="00F8269C" w:rsidRDefault="00450D2D" w:rsidP="009D3DA2">
      <w:pPr>
        <w:numPr>
          <w:ilvl w:val="1"/>
          <w:numId w:val="21"/>
        </w:numPr>
        <w:pBdr>
          <w:top w:val="nil"/>
          <w:left w:val="nil"/>
          <w:bottom w:val="nil"/>
          <w:right w:val="nil"/>
          <w:between w:val="nil"/>
        </w:pBdr>
        <w:spacing w:after="0"/>
        <w:ind w:left="1077" w:hanging="357"/>
      </w:pPr>
      <w:r>
        <w:rPr>
          <w:color w:val="000000"/>
        </w:rPr>
        <w:t>Promoting, authori</w:t>
      </w:r>
      <w:r w:rsidR="007459BC">
        <w:rPr>
          <w:color w:val="000000"/>
        </w:rPr>
        <w:t>s</w:t>
      </w:r>
      <w:r>
        <w:rPr>
          <w:color w:val="000000"/>
        </w:rPr>
        <w:t>ing and using these compositions in recordings, radio, television, motion pictures, live performances, print and other media</w:t>
      </w:r>
    </w:p>
    <w:p w14:paraId="0000054E" w14:textId="1A295E40" w:rsidR="00F8269C" w:rsidRDefault="00450D2D" w:rsidP="009D3DA2">
      <w:pPr>
        <w:numPr>
          <w:ilvl w:val="1"/>
          <w:numId w:val="21"/>
        </w:numPr>
        <w:pBdr>
          <w:top w:val="nil"/>
          <w:left w:val="nil"/>
          <w:bottom w:val="nil"/>
          <w:right w:val="nil"/>
          <w:between w:val="nil"/>
        </w:pBdr>
        <w:ind w:left="1077" w:hanging="357"/>
      </w:pPr>
      <w:r>
        <w:rPr>
          <w:color w:val="000000"/>
        </w:rPr>
        <w:t>Distributing sound recordings to wholesalers, retailers or directly to the public</w:t>
      </w:r>
      <w:r w:rsidR="00FA19EF">
        <w:rPr>
          <w:color w:val="000000"/>
        </w:rPr>
        <w:t>.</w:t>
      </w:r>
    </w:p>
    <w:p w14:paraId="0000054F" w14:textId="401188A1" w:rsidR="00F8269C" w:rsidRDefault="00450D2D">
      <w:r>
        <w:t>Units engaged in these activities may own the copyright or act as administrator of the music copyrights on behalf of the copyright owners.</w:t>
      </w:r>
    </w:p>
    <w:p w14:paraId="00000550" w14:textId="7BB357FC" w:rsidR="00F8269C" w:rsidRDefault="00450D2D">
      <w:pPr>
        <w:numPr>
          <w:ilvl w:val="0"/>
          <w:numId w:val="17"/>
        </w:numPr>
        <w:pBdr>
          <w:top w:val="nil"/>
          <w:left w:val="nil"/>
          <w:bottom w:val="nil"/>
          <w:right w:val="nil"/>
          <w:between w:val="nil"/>
        </w:pBdr>
      </w:pPr>
      <w:r>
        <w:rPr>
          <w:color w:val="000000"/>
        </w:rPr>
        <w:t>Publishing of music and sheet books</w:t>
      </w:r>
      <w:r w:rsidR="00FA19EF">
        <w:rPr>
          <w:color w:val="000000"/>
        </w:rPr>
        <w:t>.</w:t>
      </w:r>
    </w:p>
    <w:p w14:paraId="00000551" w14:textId="2A435409" w:rsidR="00F8269C" w:rsidRDefault="00450D2D">
      <w:pPr>
        <w:pStyle w:val="Heading4"/>
      </w:pPr>
      <w:bookmarkStart w:id="314" w:name="_Toc90191936"/>
      <w:bookmarkStart w:id="315" w:name="_Toc93842857"/>
      <w:bookmarkStart w:id="316" w:name="_Toc93843043"/>
      <w:r>
        <w:t>Exclusions</w:t>
      </w:r>
      <w:bookmarkEnd w:id="314"/>
      <w:bookmarkEnd w:id="315"/>
      <w:bookmarkEnd w:id="316"/>
    </w:p>
    <w:p w14:paraId="00000552" w14:textId="73FBAFEA" w:rsidR="00F8269C" w:rsidRDefault="00450D2D">
      <w:r>
        <w:t>This class excludes:</w:t>
      </w:r>
    </w:p>
    <w:p w14:paraId="00000553" w14:textId="19988B43" w:rsidR="00F8269C" w:rsidRDefault="00450D2D">
      <w:pPr>
        <w:numPr>
          <w:ilvl w:val="0"/>
          <w:numId w:val="17"/>
        </w:numPr>
        <w:pBdr>
          <w:top w:val="nil"/>
          <w:left w:val="nil"/>
          <w:bottom w:val="nil"/>
          <w:right w:val="nil"/>
          <w:between w:val="nil"/>
        </w:pBdr>
        <w:spacing w:after="0"/>
      </w:pPr>
      <w:r>
        <w:rPr>
          <w:color w:val="000000"/>
        </w:rPr>
        <w:t>Reproduction from master copies of music or other sound recordings, see ISIC Code - 1820</w:t>
      </w:r>
    </w:p>
    <w:p w14:paraId="00000554" w14:textId="0C234882" w:rsidR="00F8269C" w:rsidRDefault="00450D2D">
      <w:pPr>
        <w:numPr>
          <w:ilvl w:val="0"/>
          <w:numId w:val="17"/>
        </w:numPr>
        <w:pBdr>
          <w:top w:val="nil"/>
          <w:left w:val="nil"/>
          <w:bottom w:val="nil"/>
          <w:right w:val="nil"/>
          <w:between w:val="nil"/>
        </w:pBdr>
      </w:pPr>
      <w:r>
        <w:rPr>
          <w:color w:val="000000"/>
        </w:rPr>
        <w:t>Wholesale of recorded audio tapes and disks, see ISIC Code - 4649</w:t>
      </w:r>
    </w:p>
    <w:p w14:paraId="00000555" w14:textId="40A15B6C" w:rsidR="00F8269C" w:rsidRDefault="00450D2D">
      <w:pPr>
        <w:pStyle w:val="Heading4"/>
      </w:pPr>
      <w:bookmarkStart w:id="317" w:name="_Toc90191937"/>
      <w:bookmarkStart w:id="318" w:name="_Toc93842858"/>
      <w:bookmarkStart w:id="319" w:name="_Toc93843044"/>
      <w:r>
        <w:t xml:space="preserve">ISIC Code 4762 - Retail Sale of Music and Video Recordings </w:t>
      </w:r>
      <w:r w:rsidR="00FA19EF">
        <w:t xml:space="preserve">in </w:t>
      </w:r>
      <w:r>
        <w:t>Speciali</w:t>
      </w:r>
      <w:r w:rsidR="00B83450">
        <w:t>s</w:t>
      </w:r>
      <w:r>
        <w:t>ed Stores</w:t>
      </w:r>
      <w:bookmarkEnd w:id="317"/>
      <w:bookmarkEnd w:id="318"/>
      <w:bookmarkEnd w:id="319"/>
    </w:p>
    <w:p w14:paraId="00000556" w14:textId="093D20EB" w:rsidR="00F8269C" w:rsidRDefault="00450D2D">
      <w:pPr>
        <w:pStyle w:val="Heading4"/>
      </w:pPr>
      <w:bookmarkStart w:id="320" w:name="_Toc90191938"/>
      <w:bookmarkStart w:id="321" w:name="_Toc93842859"/>
      <w:bookmarkStart w:id="322" w:name="_Toc93843045"/>
      <w:r>
        <w:t>Inclusions</w:t>
      </w:r>
      <w:bookmarkEnd w:id="320"/>
      <w:bookmarkEnd w:id="321"/>
      <w:bookmarkEnd w:id="322"/>
    </w:p>
    <w:p w14:paraId="00000557" w14:textId="09249351" w:rsidR="00F8269C" w:rsidRDefault="00450D2D">
      <w:r>
        <w:t>This class includes:</w:t>
      </w:r>
    </w:p>
    <w:p w14:paraId="00000558" w14:textId="5B3449E4" w:rsidR="00F8269C" w:rsidRDefault="00450D2D">
      <w:pPr>
        <w:numPr>
          <w:ilvl w:val="0"/>
          <w:numId w:val="17"/>
        </w:numPr>
        <w:pBdr>
          <w:top w:val="nil"/>
          <w:left w:val="nil"/>
          <w:bottom w:val="nil"/>
          <w:right w:val="nil"/>
          <w:between w:val="nil"/>
        </w:pBdr>
        <w:spacing w:after="0"/>
      </w:pPr>
      <w:r>
        <w:rPr>
          <w:color w:val="000000"/>
        </w:rPr>
        <w:t>Retail sale of musical records, audio tapes, compact discs and cassettes</w:t>
      </w:r>
    </w:p>
    <w:p w14:paraId="00000559" w14:textId="000383E7" w:rsidR="00F8269C" w:rsidRDefault="00450D2D">
      <w:pPr>
        <w:numPr>
          <w:ilvl w:val="0"/>
          <w:numId w:val="17"/>
        </w:numPr>
        <w:pBdr>
          <w:top w:val="nil"/>
          <w:left w:val="nil"/>
          <w:bottom w:val="nil"/>
          <w:right w:val="nil"/>
          <w:between w:val="nil"/>
        </w:pBdr>
        <w:spacing w:after="0"/>
      </w:pPr>
      <w:r>
        <w:rPr>
          <w:color w:val="000000"/>
        </w:rPr>
        <w:lastRenderedPageBreak/>
        <w:t>Retail sale of video tapes and DVDs</w:t>
      </w:r>
    </w:p>
    <w:p w14:paraId="0000055A" w14:textId="21E7E0C1" w:rsidR="00F8269C" w:rsidRDefault="00450D2D">
      <w:pPr>
        <w:numPr>
          <w:ilvl w:val="0"/>
          <w:numId w:val="17"/>
        </w:numPr>
        <w:pBdr>
          <w:top w:val="nil"/>
          <w:left w:val="nil"/>
          <w:bottom w:val="nil"/>
          <w:right w:val="nil"/>
          <w:between w:val="nil"/>
        </w:pBdr>
      </w:pPr>
      <w:r>
        <w:rPr>
          <w:color w:val="000000"/>
        </w:rPr>
        <w:t>Retail sale of blank tapes and discs</w:t>
      </w:r>
    </w:p>
    <w:p w14:paraId="0000055B" w14:textId="57A6098E" w:rsidR="00F8269C" w:rsidRDefault="00450D2D">
      <w:pPr>
        <w:pStyle w:val="Heading4"/>
      </w:pPr>
      <w:bookmarkStart w:id="323" w:name="_Toc90191939"/>
      <w:bookmarkStart w:id="324" w:name="_Toc93842860"/>
      <w:bookmarkStart w:id="325" w:name="_Toc93843046"/>
      <w:r>
        <w:t>ISIC Code 7420 - Photographic Activities</w:t>
      </w:r>
      <w:bookmarkEnd w:id="323"/>
      <w:bookmarkEnd w:id="324"/>
      <w:bookmarkEnd w:id="325"/>
    </w:p>
    <w:p w14:paraId="0000055C" w14:textId="17C97227" w:rsidR="00F8269C" w:rsidRDefault="00450D2D">
      <w:pPr>
        <w:pStyle w:val="Heading4"/>
      </w:pPr>
      <w:bookmarkStart w:id="326" w:name="_Toc90191940"/>
      <w:bookmarkStart w:id="327" w:name="_Toc93842861"/>
      <w:bookmarkStart w:id="328" w:name="_Toc93843047"/>
      <w:r>
        <w:t>Inclusions</w:t>
      </w:r>
      <w:bookmarkEnd w:id="326"/>
      <w:bookmarkEnd w:id="327"/>
      <w:bookmarkEnd w:id="328"/>
    </w:p>
    <w:p w14:paraId="0000055D" w14:textId="262D10FF" w:rsidR="00F8269C" w:rsidRDefault="00450D2D">
      <w:r>
        <w:t>This class includes:</w:t>
      </w:r>
    </w:p>
    <w:p w14:paraId="0000055E" w14:textId="29F1BD69" w:rsidR="00F8269C" w:rsidRDefault="00450D2D">
      <w:pPr>
        <w:numPr>
          <w:ilvl w:val="0"/>
          <w:numId w:val="17"/>
        </w:numPr>
        <w:pBdr>
          <w:top w:val="nil"/>
          <w:left w:val="nil"/>
          <w:bottom w:val="nil"/>
          <w:right w:val="nil"/>
          <w:between w:val="nil"/>
        </w:pBdr>
        <w:spacing w:after="0"/>
      </w:pPr>
      <w:r>
        <w:rPr>
          <w:color w:val="000000"/>
        </w:rPr>
        <w:t>Commercial and consumer photograph production:</w:t>
      </w:r>
    </w:p>
    <w:p w14:paraId="0000055F" w14:textId="39FC3684" w:rsidR="00F8269C" w:rsidRDefault="00450D2D" w:rsidP="00B60FB5">
      <w:pPr>
        <w:numPr>
          <w:ilvl w:val="0"/>
          <w:numId w:val="28"/>
        </w:numPr>
        <w:pBdr>
          <w:top w:val="nil"/>
          <w:left w:val="nil"/>
          <w:bottom w:val="nil"/>
          <w:right w:val="nil"/>
          <w:between w:val="nil"/>
        </w:pBdr>
        <w:spacing w:after="0"/>
        <w:ind w:left="1077" w:hanging="357"/>
      </w:pPr>
      <w:r>
        <w:rPr>
          <w:color w:val="000000"/>
        </w:rPr>
        <w:t>Portrait photography for passports, schools, weddings etc.</w:t>
      </w:r>
    </w:p>
    <w:p w14:paraId="00000560" w14:textId="1BC449D6" w:rsidR="00F8269C" w:rsidRDefault="00450D2D" w:rsidP="00B60FB5">
      <w:pPr>
        <w:numPr>
          <w:ilvl w:val="0"/>
          <w:numId w:val="28"/>
        </w:numPr>
        <w:pBdr>
          <w:top w:val="nil"/>
          <w:left w:val="nil"/>
          <w:bottom w:val="nil"/>
          <w:right w:val="nil"/>
          <w:between w:val="nil"/>
        </w:pBdr>
        <w:spacing w:after="0"/>
        <w:ind w:left="1077" w:hanging="357"/>
      </w:pPr>
      <w:r>
        <w:rPr>
          <w:color w:val="000000"/>
        </w:rPr>
        <w:t>Photography for commercials, publishers, fashion, real estate or tourism purposes</w:t>
      </w:r>
    </w:p>
    <w:p w14:paraId="00000561" w14:textId="54514F16" w:rsidR="00F8269C" w:rsidRDefault="00450D2D" w:rsidP="00B60FB5">
      <w:pPr>
        <w:numPr>
          <w:ilvl w:val="0"/>
          <w:numId w:val="28"/>
        </w:numPr>
        <w:pBdr>
          <w:top w:val="nil"/>
          <w:left w:val="nil"/>
          <w:bottom w:val="nil"/>
          <w:right w:val="nil"/>
          <w:between w:val="nil"/>
        </w:pBdr>
        <w:spacing w:after="0"/>
        <w:ind w:left="1077" w:hanging="357"/>
      </w:pPr>
      <w:r>
        <w:rPr>
          <w:color w:val="000000"/>
        </w:rPr>
        <w:t>Aerial photography</w:t>
      </w:r>
    </w:p>
    <w:p w14:paraId="00000562" w14:textId="4E53EF9C" w:rsidR="00F8269C" w:rsidRDefault="00450D2D" w:rsidP="00B60FB5">
      <w:pPr>
        <w:numPr>
          <w:ilvl w:val="0"/>
          <w:numId w:val="28"/>
        </w:numPr>
        <w:pBdr>
          <w:top w:val="nil"/>
          <w:left w:val="nil"/>
          <w:bottom w:val="nil"/>
          <w:right w:val="nil"/>
          <w:between w:val="nil"/>
        </w:pBdr>
        <w:spacing w:after="0"/>
        <w:ind w:left="1077" w:hanging="357"/>
      </w:pPr>
      <w:r>
        <w:rPr>
          <w:color w:val="000000"/>
        </w:rPr>
        <w:t>Videotaping of events: weddings, meetings etc.</w:t>
      </w:r>
    </w:p>
    <w:p w14:paraId="00000563" w14:textId="051C0DBD" w:rsidR="00F8269C" w:rsidRDefault="00450D2D">
      <w:pPr>
        <w:numPr>
          <w:ilvl w:val="0"/>
          <w:numId w:val="17"/>
        </w:numPr>
        <w:pBdr>
          <w:top w:val="nil"/>
          <w:left w:val="nil"/>
          <w:bottom w:val="nil"/>
          <w:right w:val="nil"/>
          <w:between w:val="nil"/>
        </w:pBdr>
        <w:spacing w:after="0"/>
      </w:pPr>
      <w:r>
        <w:rPr>
          <w:color w:val="000000"/>
        </w:rPr>
        <w:t>Film processing:</w:t>
      </w:r>
    </w:p>
    <w:p w14:paraId="00000564" w14:textId="2047CBE0" w:rsidR="00F8269C" w:rsidRDefault="00450D2D" w:rsidP="004617F0">
      <w:pPr>
        <w:numPr>
          <w:ilvl w:val="0"/>
          <w:numId w:val="29"/>
        </w:numPr>
        <w:pBdr>
          <w:top w:val="nil"/>
          <w:left w:val="nil"/>
          <w:bottom w:val="nil"/>
          <w:right w:val="nil"/>
          <w:between w:val="nil"/>
        </w:pBdr>
        <w:spacing w:after="0"/>
        <w:ind w:left="1077" w:hanging="357"/>
      </w:pPr>
      <w:r>
        <w:rPr>
          <w:color w:val="000000"/>
        </w:rPr>
        <w:t>Developing, printing and enlarging from client-taken negatives or cine-films</w:t>
      </w:r>
    </w:p>
    <w:p w14:paraId="00000565" w14:textId="7D651D66" w:rsidR="00F8269C" w:rsidRDefault="00450D2D" w:rsidP="004617F0">
      <w:pPr>
        <w:numPr>
          <w:ilvl w:val="0"/>
          <w:numId w:val="29"/>
        </w:numPr>
        <w:pBdr>
          <w:top w:val="nil"/>
          <w:left w:val="nil"/>
          <w:bottom w:val="nil"/>
          <w:right w:val="nil"/>
          <w:between w:val="nil"/>
        </w:pBdr>
        <w:spacing w:after="0"/>
        <w:ind w:left="1077" w:hanging="357"/>
      </w:pPr>
      <w:r>
        <w:rPr>
          <w:color w:val="000000"/>
        </w:rPr>
        <w:t>Film developing and photo printing laboratories</w:t>
      </w:r>
    </w:p>
    <w:p w14:paraId="00000566" w14:textId="2B25C7C5" w:rsidR="00F8269C" w:rsidRDefault="00450D2D" w:rsidP="004617F0">
      <w:pPr>
        <w:numPr>
          <w:ilvl w:val="0"/>
          <w:numId w:val="29"/>
        </w:numPr>
        <w:pBdr>
          <w:top w:val="nil"/>
          <w:left w:val="nil"/>
          <w:bottom w:val="nil"/>
          <w:right w:val="nil"/>
          <w:between w:val="nil"/>
        </w:pBdr>
        <w:spacing w:after="0"/>
        <w:ind w:left="1077" w:hanging="357"/>
      </w:pPr>
      <w:r>
        <w:rPr>
          <w:color w:val="000000"/>
        </w:rPr>
        <w:t>One hour photo shops (not part of camera stores)</w:t>
      </w:r>
    </w:p>
    <w:p w14:paraId="00000567" w14:textId="636D91D4" w:rsidR="00F8269C" w:rsidRDefault="00450D2D" w:rsidP="004617F0">
      <w:pPr>
        <w:numPr>
          <w:ilvl w:val="0"/>
          <w:numId w:val="29"/>
        </w:numPr>
        <w:pBdr>
          <w:top w:val="nil"/>
          <w:left w:val="nil"/>
          <w:bottom w:val="nil"/>
          <w:right w:val="nil"/>
          <w:between w:val="nil"/>
        </w:pBdr>
        <w:spacing w:after="0"/>
        <w:ind w:left="1077" w:hanging="357"/>
      </w:pPr>
      <w:r>
        <w:rPr>
          <w:color w:val="000000"/>
        </w:rPr>
        <w:t>Mounting of slides</w:t>
      </w:r>
    </w:p>
    <w:p w14:paraId="00000568" w14:textId="7D8053DE" w:rsidR="00F8269C" w:rsidRDefault="00450D2D" w:rsidP="004617F0">
      <w:pPr>
        <w:numPr>
          <w:ilvl w:val="0"/>
          <w:numId w:val="29"/>
        </w:numPr>
        <w:pBdr>
          <w:top w:val="nil"/>
          <w:left w:val="nil"/>
          <w:bottom w:val="nil"/>
          <w:right w:val="nil"/>
          <w:between w:val="nil"/>
        </w:pBdr>
        <w:spacing w:after="0"/>
        <w:ind w:left="1077" w:hanging="357"/>
      </w:pPr>
      <w:r>
        <w:rPr>
          <w:color w:val="000000"/>
        </w:rPr>
        <w:t>Copying and restoring or transparency retouching in connection with photographs</w:t>
      </w:r>
    </w:p>
    <w:p w14:paraId="00000569" w14:textId="3F1E7465" w:rsidR="00F8269C" w:rsidRDefault="00450D2D">
      <w:pPr>
        <w:numPr>
          <w:ilvl w:val="0"/>
          <w:numId w:val="17"/>
        </w:numPr>
        <w:pBdr>
          <w:top w:val="nil"/>
          <w:left w:val="nil"/>
          <w:bottom w:val="nil"/>
          <w:right w:val="nil"/>
          <w:between w:val="nil"/>
        </w:pBdr>
        <w:spacing w:after="0"/>
      </w:pPr>
      <w:r>
        <w:rPr>
          <w:color w:val="000000"/>
        </w:rPr>
        <w:t>Activities of photojournalists</w:t>
      </w:r>
    </w:p>
    <w:p w14:paraId="0000056A" w14:textId="0E640D34" w:rsidR="00F8269C" w:rsidRDefault="00450D2D">
      <w:pPr>
        <w:numPr>
          <w:ilvl w:val="0"/>
          <w:numId w:val="17"/>
        </w:numPr>
        <w:pBdr>
          <w:top w:val="nil"/>
          <w:left w:val="nil"/>
          <w:bottom w:val="nil"/>
          <w:right w:val="nil"/>
          <w:between w:val="nil"/>
        </w:pBdr>
      </w:pPr>
      <w:r>
        <w:rPr>
          <w:color w:val="000000"/>
        </w:rPr>
        <w:t>Microfilming of documents</w:t>
      </w:r>
    </w:p>
    <w:p w14:paraId="0000056B" w14:textId="2F5B3472" w:rsidR="00F8269C" w:rsidRDefault="00450D2D">
      <w:pPr>
        <w:pStyle w:val="Heading4"/>
      </w:pPr>
      <w:bookmarkStart w:id="329" w:name="_Toc90191941"/>
      <w:bookmarkStart w:id="330" w:name="_Toc93842862"/>
      <w:bookmarkStart w:id="331" w:name="_Toc93843048"/>
      <w:r>
        <w:t>Exclusions</w:t>
      </w:r>
      <w:bookmarkEnd w:id="329"/>
      <w:bookmarkEnd w:id="330"/>
      <w:bookmarkEnd w:id="331"/>
    </w:p>
    <w:p w14:paraId="0000056C" w14:textId="58F7C7DD" w:rsidR="00F8269C" w:rsidRDefault="00450D2D">
      <w:pPr>
        <w:pBdr>
          <w:top w:val="nil"/>
          <w:left w:val="nil"/>
          <w:bottom w:val="nil"/>
          <w:right w:val="nil"/>
          <w:between w:val="nil"/>
        </w:pBdr>
        <w:spacing w:before="120" w:after="120" w:line="276" w:lineRule="auto"/>
        <w:jc w:val="both"/>
        <w:rPr>
          <w:color w:val="000000"/>
        </w:rPr>
      </w:pPr>
      <w:r>
        <w:rPr>
          <w:color w:val="000000"/>
        </w:rPr>
        <w:t>This class excludes:</w:t>
      </w:r>
    </w:p>
    <w:p w14:paraId="0000056D" w14:textId="34BB49F2" w:rsidR="00F8269C" w:rsidRDefault="00450D2D">
      <w:pPr>
        <w:numPr>
          <w:ilvl w:val="0"/>
          <w:numId w:val="17"/>
        </w:numPr>
        <w:pBdr>
          <w:top w:val="nil"/>
          <w:left w:val="nil"/>
          <w:bottom w:val="nil"/>
          <w:right w:val="nil"/>
          <w:between w:val="nil"/>
        </w:pBdr>
        <w:spacing w:after="0"/>
      </w:pPr>
      <w:r>
        <w:rPr>
          <w:color w:val="000000"/>
        </w:rPr>
        <w:t>Processing motion picture film related to the motion picture and television industries, see ISIC Code - 5912</w:t>
      </w:r>
    </w:p>
    <w:p w14:paraId="0000056E" w14:textId="10108888" w:rsidR="00F8269C" w:rsidRDefault="00450D2D">
      <w:pPr>
        <w:numPr>
          <w:ilvl w:val="0"/>
          <w:numId w:val="17"/>
        </w:numPr>
        <w:pBdr>
          <w:top w:val="nil"/>
          <w:left w:val="nil"/>
          <w:bottom w:val="nil"/>
          <w:right w:val="nil"/>
          <w:between w:val="nil"/>
        </w:pBdr>
      </w:pPr>
      <w:r>
        <w:rPr>
          <w:color w:val="000000"/>
        </w:rPr>
        <w:t>Cartographic and spatial information activities, see ISIC Code - 7110</w:t>
      </w:r>
    </w:p>
    <w:p w14:paraId="0000056F" w14:textId="6552850C" w:rsidR="00F8269C" w:rsidRDefault="00450D2D">
      <w:pPr>
        <w:pStyle w:val="Heading4"/>
      </w:pPr>
      <w:bookmarkStart w:id="332" w:name="_Toc90191942"/>
      <w:bookmarkStart w:id="333" w:name="_Toc93842863"/>
      <w:bookmarkStart w:id="334" w:name="_Toc93843049"/>
      <w:r>
        <w:t>ISIC Code 5819 - Other Publishing Activities</w:t>
      </w:r>
      <w:bookmarkEnd w:id="332"/>
      <w:bookmarkEnd w:id="333"/>
      <w:bookmarkEnd w:id="334"/>
    </w:p>
    <w:p w14:paraId="00000570" w14:textId="29C70DAE" w:rsidR="00F8269C" w:rsidRDefault="00450D2D">
      <w:pPr>
        <w:pStyle w:val="Heading4"/>
      </w:pPr>
      <w:bookmarkStart w:id="335" w:name="_Toc90191943"/>
      <w:bookmarkStart w:id="336" w:name="_Toc93842864"/>
      <w:bookmarkStart w:id="337" w:name="_Toc93843050"/>
      <w:r>
        <w:t>Inclusions</w:t>
      </w:r>
      <w:bookmarkEnd w:id="335"/>
      <w:bookmarkEnd w:id="336"/>
      <w:bookmarkEnd w:id="337"/>
    </w:p>
    <w:p w14:paraId="00000571" w14:textId="54648A67" w:rsidR="00F8269C" w:rsidRDefault="00450D2D">
      <w:pPr>
        <w:pBdr>
          <w:top w:val="nil"/>
          <w:left w:val="nil"/>
          <w:bottom w:val="nil"/>
          <w:right w:val="nil"/>
          <w:between w:val="nil"/>
        </w:pBdr>
        <w:spacing w:before="120" w:after="120" w:line="276" w:lineRule="auto"/>
        <w:jc w:val="both"/>
        <w:rPr>
          <w:color w:val="000000"/>
        </w:rPr>
      </w:pPr>
      <w:r>
        <w:rPr>
          <w:color w:val="000000"/>
        </w:rPr>
        <w:t>This class includes:</w:t>
      </w:r>
    </w:p>
    <w:p w14:paraId="00000572" w14:textId="301E621E" w:rsidR="00F8269C" w:rsidRDefault="00450D2D">
      <w:pPr>
        <w:numPr>
          <w:ilvl w:val="0"/>
          <w:numId w:val="17"/>
        </w:numPr>
        <w:pBdr>
          <w:top w:val="nil"/>
          <w:left w:val="nil"/>
          <w:bottom w:val="nil"/>
          <w:right w:val="nil"/>
          <w:between w:val="nil"/>
        </w:pBdr>
        <w:spacing w:after="0"/>
      </w:pPr>
      <w:r>
        <w:rPr>
          <w:color w:val="000000"/>
        </w:rPr>
        <w:t>Publishing (including on</w:t>
      </w:r>
      <w:r w:rsidR="00AD4DFC">
        <w:rPr>
          <w:color w:val="000000"/>
        </w:rPr>
        <w:t>line</w:t>
      </w:r>
      <w:r>
        <w:rPr>
          <w:color w:val="000000"/>
        </w:rPr>
        <w:t>) of:</w:t>
      </w:r>
    </w:p>
    <w:p w14:paraId="00000573" w14:textId="18A6E46E" w:rsidR="00F8269C" w:rsidRDefault="00450D2D" w:rsidP="009D3DA2">
      <w:pPr>
        <w:numPr>
          <w:ilvl w:val="0"/>
          <w:numId w:val="30"/>
        </w:numPr>
        <w:pBdr>
          <w:top w:val="nil"/>
          <w:left w:val="nil"/>
          <w:bottom w:val="nil"/>
          <w:right w:val="nil"/>
          <w:between w:val="nil"/>
        </w:pBdr>
        <w:spacing w:after="0"/>
        <w:ind w:left="1077" w:hanging="357"/>
      </w:pPr>
      <w:r>
        <w:rPr>
          <w:color w:val="000000"/>
        </w:rPr>
        <w:t>Catalogues</w:t>
      </w:r>
    </w:p>
    <w:p w14:paraId="00000574" w14:textId="55960708" w:rsidR="00F8269C" w:rsidRDefault="00450D2D" w:rsidP="009D3DA2">
      <w:pPr>
        <w:numPr>
          <w:ilvl w:val="0"/>
          <w:numId w:val="30"/>
        </w:numPr>
        <w:pBdr>
          <w:top w:val="nil"/>
          <w:left w:val="nil"/>
          <w:bottom w:val="nil"/>
          <w:right w:val="nil"/>
          <w:between w:val="nil"/>
        </w:pBdr>
        <w:spacing w:after="0"/>
        <w:ind w:left="1077" w:hanging="357"/>
      </w:pPr>
      <w:r>
        <w:rPr>
          <w:color w:val="000000"/>
        </w:rPr>
        <w:t>Photos, engravings and postcards</w:t>
      </w:r>
    </w:p>
    <w:p w14:paraId="00000575" w14:textId="7798AB26" w:rsidR="00F8269C" w:rsidRDefault="00450D2D" w:rsidP="009D3DA2">
      <w:pPr>
        <w:numPr>
          <w:ilvl w:val="0"/>
          <w:numId w:val="30"/>
        </w:numPr>
        <w:pBdr>
          <w:top w:val="nil"/>
          <w:left w:val="nil"/>
          <w:bottom w:val="nil"/>
          <w:right w:val="nil"/>
          <w:between w:val="nil"/>
        </w:pBdr>
        <w:spacing w:after="0"/>
        <w:ind w:left="1077" w:hanging="357"/>
      </w:pPr>
      <w:r>
        <w:rPr>
          <w:color w:val="000000"/>
        </w:rPr>
        <w:t>Greeting cards</w:t>
      </w:r>
    </w:p>
    <w:p w14:paraId="00000576" w14:textId="36EACA90" w:rsidR="00F8269C" w:rsidRDefault="00450D2D" w:rsidP="009D3DA2">
      <w:pPr>
        <w:numPr>
          <w:ilvl w:val="0"/>
          <w:numId w:val="30"/>
        </w:numPr>
        <w:pBdr>
          <w:top w:val="nil"/>
          <w:left w:val="nil"/>
          <w:bottom w:val="nil"/>
          <w:right w:val="nil"/>
          <w:between w:val="nil"/>
        </w:pBdr>
        <w:spacing w:after="0"/>
        <w:ind w:left="1077" w:hanging="357"/>
      </w:pPr>
      <w:r>
        <w:rPr>
          <w:color w:val="000000"/>
        </w:rPr>
        <w:t>Forms</w:t>
      </w:r>
    </w:p>
    <w:p w14:paraId="00000577" w14:textId="6869D698" w:rsidR="00F8269C" w:rsidRDefault="00450D2D" w:rsidP="009D3DA2">
      <w:pPr>
        <w:numPr>
          <w:ilvl w:val="0"/>
          <w:numId w:val="30"/>
        </w:numPr>
        <w:pBdr>
          <w:top w:val="nil"/>
          <w:left w:val="nil"/>
          <w:bottom w:val="nil"/>
          <w:right w:val="nil"/>
          <w:between w:val="nil"/>
        </w:pBdr>
        <w:spacing w:after="0"/>
        <w:ind w:left="1077" w:hanging="357"/>
      </w:pPr>
      <w:r>
        <w:rPr>
          <w:color w:val="000000"/>
        </w:rPr>
        <w:t>Posters, reproduction of works of art</w:t>
      </w:r>
    </w:p>
    <w:p w14:paraId="00000578" w14:textId="3F5A6EB8" w:rsidR="00F8269C" w:rsidRDefault="00450D2D" w:rsidP="009D3DA2">
      <w:pPr>
        <w:numPr>
          <w:ilvl w:val="0"/>
          <w:numId w:val="30"/>
        </w:numPr>
        <w:pBdr>
          <w:top w:val="nil"/>
          <w:left w:val="nil"/>
          <w:bottom w:val="nil"/>
          <w:right w:val="nil"/>
          <w:between w:val="nil"/>
        </w:pBdr>
        <w:spacing w:after="0"/>
        <w:ind w:left="1077" w:hanging="357"/>
      </w:pPr>
      <w:r>
        <w:rPr>
          <w:color w:val="000000"/>
        </w:rPr>
        <w:t>Advertising material</w:t>
      </w:r>
    </w:p>
    <w:p w14:paraId="00000579" w14:textId="0B565918" w:rsidR="00F8269C" w:rsidRDefault="00450D2D" w:rsidP="009D3DA2">
      <w:pPr>
        <w:numPr>
          <w:ilvl w:val="0"/>
          <w:numId w:val="30"/>
        </w:numPr>
        <w:pBdr>
          <w:top w:val="nil"/>
          <w:left w:val="nil"/>
          <w:bottom w:val="nil"/>
          <w:right w:val="nil"/>
          <w:between w:val="nil"/>
        </w:pBdr>
        <w:spacing w:after="0"/>
        <w:ind w:left="1077" w:hanging="357"/>
      </w:pPr>
      <w:r>
        <w:rPr>
          <w:color w:val="000000"/>
        </w:rPr>
        <w:t>Other printed matter</w:t>
      </w:r>
    </w:p>
    <w:p w14:paraId="0000057A" w14:textId="0AA4B5CE" w:rsidR="00F8269C" w:rsidRDefault="00450D2D">
      <w:pPr>
        <w:numPr>
          <w:ilvl w:val="0"/>
          <w:numId w:val="17"/>
        </w:numPr>
        <w:pBdr>
          <w:top w:val="nil"/>
          <w:left w:val="nil"/>
          <w:bottom w:val="nil"/>
          <w:right w:val="nil"/>
          <w:between w:val="nil"/>
        </w:pBdr>
      </w:pPr>
      <w:r>
        <w:rPr>
          <w:color w:val="000000"/>
        </w:rPr>
        <w:t>On</w:t>
      </w:r>
      <w:r w:rsidR="00AD4DFC">
        <w:rPr>
          <w:color w:val="000000"/>
        </w:rPr>
        <w:t>line</w:t>
      </w:r>
      <w:r>
        <w:rPr>
          <w:color w:val="000000"/>
        </w:rPr>
        <w:t xml:space="preserve"> publishing of statistics or other information</w:t>
      </w:r>
    </w:p>
    <w:p w14:paraId="0000057B" w14:textId="6BDF4945" w:rsidR="00F8269C" w:rsidRDefault="00450D2D">
      <w:pPr>
        <w:pStyle w:val="Heading4"/>
      </w:pPr>
      <w:bookmarkStart w:id="338" w:name="_Toc90191944"/>
      <w:bookmarkStart w:id="339" w:name="_Toc93842865"/>
      <w:bookmarkStart w:id="340" w:name="_Toc93843051"/>
      <w:r>
        <w:t>Exclusions</w:t>
      </w:r>
      <w:bookmarkEnd w:id="338"/>
      <w:bookmarkEnd w:id="339"/>
      <w:bookmarkEnd w:id="340"/>
    </w:p>
    <w:p w14:paraId="0000057C" w14:textId="700AC710" w:rsidR="00F8269C" w:rsidRDefault="00450D2D">
      <w:pPr>
        <w:pBdr>
          <w:top w:val="nil"/>
          <w:left w:val="nil"/>
          <w:bottom w:val="nil"/>
          <w:right w:val="nil"/>
          <w:between w:val="nil"/>
        </w:pBdr>
        <w:spacing w:before="120" w:after="120" w:line="276" w:lineRule="auto"/>
        <w:jc w:val="both"/>
        <w:rPr>
          <w:color w:val="000000"/>
        </w:rPr>
      </w:pPr>
      <w:r>
        <w:rPr>
          <w:color w:val="000000"/>
        </w:rPr>
        <w:t>This class excludes:</w:t>
      </w:r>
    </w:p>
    <w:p w14:paraId="0000057D" w14:textId="68839956" w:rsidR="00F8269C" w:rsidRDefault="00450D2D">
      <w:pPr>
        <w:numPr>
          <w:ilvl w:val="0"/>
          <w:numId w:val="17"/>
        </w:numPr>
        <w:pBdr>
          <w:top w:val="nil"/>
          <w:left w:val="nil"/>
          <w:bottom w:val="nil"/>
          <w:right w:val="nil"/>
          <w:between w:val="nil"/>
        </w:pBdr>
        <w:spacing w:after="0"/>
      </w:pPr>
      <w:r>
        <w:rPr>
          <w:color w:val="000000"/>
        </w:rPr>
        <w:t>Retail sale of software, see ISIC Code - 4741</w:t>
      </w:r>
    </w:p>
    <w:p w14:paraId="0000057E" w14:textId="1B9E6112" w:rsidR="00F8269C" w:rsidRDefault="00450D2D">
      <w:pPr>
        <w:numPr>
          <w:ilvl w:val="0"/>
          <w:numId w:val="17"/>
        </w:numPr>
        <w:pBdr>
          <w:top w:val="nil"/>
          <w:left w:val="nil"/>
          <w:bottom w:val="nil"/>
          <w:right w:val="nil"/>
          <w:between w:val="nil"/>
        </w:pBdr>
        <w:spacing w:after="0"/>
      </w:pPr>
      <w:r>
        <w:rPr>
          <w:color w:val="000000"/>
        </w:rPr>
        <w:t>Publishing of advertising newspapers, see ISIC Code - 5813</w:t>
      </w:r>
    </w:p>
    <w:p w14:paraId="0000057F" w14:textId="25FEA770" w:rsidR="00F8269C" w:rsidRDefault="00450D2D">
      <w:pPr>
        <w:numPr>
          <w:ilvl w:val="0"/>
          <w:numId w:val="17"/>
        </w:numPr>
        <w:pBdr>
          <w:top w:val="nil"/>
          <w:left w:val="nil"/>
          <w:bottom w:val="nil"/>
          <w:right w:val="nil"/>
          <w:between w:val="nil"/>
        </w:pBdr>
      </w:pPr>
      <w:r>
        <w:rPr>
          <w:color w:val="000000"/>
        </w:rPr>
        <w:t>On</w:t>
      </w:r>
      <w:r w:rsidR="00AD4DFC">
        <w:rPr>
          <w:color w:val="000000"/>
        </w:rPr>
        <w:t>line</w:t>
      </w:r>
      <w:r>
        <w:rPr>
          <w:color w:val="000000"/>
        </w:rPr>
        <w:t xml:space="preserve"> provision of software (application hosting and application service provisioning), see ISIC Code - 6311</w:t>
      </w:r>
    </w:p>
    <w:p w14:paraId="00000580" w14:textId="356A3A7F" w:rsidR="00F8269C" w:rsidRDefault="00450D2D">
      <w:pPr>
        <w:pStyle w:val="Heading4"/>
      </w:pPr>
      <w:bookmarkStart w:id="341" w:name="_Toc90191945"/>
      <w:bookmarkStart w:id="342" w:name="_Toc93842866"/>
      <w:bookmarkStart w:id="343" w:name="_Toc93843052"/>
      <w:r>
        <w:t>ISIC Code 3211 - Manufacture of Jewellery and Related Articles</w:t>
      </w:r>
      <w:bookmarkEnd w:id="341"/>
      <w:bookmarkEnd w:id="342"/>
      <w:bookmarkEnd w:id="343"/>
    </w:p>
    <w:p w14:paraId="00000581" w14:textId="4752E690" w:rsidR="00F8269C" w:rsidRDefault="00450D2D">
      <w:pPr>
        <w:pStyle w:val="Heading4"/>
      </w:pPr>
      <w:bookmarkStart w:id="344" w:name="_Toc90191946"/>
      <w:bookmarkStart w:id="345" w:name="_Toc93842867"/>
      <w:bookmarkStart w:id="346" w:name="_Toc93843053"/>
      <w:r>
        <w:t>Inclusions</w:t>
      </w:r>
      <w:bookmarkEnd w:id="344"/>
      <w:bookmarkEnd w:id="345"/>
      <w:bookmarkEnd w:id="346"/>
    </w:p>
    <w:p w14:paraId="00000582" w14:textId="526406A4" w:rsidR="00F8269C" w:rsidRDefault="00450D2D">
      <w:r>
        <w:t>This class includes:</w:t>
      </w:r>
    </w:p>
    <w:p w14:paraId="00000583" w14:textId="625FA3BB" w:rsidR="00F8269C" w:rsidRDefault="00450D2D">
      <w:pPr>
        <w:numPr>
          <w:ilvl w:val="0"/>
          <w:numId w:val="17"/>
        </w:numPr>
        <w:pBdr>
          <w:top w:val="nil"/>
          <w:left w:val="nil"/>
          <w:bottom w:val="nil"/>
          <w:right w:val="nil"/>
          <w:between w:val="nil"/>
        </w:pBdr>
        <w:spacing w:after="0"/>
      </w:pPr>
      <w:r>
        <w:rPr>
          <w:color w:val="000000"/>
        </w:rPr>
        <w:t>Production of worked pearls</w:t>
      </w:r>
    </w:p>
    <w:p w14:paraId="00000584" w14:textId="0A193B31" w:rsidR="00F8269C" w:rsidRDefault="00450D2D" w:rsidP="00F56D42">
      <w:pPr>
        <w:numPr>
          <w:ilvl w:val="0"/>
          <w:numId w:val="17"/>
        </w:numPr>
        <w:pBdr>
          <w:top w:val="nil"/>
          <w:left w:val="nil"/>
          <w:bottom w:val="nil"/>
          <w:right w:val="nil"/>
          <w:between w:val="nil"/>
        </w:pBdr>
        <w:spacing w:after="0"/>
      </w:pPr>
      <w:r>
        <w:rPr>
          <w:color w:val="000000"/>
        </w:rPr>
        <w:t>Production of precious and semi-precious stones in the worked state, including the working of industrial quality stones and synthetic or reconstructed precious or semi-precious stones</w:t>
      </w:r>
    </w:p>
    <w:p w14:paraId="00000585" w14:textId="05007CC1" w:rsidR="00F8269C" w:rsidRDefault="00450D2D" w:rsidP="00F56D42">
      <w:pPr>
        <w:numPr>
          <w:ilvl w:val="0"/>
          <w:numId w:val="17"/>
        </w:numPr>
        <w:pBdr>
          <w:top w:val="nil"/>
          <w:left w:val="nil"/>
          <w:bottom w:val="nil"/>
          <w:right w:val="nil"/>
          <w:between w:val="nil"/>
        </w:pBdr>
        <w:spacing w:after="0"/>
      </w:pPr>
      <w:r>
        <w:rPr>
          <w:color w:val="000000"/>
        </w:rPr>
        <w:t>Working of diamonds</w:t>
      </w:r>
    </w:p>
    <w:p w14:paraId="00000586" w14:textId="7EBEA332" w:rsidR="00F8269C" w:rsidRDefault="00450D2D" w:rsidP="00F56D42">
      <w:pPr>
        <w:numPr>
          <w:ilvl w:val="0"/>
          <w:numId w:val="17"/>
        </w:numPr>
        <w:pBdr>
          <w:top w:val="nil"/>
          <w:left w:val="nil"/>
          <w:bottom w:val="nil"/>
          <w:right w:val="nil"/>
          <w:between w:val="nil"/>
        </w:pBdr>
        <w:spacing w:after="0"/>
      </w:pPr>
      <w:r>
        <w:rPr>
          <w:color w:val="000000"/>
        </w:rPr>
        <w:lastRenderedPageBreak/>
        <w:t>Manufacture of jewellery of precious metal or of base metals clad with precious metals, or precious or semi-precious stones, or of combinations of precious metal and precious or semi-precious stones or of other materials</w:t>
      </w:r>
    </w:p>
    <w:p w14:paraId="00000587" w14:textId="7287A002" w:rsidR="00F8269C" w:rsidRDefault="00450D2D" w:rsidP="00F56D42">
      <w:pPr>
        <w:numPr>
          <w:ilvl w:val="0"/>
          <w:numId w:val="17"/>
        </w:numPr>
        <w:pBdr>
          <w:top w:val="nil"/>
          <w:left w:val="nil"/>
          <w:bottom w:val="nil"/>
          <w:right w:val="nil"/>
          <w:between w:val="nil"/>
        </w:pBdr>
        <w:spacing w:after="0"/>
      </w:pPr>
      <w:r>
        <w:rPr>
          <w:color w:val="000000"/>
        </w:rPr>
        <w:t>Manufacture of goldsmiths' articles of precious metals or of base metals clad with precious metals:</w:t>
      </w:r>
    </w:p>
    <w:p w14:paraId="00000588" w14:textId="58126DD4" w:rsidR="00F8269C" w:rsidRDefault="00450D2D" w:rsidP="00F56D42">
      <w:pPr>
        <w:numPr>
          <w:ilvl w:val="0"/>
          <w:numId w:val="17"/>
        </w:numPr>
        <w:pBdr>
          <w:top w:val="nil"/>
          <w:left w:val="nil"/>
          <w:bottom w:val="nil"/>
          <w:right w:val="nil"/>
          <w:between w:val="nil"/>
        </w:pBdr>
        <w:spacing w:after="0"/>
      </w:pPr>
      <w:r>
        <w:rPr>
          <w:color w:val="000000"/>
        </w:rPr>
        <w:t>Dinnerware, flatware, hollowware, toilet articles, office or desk articles, articles for religious use etc.</w:t>
      </w:r>
    </w:p>
    <w:p w14:paraId="00000589" w14:textId="560C36A8" w:rsidR="00F8269C" w:rsidRDefault="00450D2D" w:rsidP="00F56D42">
      <w:pPr>
        <w:numPr>
          <w:ilvl w:val="0"/>
          <w:numId w:val="17"/>
        </w:numPr>
        <w:pBdr>
          <w:top w:val="nil"/>
          <w:left w:val="nil"/>
          <w:bottom w:val="nil"/>
          <w:right w:val="nil"/>
          <w:between w:val="nil"/>
        </w:pBdr>
        <w:spacing w:after="0"/>
      </w:pPr>
      <w:r>
        <w:rPr>
          <w:color w:val="000000"/>
        </w:rPr>
        <w:t>Manufacture of technical or laboratory articles of precious metal (except instruments and parts thereof): crucibles, spatulas, electroplating anodes etc.</w:t>
      </w:r>
    </w:p>
    <w:p w14:paraId="0000058A" w14:textId="2D99A04D" w:rsidR="00F8269C" w:rsidRDefault="00450D2D" w:rsidP="00F56D42">
      <w:pPr>
        <w:numPr>
          <w:ilvl w:val="0"/>
          <w:numId w:val="17"/>
        </w:numPr>
        <w:pBdr>
          <w:top w:val="nil"/>
          <w:left w:val="nil"/>
          <w:bottom w:val="nil"/>
          <w:right w:val="nil"/>
          <w:between w:val="nil"/>
        </w:pBdr>
        <w:spacing w:after="0"/>
      </w:pPr>
      <w:r>
        <w:rPr>
          <w:color w:val="000000"/>
        </w:rPr>
        <w:t>Manufacture of precious metal watch bands, wristbands, watch straps and cigarette cases</w:t>
      </w:r>
    </w:p>
    <w:p w14:paraId="0000058B" w14:textId="79A77892" w:rsidR="00F8269C" w:rsidRDefault="00450D2D" w:rsidP="00F56D42">
      <w:pPr>
        <w:numPr>
          <w:ilvl w:val="0"/>
          <w:numId w:val="17"/>
        </w:numPr>
        <w:pBdr>
          <w:top w:val="nil"/>
          <w:left w:val="nil"/>
          <w:bottom w:val="nil"/>
          <w:right w:val="nil"/>
          <w:between w:val="nil"/>
        </w:pBdr>
        <w:spacing w:after="0"/>
      </w:pPr>
      <w:r>
        <w:rPr>
          <w:color w:val="000000"/>
        </w:rPr>
        <w:t>Manufacture of coins, including coins for use as legal tender, whether or not of precious metal</w:t>
      </w:r>
    </w:p>
    <w:p w14:paraId="0000058C" w14:textId="28C967A3" w:rsidR="00F8269C" w:rsidRDefault="00450D2D" w:rsidP="00F56D42">
      <w:pPr>
        <w:numPr>
          <w:ilvl w:val="0"/>
          <w:numId w:val="17"/>
        </w:numPr>
        <w:pBdr>
          <w:top w:val="nil"/>
          <w:left w:val="nil"/>
          <w:bottom w:val="nil"/>
          <w:right w:val="nil"/>
          <w:between w:val="nil"/>
        </w:pBdr>
      </w:pPr>
      <w:r>
        <w:rPr>
          <w:color w:val="000000"/>
        </w:rPr>
        <w:t>Engraving of personal precious and non-precious metal products</w:t>
      </w:r>
    </w:p>
    <w:p w14:paraId="0000058D" w14:textId="51998F96" w:rsidR="00F8269C" w:rsidRDefault="00450D2D">
      <w:pPr>
        <w:pStyle w:val="Heading4"/>
      </w:pPr>
      <w:bookmarkStart w:id="347" w:name="_Toc90191947"/>
      <w:bookmarkStart w:id="348" w:name="_Toc93842868"/>
      <w:bookmarkStart w:id="349" w:name="_Toc93843054"/>
      <w:r>
        <w:t>Exclusions</w:t>
      </w:r>
      <w:bookmarkEnd w:id="347"/>
      <w:bookmarkEnd w:id="348"/>
      <w:bookmarkEnd w:id="349"/>
    </w:p>
    <w:p w14:paraId="0000058E" w14:textId="0B265040" w:rsidR="00F8269C" w:rsidRDefault="00450D2D">
      <w:r>
        <w:t>This class excludes:</w:t>
      </w:r>
    </w:p>
    <w:p w14:paraId="0000058F" w14:textId="57E16A29" w:rsidR="00F8269C" w:rsidRDefault="00450D2D">
      <w:pPr>
        <w:numPr>
          <w:ilvl w:val="0"/>
          <w:numId w:val="17"/>
        </w:numPr>
        <w:pBdr>
          <w:top w:val="nil"/>
          <w:left w:val="nil"/>
          <w:bottom w:val="nil"/>
          <w:right w:val="nil"/>
          <w:between w:val="nil"/>
        </w:pBdr>
        <w:spacing w:after="0"/>
      </w:pPr>
      <w:r>
        <w:rPr>
          <w:color w:val="000000"/>
        </w:rPr>
        <w:t>Manufacture of non-metal watch bands (fabric, leather, plastic etc.), see ISIC Code - 1512</w:t>
      </w:r>
    </w:p>
    <w:p w14:paraId="00000590" w14:textId="7DB28899" w:rsidR="00F8269C" w:rsidRDefault="00450D2D">
      <w:pPr>
        <w:numPr>
          <w:ilvl w:val="0"/>
          <w:numId w:val="17"/>
        </w:numPr>
        <w:pBdr>
          <w:top w:val="nil"/>
          <w:left w:val="nil"/>
          <w:bottom w:val="nil"/>
          <w:right w:val="nil"/>
          <w:between w:val="nil"/>
        </w:pBdr>
        <w:spacing w:after="0"/>
      </w:pPr>
      <w:r>
        <w:rPr>
          <w:color w:val="000000"/>
        </w:rPr>
        <w:t>Manufacture of articles of base metal plated with precious metal (except imitation jewellery), see ISIC Code - 25</w:t>
      </w:r>
    </w:p>
    <w:p w14:paraId="00000591" w14:textId="452F5064" w:rsidR="00F8269C" w:rsidRDefault="00450D2D">
      <w:pPr>
        <w:numPr>
          <w:ilvl w:val="0"/>
          <w:numId w:val="17"/>
        </w:numPr>
        <w:pBdr>
          <w:top w:val="nil"/>
          <w:left w:val="nil"/>
          <w:bottom w:val="nil"/>
          <w:right w:val="nil"/>
          <w:between w:val="nil"/>
        </w:pBdr>
        <w:spacing w:after="0"/>
      </w:pPr>
      <w:r>
        <w:rPr>
          <w:color w:val="000000"/>
        </w:rPr>
        <w:t>Manufacture of watchcases, see ISIC Code - 2652</w:t>
      </w:r>
    </w:p>
    <w:p w14:paraId="00000592" w14:textId="432BDB14" w:rsidR="00F8269C" w:rsidRDefault="00450D2D">
      <w:pPr>
        <w:numPr>
          <w:ilvl w:val="0"/>
          <w:numId w:val="17"/>
        </w:numPr>
        <w:pBdr>
          <w:top w:val="nil"/>
          <w:left w:val="nil"/>
          <w:bottom w:val="nil"/>
          <w:right w:val="nil"/>
          <w:between w:val="nil"/>
        </w:pBdr>
      </w:pPr>
      <w:r>
        <w:rPr>
          <w:color w:val="000000"/>
        </w:rPr>
        <w:t>Manufacture of (non-precious) metal watch bands, see ISIC Code - 3212</w:t>
      </w:r>
    </w:p>
    <w:p w14:paraId="00000593" w14:textId="04806470" w:rsidR="00F8269C" w:rsidRDefault="00450D2D">
      <w:pPr>
        <w:pStyle w:val="Heading4"/>
      </w:pPr>
      <w:bookmarkStart w:id="350" w:name="_Toc90191948"/>
      <w:bookmarkStart w:id="351" w:name="_Toc93842869"/>
      <w:bookmarkStart w:id="352" w:name="_Toc93843055"/>
      <w:r>
        <w:t>ISIC Code 7220 - Research and Experimental Development on Social Sciences and Humanities</w:t>
      </w:r>
      <w:bookmarkEnd w:id="350"/>
      <w:bookmarkEnd w:id="351"/>
      <w:bookmarkEnd w:id="352"/>
    </w:p>
    <w:p w14:paraId="00000594" w14:textId="4C99CBD1" w:rsidR="00F8269C" w:rsidRDefault="00450D2D">
      <w:pPr>
        <w:pStyle w:val="Heading4"/>
      </w:pPr>
      <w:bookmarkStart w:id="353" w:name="_Toc90191949"/>
      <w:bookmarkStart w:id="354" w:name="_Toc93842870"/>
      <w:bookmarkStart w:id="355" w:name="_Toc93843056"/>
      <w:r>
        <w:t>Inclusions</w:t>
      </w:r>
      <w:bookmarkEnd w:id="353"/>
      <w:bookmarkEnd w:id="354"/>
      <w:bookmarkEnd w:id="355"/>
    </w:p>
    <w:p w14:paraId="00000595" w14:textId="432CF46E" w:rsidR="00F8269C" w:rsidRDefault="00450D2D">
      <w:r>
        <w:t>This class includes:</w:t>
      </w:r>
    </w:p>
    <w:p w14:paraId="00000596" w14:textId="2EAA0231" w:rsidR="00F8269C" w:rsidRDefault="00450D2D">
      <w:pPr>
        <w:numPr>
          <w:ilvl w:val="0"/>
          <w:numId w:val="17"/>
        </w:numPr>
        <w:pBdr>
          <w:top w:val="nil"/>
          <w:left w:val="nil"/>
          <w:bottom w:val="nil"/>
          <w:right w:val="nil"/>
          <w:between w:val="nil"/>
        </w:pBdr>
        <w:spacing w:after="0"/>
      </w:pPr>
      <w:r>
        <w:rPr>
          <w:color w:val="000000"/>
        </w:rPr>
        <w:t>Research and development on social sciences</w:t>
      </w:r>
    </w:p>
    <w:p w14:paraId="00000597" w14:textId="4B22F0A9" w:rsidR="00F8269C" w:rsidRDefault="00450D2D">
      <w:pPr>
        <w:numPr>
          <w:ilvl w:val="0"/>
          <w:numId w:val="17"/>
        </w:numPr>
        <w:pBdr>
          <w:top w:val="nil"/>
          <w:left w:val="nil"/>
          <w:bottom w:val="nil"/>
          <w:right w:val="nil"/>
          <w:between w:val="nil"/>
        </w:pBdr>
        <w:spacing w:after="0"/>
      </w:pPr>
      <w:r>
        <w:rPr>
          <w:color w:val="000000"/>
        </w:rPr>
        <w:t>Research and development on humanities</w:t>
      </w:r>
    </w:p>
    <w:p w14:paraId="00000598" w14:textId="16775B97" w:rsidR="00F8269C" w:rsidRDefault="00450D2D">
      <w:pPr>
        <w:numPr>
          <w:ilvl w:val="0"/>
          <w:numId w:val="17"/>
        </w:numPr>
        <w:pBdr>
          <w:top w:val="nil"/>
          <w:left w:val="nil"/>
          <w:bottom w:val="nil"/>
          <w:right w:val="nil"/>
          <w:between w:val="nil"/>
        </w:pBdr>
      </w:pPr>
      <w:r>
        <w:rPr>
          <w:color w:val="000000"/>
        </w:rPr>
        <w:t>Interdisciplinary research and development, predominantly on social sciences and humanities</w:t>
      </w:r>
    </w:p>
    <w:p w14:paraId="00000599" w14:textId="7C015B4F" w:rsidR="00F8269C" w:rsidRDefault="00450D2D">
      <w:pPr>
        <w:pStyle w:val="Heading4"/>
      </w:pPr>
      <w:bookmarkStart w:id="356" w:name="_Toc90191950"/>
      <w:bookmarkStart w:id="357" w:name="_Toc93842871"/>
      <w:bookmarkStart w:id="358" w:name="_Toc93843057"/>
      <w:r>
        <w:t>Exclusions</w:t>
      </w:r>
      <w:bookmarkEnd w:id="356"/>
      <w:bookmarkEnd w:id="357"/>
      <w:bookmarkEnd w:id="358"/>
    </w:p>
    <w:p w14:paraId="0000059A" w14:textId="5B18F363" w:rsidR="00F8269C" w:rsidRDefault="00450D2D">
      <w:r>
        <w:t>This class excludes:</w:t>
      </w:r>
    </w:p>
    <w:p w14:paraId="0000059B" w14:textId="673E0962" w:rsidR="00F8269C" w:rsidRDefault="00450D2D">
      <w:pPr>
        <w:numPr>
          <w:ilvl w:val="0"/>
          <w:numId w:val="17"/>
        </w:numPr>
        <w:pBdr>
          <w:top w:val="nil"/>
          <w:left w:val="nil"/>
          <w:bottom w:val="nil"/>
          <w:right w:val="nil"/>
          <w:between w:val="nil"/>
        </w:pBdr>
        <w:spacing w:after="0"/>
      </w:pPr>
      <w:r>
        <w:rPr>
          <w:color w:val="000000"/>
        </w:rPr>
        <w:t>Market research, see ISIC Code - 7320</w:t>
      </w:r>
    </w:p>
    <w:p w14:paraId="0000059C" w14:textId="51FAEE6F" w:rsidR="00F8269C" w:rsidRDefault="00450D2D">
      <w:pPr>
        <w:numPr>
          <w:ilvl w:val="0"/>
          <w:numId w:val="17"/>
        </w:numPr>
        <w:pBdr>
          <w:top w:val="nil"/>
          <w:left w:val="nil"/>
          <w:bottom w:val="nil"/>
          <w:right w:val="nil"/>
          <w:between w:val="nil"/>
        </w:pBdr>
      </w:pPr>
      <w:r>
        <w:rPr>
          <w:color w:val="000000"/>
        </w:rPr>
        <w:t>facture of imitation jewellery, see ISIC Code - 3212</w:t>
      </w:r>
    </w:p>
    <w:p w14:paraId="0000059D" w14:textId="2299FF81" w:rsidR="00F8269C" w:rsidRDefault="00450D2D">
      <w:pPr>
        <w:pStyle w:val="Heading4"/>
      </w:pPr>
      <w:bookmarkStart w:id="359" w:name="_Toc90191951"/>
      <w:bookmarkStart w:id="360" w:name="_Toc93842872"/>
      <w:bookmarkStart w:id="361" w:name="_Toc93843058"/>
      <w:r>
        <w:t>ISIC Code 9101 - Library and Archives Activities</w:t>
      </w:r>
      <w:bookmarkEnd w:id="359"/>
      <w:bookmarkEnd w:id="360"/>
      <w:bookmarkEnd w:id="361"/>
    </w:p>
    <w:p w14:paraId="0000059E" w14:textId="08EBAFEA" w:rsidR="00F8269C" w:rsidRDefault="00450D2D">
      <w:pPr>
        <w:pStyle w:val="Heading4"/>
      </w:pPr>
      <w:bookmarkStart w:id="362" w:name="_Toc90191952"/>
      <w:bookmarkStart w:id="363" w:name="_Toc93842873"/>
      <w:bookmarkStart w:id="364" w:name="_Toc93843059"/>
      <w:r>
        <w:t>Inclusions</w:t>
      </w:r>
      <w:bookmarkEnd w:id="362"/>
      <w:bookmarkEnd w:id="363"/>
      <w:bookmarkEnd w:id="364"/>
    </w:p>
    <w:p w14:paraId="0000059F" w14:textId="54C85263" w:rsidR="00F8269C" w:rsidRDefault="00450D2D">
      <w:r>
        <w:t>This class includes:</w:t>
      </w:r>
    </w:p>
    <w:p w14:paraId="000005A0" w14:textId="240D8A84" w:rsidR="00F8269C" w:rsidRDefault="00450D2D">
      <w:pPr>
        <w:numPr>
          <w:ilvl w:val="0"/>
          <w:numId w:val="17"/>
        </w:numPr>
        <w:pBdr>
          <w:top w:val="nil"/>
          <w:left w:val="nil"/>
          <w:bottom w:val="nil"/>
          <w:right w:val="nil"/>
          <w:between w:val="nil"/>
        </w:pBdr>
        <w:spacing w:after="0"/>
      </w:pPr>
      <w:r>
        <w:rPr>
          <w:color w:val="000000"/>
        </w:rPr>
        <w:t>Documentation and information activities of libraries of all kinds, reading, listening and viewing rooms, public archives providing service to the general public or to a special clientele, such as students, scientists, staff, members as well as operation of government archives:</w:t>
      </w:r>
    </w:p>
    <w:p w14:paraId="000005A1" w14:textId="3687A8AB" w:rsidR="00F8269C" w:rsidRDefault="00450D2D" w:rsidP="009D3DA2">
      <w:pPr>
        <w:numPr>
          <w:ilvl w:val="0"/>
          <w:numId w:val="31"/>
        </w:numPr>
        <w:pBdr>
          <w:top w:val="nil"/>
          <w:left w:val="nil"/>
          <w:bottom w:val="nil"/>
          <w:right w:val="nil"/>
          <w:between w:val="nil"/>
        </w:pBdr>
        <w:spacing w:after="0"/>
        <w:ind w:left="1077" w:hanging="357"/>
      </w:pPr>
      <w:r>
        <w:rPr>
          <w:color w:val="000000"/>
        </w:rPr>
        <w:t>Organi</w:t>
      </w:r>
      <w:r w:rsidR="006D6DB7">
        <w:rPr>
          <w:color w:val="000000"/>
        </w:rPr>
        <w:t>s</w:t>
      </w:r>
      <w:r>
        <w:rPr>
          <w:color w:val="000000"/>
        </w:rPr>
        <w:t>ation of a collection, whether speciali</w:t>
      </w:r>
      <w:r w:rsidR="00B83450">
        <w:rPr>
          <w:color w:val="000000"/>
        </w:rPr>
        <w:t>s</w:t>
      </w:r>
      <w:r>
        <w:rPr>
          <w:color w:val="000000"/>
        </w:rPr>
        <w:t>ed or not</w:t>
      </w:r>
    </w:p>
    <w:p w14:paraId="000005A2" w14:textId="0D5E833D" w:rsidR="00F8269C" w:rsidRDefault="00450D2D" w:rsidP="009D3DA2">
      <w:pPr>
        <w:numPr>
          <w:ilvl w:val="0"/>
          <w:numId w:val="31"/>
        </w:numPr>
        <w:pBdr>
          <w:top w:val="nil"/>
          <w:left w:val="nil"/>
          <w:bottom w:val="nil"/>
          <w:right w:val="nil"/>
          <w:between w:val="nil"/>
        </w:pBdr>
        <w:spacing w:after="0"/>
        <w:ind w:left="1077" w:hanging="357"/>
      </w:pPr>
      <w:r>
        <w:rPr>
          <w:color w:val="000000"/>
        </w:rPr>
        <w:t>Cataloguing collections</w:t>
      </w:r>
    </w:p>
    <w:p w14:paraId="000005A3" w14:textId="7DDD69D6" w:rsidR="00F8269C" w:rsidRDefault="00450D2D" w:rsidP="009D3DA2">
      <w:pPr>
        <w:numPr>
          <w:ilvl w:val="0"/>
          <w:numId w:val="31"/>
        </w:numPr>
        <w:pBdr>
          <w:top w:val="nil"/>
          <w:left w:val="nil"/>
          <w:bottom w:val="nil"/>
          <w:right w:val="nil"/>
          <w:between w:val="nil"/>
        </w:pBdr>
        <w:spacing w:after="0"/>
        <w:ind w:left="1077" w:hanging="357"/>
      </w:pPr>
      <w:r>
        <w:rPr>
          <w:color w:val="000000"/>
        </w:rPr>
        <w:t>Lending and storage of books, maps, periodicals, films, records, tapes, works of art etc.</w:t>
      </w:r>
    </w:p>
    <w:p w14:paraId="000005A4" w14:textId="32323D2A" w:rsidR="00F8269C" w:rsidRDefault="00450D2D" w:rsidP="009D3DA2">
      <w:pPr>
        <w:numPr>
          <w:ilvl w:val="0"/>
          <w:numId w:val="31"/>
        </w:numPr>
        <w:pBdr>
          <w:top w:val="nil"/>
          <w:left w:val="nil"/>
          <w:bottom w:val="nil"/>
          <w:right w:val="nil"/>
          <w:between w:val="nil"/>
        </w:pBdr>
        <w:spacing w:after="0"/>
        <w:ind w:left="1077" w:hanging="357"/>
      </w:pPr>
      <w:r>
        <w:rPr>
          <w:color w:val="000000"/>
        </w:rPr>
        <w:t>Retrieval activities in order to comply with information requests etc.</w:t>
      </w:r>
    </w:p>
    <w:p w14:paraId="000005A5" w14:textId="4C614900" w:rsidR="00F8269C" w:rsidRDefault="00450D2D">
      <w:pPr>
        <w:numPr>
          <w:ilvl w:val="0"/>
          <w:numId w:val="17"/>
        </w:numPr>
        <w:pBdr>
          <w:top w:val="nil"/>
          <w:left w:val="nil"/>
          <w:bottom w:val="nil"/>
          <w:right w:val="nil"/>
          <w:between w:val="nil"/>
        </w:pBdr>
      </w:pPr>
      <w:r>
        <w:rPr>
          <w:color w:val="000000"/>
        </w:rPr>
        <w:t>Stock photo libraries and services</w:t>
      </w:r>
    </w:p>
    <w:p w14:paraId="000005A6" w14:textId="4B3A6F8C" w:rsidR="00F8269C" w:rsidRDefault="00450D2D">
      <w:pPr>
        <w:pStyle w:val="Heading4"/>
      </w:pPr>
      <w:bookmarkStart w:id="365" w:name="_Toc90191953"/>
      <w:bookmarkStart w:id="366" w:name="_Toc93842874"/>
      <w:bookmarkStart w:id="367" w:name="_Toc93843060"/>
      <w:r>
        <w:t>ISIC Code 5811 - Book Publishing</w:t>
      </w:r>
      <w:bookmarkEnd w:id="365"/>
      <w:bookmarkEnd w:id="366"/>
      <w:bookmarkEnd w:id="367"/>
    </w:p>
    <w:p w14:paraId="000005A7" w14:textId="1BD632F1" w:rsidR="00F8269C" w:rsidRDefault="00450D2D">
      <w:pPr>
        <w:pStyle w:val="Heading4"/>
      </w:pPr>
      <w:bookmarkStart w:id="368" w:name="_Toc90191954"/>
      <w:bookmarkStart w:id="369" w:name="_Toc93842875"/>
      <w:bookmarkStart w:id="370" w:name="_Toc93843061"/>
      <w:r>
        <w:t>Inclusions</w:t>
      </w:r>
      <w:bookmarkEnd w:id="368"/>
      <w:bookmarkEnd w:id="369"/>
      <w:bookmarkEnd w:id="370"/>
    </w:p>
    <w:p w14:paraId="000005A8" w14:textId="036CFC4E" w:rsidR="00F8269C" w:rsidRDefault="00450D2D">
      <w:r>
        <w:t>This class includes the activities of publishing books in print, electronic (CD, electronic displays etc.) or audio form or on the Internet.</w:t>
      </w:r>
    </w:p>
    <w:p w14:paraId="000005A9" w14:textId="0717EB05" w:rsidR="00F8269C" w:rsidRDefault="00450D2D">
      <w:r>
        <w:t>This class includes:</w:t>
      </w:r>
    </w:p>
    <w:p w14:paraId="000005AA" w14:textId="3B9FD883" w:rsidR="00F8269C" w:rsidRDefault="00450D2D">
      <w:pPr>
        <w:numPr>
          <w:ilvl w:val="0"/>
          <w:numId w:val="17"/>
        </w:numPr>
        <w:pBdr>
          <w:top w:val="nil"/>
          <w:left w:val="nil"/>
          <w:bottom w:val="nil"/>
          <w:right w:val="nil"/>
          <w:between w:val="nil"/>
        </w:pBdr>
        <w:spacing w:after="0"/>
      </w:pPr>
      <w:r>
        <w:rPr>
          <w:color w:val="000000"/>
        </w:rPr>
        <w:t>Publishing of books, brochures, leaflets and similar publications, including publishing of dictionaries and encyclop</w:t>
      </w:r>
      <w:r w:rsidR="007459BC">
        <w:rPr>
          <w:color w:val="000000"/>
        </w:rPr>
        <w:t>aedias</w:t>
      </w:r>
    </w:p>
    <w:p w14:paraId="000005AB" w14:textId="7E41EE2E" w:rsidR="00F8269C" w:rsidRDefault="00450D2D">
      <w:pPr>
        <w:numPr>
          <w:ilvl w:val="0"/>
          <w:numId w:val="17"/>
        </w:numPr>
        <w:pBdr>
          <w:top w:val="nil"/>
          <w:left w:val="nil"/>
          <w:bottom w:val="nil"/>
          <w:right w:val="nil"/>
          <w:between w:val="nil"/>
        </w:pBdr>
        <w:spacing w:after="0"/>
      </w:pPr>
      <w:r>
        <w:rPr>
          <w:color w:val="000000"/>
        </w:rPr>
        <w:t>Publishing of atlases, maps and charts</w:t>
      </w:r>
    </w:p>
    <w:p w14:paraId="000005AC" w14:textId="425B5DB0" w:rsidR="00F8269C" w:rsidRDefault="00450D2D">
      <w:pPr>
        <w:numPr>
          <w:ilvl w:val="0"/>
          <w:numId w:val="17"/>
        </w:numPr>
        <w:pBdr>
          <w:top w:val="nil"/>
          <w:left w:val="nil"/>
          <w:bottom w:val="nil"/>
          <w:right w:val="nil"/>
          <w:between w:val="nil"/>
        </w:pBdr>
        <w:spacing w:after="0"/>
      </w:pPr>
      <w:r>
        <w:rPr>
          <w:color w:val="000000"/>
        </w:rPr>
        <w:lastRenderedPageBreak/>
        <w:t>Publishing of audio books</w:t>
      </w:r>
    </w:p>
    <w:p w14:paraId="000005AD" w14:textId="4625EFE5" w:rsidR="00F8269C" w:rsidRDefault="00450D2D">
      <w:pPr>
        <w:numPr>
          <w:ilvl w:val="0"/>
          <w:numId w:val="17"/>
        </w:numPr>
        <w:pBdr>
          <w:top w:val="nil"/>
          <w:left w:val="nil"/>
          <w:bottom w:val="nil"/>
          <w:right w:val="nil"/>
          <w:between w:val="nil"/>
        </w:pBdr>
      </w:pPr>
      <w:r>
        <w:rPr>
          <w:color w:val="000000"/>
        </w:rPr>
        <w:t>Publishing of encyclopaedias etc. on CD-ROM</w:t>
      </w:r>
    </w:p>
    <w:p w14:paraId="000005AE" w14:textId="3870FE8E" w:rsidR="00F8269C" w:rsidRDefault="00450D2D">
      <w:pPr>
        <w:pStyle w:val="Heading4"/>
      </w:pPr>
      <w:bookmarkStart w:id="371" w:name="_Toc90191955"/>
      <w:bookmarkStart w:id="372" w:name="_Toc93842876"/>
      <w:bookmarkStart w:id="373" w:name="_Toc93843062"/>
      <w:r>
        <w:t>Exclusions</w:t>
      </w:r>
      <w:bookmarkEnd w:id="371"/>
      <w:bookmarkEnd w:id="372"/>
      <w:bookmarkEnd w:id="373"/>
    </w:p>
    <w:p w14:paraId="000005AF" w14:textId="61E269AC" w:rsidR="00F8269C" w:rsidRDefault="00450D2D">
      <w:r>
        <w:t>This class excludes:</w:t>
      </w:r>
    </w:p>
    <w:p w14:paraId="000005B0" w14:textId="45FCCE64" w:rsidR="00F8269C" w:rsidRDefault="00450D2D">
      <w:pPr>
        <w:numPr>
          <w:ilvl w:val="0"/>
          <w:numId w:val="17"/>
        </w:numPr>
        <w:pBdr>
          <w:top w:val="nil"/>
          <w:left w:val="nil"/>
          <w:bottom w:val="nil"/>
          <w:right w:val="nil"/>
          <w:between w:val="nil"/>
        </w:pBdr>
        <w:spacing w:after="0"/>
      </w:pPr>
      <w:r>
        <w:rPr>
          <w:color w:val="000000"/>
        </w:rPr>
        <w:t>Production of globes, see ISIC Code - 3290</w:t>
      </w:r>
    </w:p>
    <w:p w14:paraId="000005B1" w14:textId="0E86A32E" w:rsidR="00F8269C" w:rsidRDefault="00450D2D">
      <w:pPr>
        <w:numPr>
          <w:ilvl w:val="0"/>
          <w:numId w:val="17"/>
        </w:numPr>
        <w:pBdr>
          <w:top w:val="nil"/>
          <w:left w:val="nil"/>
          <w:bottom w:val="nil"/>
          <w:right w:val="nil"/>
          <w:between w:val="nil"/>
        </w:pBdr>
        <w:spacing w:after="0"/>
      </w:pPr>
      <w:r>
        <w:rPr>
          <w:color w:val="000000"/>
        </w:rPr>
        <w:t>Publishing of advertising material, see ISIC Code - 5819</w:t>
      </w:r>
    </w:p>
    <w:p w14:paraId="000005B2" w14:textId="5E2ECECF" w:rsidR="00F8269C" w:rsidRDefault="00450D2D">
      <w:pPr>
        <w:numPr>
          <w:ilvl w:val="0"/>
          <w:numId w:val="17"/>
        </w:numPr>
        <w:pBdr>
          <w:top w:val="nil"/>
          <w:left w:val="nil"/>
          <w:bottom w:val="nil"/>
          <w:right w:val="nil"/>
          <w:between w:val="nil"/>
        </w:pBdr>
        <w:spacing w:after="0"/>
      </w:pPr>
      <w:r>
        <w:rPr>
          <w:color w:val="000000"/>
        </w:rPr>
        <w:t>Publishing of music and sheet books, see ISIC Code - 5920</w:t>
      </w:r>
    </w:p>
    <w:p w14:paraId="000005B3" w14:textId="44C0D6C2" w:rsidR="00F8269C" w:rsidRDefault="00450D2D">
      <w:pPr>
        <w:numPr>
          <w:ilvl w:val="0"/>
          <w:numId w:val="17"/>
        </w:numPr>
        <w:pBdr>
          <w:top w:val="nil"/>
          <w:left w:val="nil"/>
          <w:bottom w:val="nil"/>
          <w:right w:val="nil"/>
          <w:between w:val="nil"/>
        </w:pBdr>
      </w:pPr>
      <w:r>
        <w:rPr>
          <w:color w:val="000000"/>
        </w:rPr>
        <w:t>Activities of independent authors, see ISIC Code - 9000</w:t>
      </w:r>
    </w:p>
    <w:p w14:paraId="000005B4" w14:textId="34FB981C" w:rsidR="00F8269C" w:rsidRDefault="00450D2D">
      <w:pPr>
        <w:pStyle w:val="Heading4"/>
      </w:pPr>
      <w:bookmarkStart w:id="374" w:name="_Toc90191956"/>
      <w:bookmarkStart w:id="375" w:name="_Toc93842877"/>
      <w:bookmarkStart w:id="376" w:name="_Toc93843063"/>
      <w:r>
        <w:t xml:space="preserve">ISIC Code 5813 - Publishing </w:t>
      </w:r>
      <w:r w:rsidR="00FA19EF">
        <w:t xml:space="preserve">of </w:t>
      </w:r>
      <w:r>
        <w:t>Newspapers, Journals and Periodicals</w:t>
      </w:r>
      <w:bookmarkEnd w:id="374"/>
      <w:bookmarkEnd w:id="375"/>
      <w:bookmarkEnd w:id="376"/>
    </w:p>
    <w:p w14:paraId="000005B5" w14:textId="33073686" w:rsidR="00F8269C" w:rsidRDefault="00450D2D">
      <w:pPr>
        <w:pStyle w:val="Heading4"/>
      </w:pPr>
      <w:bookmarkStart w:id="377" w:name="_Toc90191957"/>
      <w:bookmarkStart w:id="378" w:name="_Toc93842878"/>
      <w:bookmarkStart w:id="379" w:name="_Toc93843064"/>
      <w:r>
        <w:t>Inclusions</w:t>
      </w:r>
      <w:bookmarkEnd w:id="377"/>
      <w:bookmarkEnd w:id="378"/>
      <w:bookmarkEnd w:id="379"/>
    </w:p>
    <w:p w14:paraId="000005B6" w14:textId="36C3900B" w:rsidR="00F8269C" w:rsidRDefault="00450D2D">
      <w:r>
        <w:t>This class includes:</w:t>
      </w:r>
    </w:p>
    <w:p w14:paraId="000005B7" w14:textId="0779B5EA" w:rsidR="00F8269C" w:rsidRDefault="00450D2D">
      <w:pPr>
        <w:numPr>
          <w:ilvl w:val="0"/>
          <w:numId w:val="17"/>
        </w:numPr>
        <w:pBdr>
          <w:top w:val="nil"/>
          <w:left w:val="nil"/>
          <w:bottom w:val="nil"/>
          <w:right w:val="nil"/>
          <w:between w:val="nil"/>
        </w:pBdr>
        <w:spacing w:after="0"/>
      </w:pPr>
      <w:r>
        <w:rPr>
          <w:color w:val="000000"/>
        </w:rPr>
        <w:t>Publishing of newspapers, including advertising newspapers</w:t>
      </w:r>
    </w:p>
    <w:p w14:paraId="000005B8" w14:textId="63448329" w:rsidR="00F8269C" w:rsidRDefault="00450D2D">
      <w:pPr>
        <w:numPr>
          <w:ilvl w:val="0"/>
          <w:numId w:val="17"/>
        </w:numPr>
        <w:pBdr>
          <w:top w:val="nil"/>
          <w:left w:val="nil"/>
          <w:bottom w:val="nil"/>
          <w:right w:val="nil"/>
          <w:between w:val="nil"/>
        </w:pBdr>
      </w:pPr>
      <w:r>
        <w:rPr>
          <w:color w:val="000000"/>
        </w:rPr>
        <w:t>Publishing of periodicals and other journals, including publishing of radio and television schedules</w:t>
      </w:r>
    </w:p>
    <w:p w14:paraId="000005B9" w14:textId="56689BBA" w:rsidR="00F8269C" w:rsidRDefault="00450D2D">
      <w:r>
        <w:t>Publishing can be done in print or electronic form, including on the Internet.</w:t>
      </w:r>
    </w:p>
    <w:p w14:paraId="000005BA" w14:textId="062B14A0" w:rsidR="00F8269C" w:rsidRDefault="00450D2D">
      <w:pPr>
        <w:pStyle w:val="Heading4"/>
      </w:pPr>
      <w:bookmarkStart w:id="380" w:name="_Toc90191958"/>
      <w:bookmarkStart w:id="381" w:name="_Toc93842879"/>
      <w:bookmarkStart w:id="382" w:name="_Toc93843065"/>
      <w:r>
        <w:t>ISIC Code 5819 - Other Publishing Activities</w:t>
      </w:r>
      <w:bookmarkEnd w:id="380"/>
      <w:bookmarkEnd w:id="381"/>
      <w:bookmarkEnd w:id="382"/>
    </w:p>
    <w:p w14:paraId="000005BB" w14:textId="3DC300BD" w:rsidR="00F8269C" w:rsidRDefault="00450D2D">
      <w:pPr>
        <w:pStyle w:val="Heading4"/>
      </w:pPr>
      <w:bookmarkStart w:id="383" w:name="_Toc90191959"/>
      <w:bookmarkStart w:id="384" w:name="_Toc93842880"/>
      <w:bookmarkStart w:id="385" w:name="_Toc93843066"/>
      <w:r>
        <w:t>Inclusions</w:t>
      </w:r>
      <w:bookmarkEnd w:id="383"/>
      <w:bookmarkEnd w:id="384"/>
      <w:bookmarkEnd w:id="385"/>
    </w:p>
    <w:p w14:paraId="000005BC" w14:textId="7D00187D" w:rsidR="00F8269C" w:rsidRDefault="00450D2D">
      <w:r>
        <w:t>This class includes:</w:t>
      </w:r>
    </w:p>
    <w:p w14:paraId="000005BD" w14:textId="07B87EB5" w:rsidR="00F8269C" w:rsidRDefault="00450D2D">
      <w:pPr>
        <w:numPr>
          <w:ilvl w:val="0"/>
          <w:numId w:val="17"/>
        </w:numPr>
        <w:pBdr>
          <w:top w:val="nil"/>
          <w:left w:val="nil"/>
          <w:bottom w:val="nil"/>
          <w:right w:val="nil"/>
          <w:between w:val="nil"/>
        </w:pBdr>
        <w:spacing w:after="0"/>
      </w:pPr>
      <w:r>
        <w:rPr>
          <w:color w:val="000000"/>
        </w:rPr>
        <w:t>Publishing (including on</w:t>
      </w:r>
      <w:r w:rsidR="00AD4DFC">
        <w:rPr>
          <w:color w:val="000000"/>
        </w:rPr>
        <w:t>line</w:t>
      </w:r>
      <w:r>
        <w:rPr>
          <w:color w:val="000000"/>
        </w:rPr>
        <w:t>) of:</w:t>
      </w:r>
    </w:p>
    <w:p w14:paraId="000005BE" w14:textId="4BE18CA4" w:rsidR="00F8269C" w:rsidRDefault="00450D2D" w:rsidP="009D3DA2">
      <w:pPr>
        <w:numPr>
          <w:ilvl w:val="0"/>
          <w:numId w:val="32"/>
        </w:numPr>
        <w:pBdr>
          <w:top w:val="nil"/>
          <w:left w:val="nil"/>
          <w:bottom w:val="nil"/>
          <w:right w:val="nil"/>
          <w:between w:val="nil"/>
        </w:pBdr>
        <w:spacing w:after="0"/>
        <w:ind w:left="1077" w:hanging="357"/>
      </w:pPr>
      <w:r>
        <w:rPr>
          <w:color w:val="000000"/>
        </w:rPr>
        <w:t>Catalogues</w:t>
      </w:r>
    </w:p>
    <w:p w14:paraId="000005BF" w14:textId="26DD53D6" w:rsidR="00F8269C" w:rsidRDefault="00450D2D" w:rsidP="009D3DA2">
      <w:pPr>
        <w:numPr>
          <w:ilvl w:val="0"/>
          <w:numId w:val="32"/>
        </w:numPr>
        <w:pBdr>
          <w:top w:val="nil"/>
          <w:left w:val="nil"/>
          <w:bottom w:val="nil"/>
          <w:right w:val="nil"/>
          <w:between w:val="nil"/>
        </w:pBdr>
        <w:spacing w:after="0"/>
        <w:ind w:left="1077" w:hanging="357"/>
      </w:pPr>
      <w:r>
        <w:rPr>
          <w:color w:val="000000"/>
        </w:rPr>
        <w:t>Photos, engravings and postcards</w:t>
      </w:r>
    </w:p>
    <w:p w14:paraId="000005C0" w14:textId="13E5ED92" w:rsidR="00F8269C" w:rsidRDefault="00450D2D" w:rsidP="009D3DA2">
      <w:pPr>
        <w:numPr>
          <w:ilvl w:val="0"/>
          <w:numId w:val="32"/>
        </w:numPr>
        <w:pBdr>
          <w:top w:val="nil"/>
          <w:left w:val="nil"/>
          <w:bottom w:val="nil"/>
          <w:right w:val="nil"/>
          <w:between w:val="nil"/>
        </w:pBdr>
        <w:spacing w:after="0"/>
        <w:ind w:left="1077" w:hanging="357"/>
      </w:pPr>
      <w:r>
        <w:rPr>
          <w:color w:val="000000"/>
        </w:rPr>
        <w:t>Greeting cards</w:t>
      </w:r>
    </w:p>
    <w:p w14:paraId="000005C1" w14:textId="76D7AFAF" w:rsidR="00F8269C" w:rsidRDefault="00450D2D" w:rsidP="009D3DA2">
      <w:pPr>
        <w:numPr>
          <w:ilvl w:val="0"/>
          <w:numId w:val="32"/>
        </w:numPr>
        <w:pBdr>
          <w:top w:val="nil"/>
          <w:left w:val="nil"/>
          <w:bottom w:val="nil"/>
          <w:right w:val="nil"/>
          <w:between w:val="nil"/>
        </w:pBdr>
        <w:spacing w:after="0"/>
        <w:ind w:left="1077" w:hanging="357"/>
      </w:pPr>
      <w:r>
        <w:rPr>
          <w:color w:val="000000"/>
        </w:rPr>
        <w:t>Forms</w:t>
      </w:r>
    </w:p>
    <w:p w14:paraId="000005C2" w14:textId="4B7BCEE0" w:rsidR="00F8269C" w:rsidRDefault="00450D2D" w:rsidP="009D3DA2">
      <w:pPr>
        <w:numPr>
          <w:ilvl w:val="0"/>
          <w:numId w:val="32"/>
        </w:numPr>
        <w:pBdr>
          <w:top w:val="nil"/>
          <w:left w:val="nil"/>
          <w:bottom w:val="nil"/>
          <w:right w:val="nil"/>
          <w:between w:val="nil"/>
        </w:pBdr>
        <w:spacing w:after="0"/>
        <w:ind w:left="1077" w:hanging="357"/>
      </w:pPr>
      <w:r>
        <w:rPr>
          <w:color w:val="000000"/>
        </w:rPr>
        <w:t>Posters, reproduction of works of art</w:t>
      </w:r>
    </w:p>
    <w:p w14:paraId="000005C3" w14:textId="67BC3C6B" w:rsidR="00F8269C" w:rsidRDefault="00450D2D" w:rsidP="009D3DA2">
      <w:pPr>
        <w:numPr>
          <w:ilvl w:val="0"/>
          <w:numId w:val="32"/>
        </w:numPr>
        <w:pBdr>
          <w:top w:val="nil"/>
          <w:left w:val="nil"/>
          <w:bottom w:val="nil"/>
          <w:right w:val="nil"/>
          <w:between w:val="nil"/>
        </w:pBdr>
        <w:spacing w:after="0"/>
        <w:ind w:left="1077" w:hanging="357"/>
      </w:pPr>
      <w:r>
        <w:rPr>
          <w:color w:val="000000"/>
        </w:rPr>
        <w:t>Advertising material</w:t>
      </w:r>
    </w:p>
    <w:p w14:paraId="000005C4" w14:textId="3B66B4EE" w:rsidR="00F8269C" w:rsidRDefault="00450D2D" w:rsidP="009D3DA2">
      <w:pPr>
        <w:numPr>
          <w:ilvl w:val="0"/>
          <w:numId w:val="32"/>
        </w:numPr>
        <w:pBdr>
          <w:top w:val="nil"/>
          <w:left w:val="nil"/>
          <w:bottom w:val="nil"/>
          <w:right w:val="nil"/>
          <w:between w:val="nil"/>
        </w:pBdr>
        <w:spacing w:after="0"/>
        <w:ind w:left="1077" w:hanging="357"/>
      </w:pPr>
      <w:r>
        <w:rPr>
          <w:color w:val="000000"/>
        </w:rPr>
        <w:t>Other printed matter</w:t>
      </w:r>
    </w:p>
    <w:p w14:paraId="000005C5" w14:textId="6E37E30D" w:rsidR="00F8269C" w:rsidRDefault="00450D2D">
      <w:pPr>
        <w:numPr>
          <w:ilvl w:val="0"/>
          <w:numId w:val="17"/>
        </w:numPr>
        <w:pBdr>
          <w:top w:val="nil"/>
          <w:left w:val="nil"/>
          <w:bottom w:val="nil"/>
          <w:right w:val="nil"/>
          <w:between w:val="nil"/>
        </w:pBdr>
      </w:pPr>
      <w:r>
        <w:rPr>
          <w:color w:val="000000"/>
        </w:rPr>
        <w:t>On</w:t>
      </w:r>
      <w:r w:rsidR="00AD4DFC">
        <w:rPr>
          <w:color w:val="000000"/>
        </w:rPr>
        <w:t>line</w:t>
      </w:r>
      <w:r>
        <w:rPr>
          <w:color w:val="000000"/>
        </w:rPr>
        <w:t xml:space="preserve"> publishing of statistics or other information</w:t>
      </w:r>
    </w:p>
    <w:p w14:paraId="000005C6" w14:textId="710E6CB2" w:rsidR="00F8269C" w:rsidRDefault="00450D2D">
      <w:pPr>
        <w:pStyle w:val="Heading4"/>
      </w:pPr>
      <w:bookmarkStart w:id="386" w:name="_Toc90191960"/>
      <w:bookmarkStart w:id="387" w:name="_Toc93842881"/>
      <w:bookmarkStart w:id="388" w:name="_Toc93843067"/>
      <w:r>
        <w:t>Exclusions</w:t>
      </w:r>
      <w:bookmarkEnd w:id="386"/>
      <w:bookmarkEnd w:id="387"/>
      <w:bookmarkEnd w:id="388"/>
    </w:p>
    <w:p w14:paraId="000005C7" w14:textId="516CD5FC" w:rsidR="00F8269C" w:rsidRDefault="00450D2D">
      <w:r>
        <w:t>This class excludes:</w:t>
      </w:r>
    </w:p>
    <w:p w14:paraId="000005C8" w14:textId="5759FEFC" w:rsidR="00F8269C" w:rsidRDefault="00450D2D">
      <w:pPr>
        <w:numPr>
          <w:ilvl w:val="0"/>
          <w:numId w:val="17"/>
        </w:numPr>
        <w:pBdr>
          <w:top w:val="nil"/>
          <w:left w:val="nil"/>
          <w:bottom w:val="nil"/>
          <w:right w:val="nil"/>
          <w:between w:val="nil"/>
        </w:pBdr>
        <w:spacing w:after="0"/>
      </w:pPr>
      <w:r>
        <w:rPr>
          <w:color w:val="000000"/>
        </w:rPr>
        <w:t>Retail sale of software, see ISIC Code - 4741</w:t>
      </w:r>
    </w:p>
    <w:p w14:paraId="000005C9" w14:textId="3297EC9A" w:rsidR="00F8269C" w:rsidRDefault="00450D2D">
      <w:pPr>
        <w:numPr>
          <w:ilvl w:val="0"/>
          <w:numId w:val="17"/>
        </w:numPr>
        <w:pBdr>
          <w:top w:val="nil"/>
          <w:left w:val="nil"/>
          <w:bottom w:val="nil"/>
          <w:right w:val="nil"/>
          <w:between w:val="nil"/>
        </w:pBdr>
        <w:spacing w:after="0"/>
      </w:pPr>
      <w:r>
        <w:rPr>
          <w:color w:val="000000"/>
        </w:rPr>
        <w:t>Publishing of advertising newspapers, see ISIC Code - 5813</w:t>
      </w:r>
    </w:p>
    <w:p w14:paraId="000005CA" w14:textId="095CAEBC" w:rsidR="00F8269C" w:rsidRDefault="00450D2D">
      <w:pPr>
        <w:numPr>
          <w:ilvl w:val="0"/>
          <w:numId w:val="17"/>
        </w:numPr>
        <w:pBdr>
          <w:top w:val="nil"/>
          <w:left w:val="nil"/>
          <w:bottom w:val="nil"/>
          <w:right w:val="nil"/>
          <w:between w:val="nil"/>
        </w:pBdr>
      </w:pPr>
      <w:r>
        <w:rPr>
          <w:color w:val="000000"/>
        </w:rPr>
        <w:t>On</w:t>
      </w:r>
      <w:r w:rsidR="00AD4DFC">
        <w:rPr>
          <w:color w:val="000000"/>
        </w:rPr>
        <w:t>line</w:t>
      </w:r>
      <w:r>
        <w:rPr>
          <w:color w:val="000000"/>
        </w:rPr>
        <w:t xml:space="preserve"> provision of software (application hosting and application service provisioning), see ISIC Code - 6311</w:t>
      </w:r>
    </w:p>
    <w:p w14:paraId="000005CB" w14:textId="43A80D28" w:rsidR="00F8269C" w:rsidRDefault="00450D2D">
      <w:pPr>
        <w:pStyle w:val="Heading4"/>
      </w:pPr>
      <w:bookmarkStart w:id="389" w:name="_Toc90191961"/>
      <w:bookmarkStart w:id="390" w:name="_Toc93842882"/>
      <w:bookmarkStart w:id="391" w:name="_Toc93843068"/>
      <w:r>
        <w:t>ISIC Code 47</w:t>
      </w:r>
      <w:r w:rsidR="00496274">
        <w:t>5</w:t>
      </w:r>
      <w:r>
        <w:t xml:space="preserve">1 - Retail Sale of Books, Newspapers and </w:t>
      </w:r>
      <w:sdt>
        <w:sdtPr>
          <w:tag w:val="goog_rdk_69"/>
          <w:id w:val="-1373377907"/>
        </w:sdtPr>
        <w:sdtEndPr/>
        <w:sdtContent/>
      </w:sdt>
      <w:r>
        <w:t>Station</w:t>
      </w:r>
      <w:r w:rsidR="00163C1E">
        <w:t>e</w:t>
      </w:r>
      <w:r>
        <w:t xml:space="preserve">ry in </w:t>
      </w:r>
      <w:r w:rsidR="00243DEC">
        <w:t xml:space="preserve">Specialised </w:t>
      </w:r>
      <w:r>
        <w:t>Stores</w:t>
      </w:r>
      <w:bookmarkEnd w:id="389"/>
      <w:bookmarkEnd w:id="390"/>
      <w:bookmarkEnd w:id="391"/>
    </w:p>
    <w:p w14:paraId="000005CC" w14:textId="210D8D7A" w:rsidR="00F8269C" w:rsidRDefault="00450D2D">
      <w:pPr>
        <w:pStyle w:val="Heading4"/>
      </w:pPr>
      <w:bookmarkStart w:id="392" w:name="_Toc90191962"/>
      <w:bookmarkStart w:id="393" w:name="_Toc93842883"/>
      <w:bookmarkStart w:id="394" w:name="_Toc93843069"/>
      <w:r>
        <w:t>Inclusions</w:t>
      </w:r>
      <w:bookmarkEnd w:id="392"/>
      <w:bookmarkEnd w:id="393"/>
      <w:bookmarkEnd w:id="394"/>
    </w:p>
    <w:p w14:paraId="000005CD" w14:textId="1FF941E9" w:rsidR="00F8269C" w:rsidRDefault="00450D2D">
      <w:r>
        <w:t>This class includes:</w:t>
      </w:r>
    </w:p>
    <w:p w14:paraId="000005CE" w14:textId="38625126" w:rsidR="00F8269C" w:rsidRDefault="00450D2D">
      <w:pPr>
        <w:numPr>
          <w:ilvl w:val="0"/>
          <w:numId w:val="17"/>
        </w:numPr>
        <w:pBdr>
          <w:top w:val="nil"/>
          <w:left w:val="nil"/>
          <w:bottom w:val="nil"/>
          <w:right w:val="nil"/>
          <w:between w:val="nil"/>
        </w:pBdr>
        <w:spacing w:after="0"/>
      </w:pPr>
      <w:r>
        <w:rPr>
          <w:color w:val="000000"/>
        </w:rPr>
        <w:t>Retail sale of books of all kinds</w:t>
      </w:r>
    </w:p>
    <w:p w14:paraId="000005CF" w14:textId="2ECFFFEA" w:rsidR="00F8269C" w:rsidRDefault="00450D2D">
      <w:pPr>
        <w:numPr>
          <w:ilvl w:val="0"/>
          <w:numId w:val="17"/>
        </w:numPr>
        <w:pBdr>
          <w:top w:val="nil"/>
          <w:left w:val="nil"/>
          <w:bottom w:val="nil"/>
          <w:right w:val="nil"/>
          <w:between w:val="nil"/>
        </w:pBdr>
        <w:spacing w:after="0"/>
      </w:pPr>
      <w:r>
        <w:rPr>
          <w:color w:val="000000"/>
        </w:rPr>
        <w:t>Retail sale of newspapers and stationery</w:t>
      </w:r>
    </w:p>
    <w:p w14:paraId="000005D0" w14:textId="7C997711" w:rsidR="00F8269C" w:rsidRDefault="00450D2D">
      <w:pPr>
        <w:numPr>
          <w:ilvl w:val="0"/>
          <w:numId w:val="17"/>
        </w:numPr>
        <w:pBdr>
          <w:top w:val="nil"/>
          <w:left w:val="nil"/>
          <w:bottom w:val="nil"/>
          <w:right w:val="nil"/>
          <w:between w:val="nil"/>
        </w:pBdr>
      </w:pPr>
      <w:r>
        <w:rPr>
          <w:color w:val="000000"/>
        </w:rPr>
        <w:t>Retail sale of office supplies such as pens, pencils, paper etc.</w:t>
      </w:r>
    </w:p>
    <w:p w14:paraId="000005D1" w14:textId="2679B6D2" w:rsidR="00F8269C" w:rsidRDefault="00450D2D">
      <w:pPr>
        <w:pStyle w:val="Heading4"/>
      </w:pPr>
      <w:bookmarkStart w:id="395" w:name="_Toc90191963"/>
      <w:bookmarkStart w:id="396" w:name="_Toc93842884"/>
      <w:bookmarkStart w:id="397" w:name="_Toc93843070"/>
      <w:r>
        <w:t>Exclusions</w:t>
      </w:r>
      <w:bookmarkEnd w:id="395"/>
      <w:bookmarkEnd w:id="396"/>
      <w:bookmarkEnd w:id="397"/>
    </w:p>
    <w:p w14:paraId="000005D2" w14:textId="266762A5" w:rsidR="00F8269C" w:rsidRDefault="00450D2D">
      <w:r>
        <w:t>This class excludes:</w:t>
      </w:r>
    </w:p>
    <w:p w14:paraId="000005D3" w14:textId="67400AF0" w:rsidR="00F8269C" w:rsidRDefault="00450D2D">
      <w:pPr>
        <w:numPr>
          <w:ilvl w:val="0"/>
          <w:numId w:val="17"/>
        </w:numPr>
        <w:pBdr>
          <w:top w:val="nil"/>
          <w:left w:val="nil"/>
          <w:bottom w:val="nil"/>
          <w:right w:val="nil"/>
          <w:between w:val="nil"/>
        </w:pBdr>
      </w:pPr>
      <w:r>
        <w:rPr>
          <w:color w:val="000000"/>
        </w:rPr>
        <w:t>Retail sale of second-hand or antique books, see ISIC Code - 47</w:t>
      </w:r>
      <w:r w:rsidR="00496274">
        <w:rPr>
          <w:color w:val="000000"/>
        </w:rPr>
        <w:t>6</w:t>
      </w:r>
      <w:r>
        <w:rPr>
          <w:color w:val="000000"/>
        </w:rPr>
        <w:t>4</w:t>
      </w:r>
    </w:p>
    <w:p w14:paraId="000005D4" w14:textId="1EF07F78" w:rsidR="00F8269C" w:rsidRDefault="00450D2D">
      <w:pPr>
        <w:pStyle w:val="Heading4"/>
      </w:pPr>
      <w:bookmarkStart w:id="398" w:name="_Toc90191964"/>
      <w:bookmarkStart w:id="399" w:name="_Toc93842885"/>
      <w:bookmarkStart w:id="400" w:name="_Toc93843071"/>
      <w:r>
        <w:t>ISIC Code 6391 - News Agency Activities</w:t>
      </w:r>
      <w:bookmarkEnd w:id="398"/>
      <w:bookmarkEnd w:id="399"/>
      <w:bookmarkEnd w:id="400"/>
    </w:p>
    <w:p w14:paraId="000005D5" w14:textId="0B56CFC0" w:rsidR="00F8269C" w:rsidRDefault="00450D2D">
      <w:pPr>
        <w:pStyle w:val="Heading4"/>
      </w:pPr>
      <w:bookmarkStart w:id="401" w:name="_Toc90191965"/>
      <w:bookmarkStart w:id="402" w:name="_Toc93842886"/>
      <w:bookmarkStart w:id="403" w:name="_Toc93843072"/>
      <w:r>
        <w:t>Inclusions</w:t>
      </w:r>
      <w:bookmarkEnd w:id="401"/>
      <w:bookmarkEnd w:id="402"/>
      <w:bookmarkEnd w:id="403"/>
    </w:p>
    <w:p w14:paraId="000005D6" w14:textId="1C6CB239" w:rsidR="00F8269C" w:rsidRDefault="00450D2D">
      <w:r>
        <w:t>This class includes:</w:t>
      </w:r>
    </w:p>
    <w:p w14:paraId="000005D7" w14:textId="10FDF466" w:rsidR="00F8269C" w:rsidRDefault="00450D2D">
      <w:pPr>
        <w:numPr>
          <w:ilvl w:val="0"/>
          <w:numId w:val="17"/>
        </w:numPr>
        <w:pBdr>
          <w:top w:val="nil"/>
          <w:left w:val="nil"/>
          <w:bottom w:val="nil"/>
          <w:right w:val="nil"/>
          <w:between w:val="nil"/>
        </w:pBdr>
      </w:pPr>
      <w:r>
        <w:rPr>
          <w:color w:val="000000"/>
        </w:rPr>
        <w:lastRenderedPageBreak/>
        <w:t>News syndicate and news agency activities furnishing news, pictures and features to the media</w:t>
      </w:r>
    </w:p>
    <w:p w14:paraId="000005D8" w14:textId="7995AFAA" w:rsidR="00F8269C" w:rsidRDefault="00450D2D">
      <w:pPr>
        <w:pStyle w:val="Heading4"/>
      </w:pPr>
      <w:bookmarkStart w:id="404" w:name="_Toc90191966"/>
      <w:bookmarkStart w:id="405" w:name="_Toc93842887"/>
      <w:bookmarkStart w:id="406" w:name="_Toc93843073"/>
      <w:r>
        <w:t>Exclusions</w:t>
      </w:r>
      <w:bookmarkEnd w:id="404"/>
      <w:bookmarkEnd w:id="405"/>
      <w:bookmarkEnd w:id="406"/>
    </w:p>
    <w:p w14:paraId="000005D9" w14:textId="7E80F8F3" w:rsidR="00F8269C" w:rsidRDefault="00450D2D">
      <w:r>
        <w:t>This class excludes:</w:t>
      </w:r>
    </w:p>
    <w:p w14:paraId="000005DA" w14:textId="34DB8D92" w:rsidR="00F8269C" w:rsidRDefault="00450D2D">
      <w:pPr>
        <w:numPr>
          <w:ilvl w:val="0"/>
          <w:numId w:val="17"/>
        </w:numPr>
        <w:pBdr>
          <w:top w:val="nil"/>
          <w:left w:val="nil"/>
          <w:bottom w:val="nil"/>
          <w:right w:val="nil"/>
          <w:between w:val="nil"/>
        </w:pBdr>
        <w:spacing w:after="0"/>
      </w:pPr>
      <w:r>
        <w:rPr>
          <w:color w:val="000000"/>
        </w:rPr>
        <w:t>Activities of independent photojournalists, see ISIC Code - 7420</w:t>
      </w:r>
    </w:p>
    <w:p w14:paraId="000005DB" w14:textId="65D2E74A" w:rsidR="00F8269C" w:rsidRDefault="00450D2D">
      <w:pPr>
        <w:numPr>
          <w:ilvl w:val="0"/>
          <w:numId w:val="17"/>
        </w:numPr>
        <w:pBdr>
          <w:top w:val="nil"/>
          <w:left w:val="nil"/>
          <w:bottom w:val="nil"/>
          <w:right w:val="nil"/>
          <w:between w:val="nil"/>
        </w:pBdr>
      </w:pPr>
      <w:r>
        <w:rPr>
          <w:color w:val="000000"/>
        </w:rPr>
        <w:t>Activities of independent journalists, see ISIC Code - 9000</w:t>
      </w:r>
    </w:p>
    <w:p w14:paraId="000005DC" w14:textId="66FFE623" w:rsidR="00F8269C" w:rsidRDefault="00450D2D">
      <w:pPr>
        <w:pStyle w:val="Heading4"/>
      </w:pPr>
      <w:bookmarkStart w:id="407" w:name="_Toc90191967"/>
      <w:bookmarkStart w:id="408" w:name="_Toc93842888"/>
      <w:bookmarkStart w:id="409" w:name="_Toc93843074"/>
      <w:r>
        <w:t>ISIC Code 6399 - Other Information Service Activities Not Elsewhere Classified</w:t>
      </w:r>
      <w:bookmarkEnd w:id="407"/>
      <w:bookmarkEnd w:id="408"/>
      <w:bookmarkEnd w:id="409"/>
    </w:p>
    <w:p w14:paraId="000005DD" w14:textId="022CA7E8" w:rsidR="00F8269C" w:rsidRDefault="00450D2D">
      <w:pPr>
        <w:pStyle w:val="Heading4"/>
      </w:pPr>
      <w:bookmarkStart w:id="410" w:name="_Toc90191968"/>
      <w:bookmarkStart w:id="411" w:name="_Toc93842889"/>
      <w:bookmarkStart w:id="412" w:name="_Toc93843075"/>
      <w:r>
        <w:t>Inclusions</w:t>
      </w:r>
      <w:bookmarkEnd w:id="410"/>
      <w:bookmarkEnd w:id="411"/>
      <w:bookmarkEnd w:id="412"/>
    </w:p>
    <w:p w14:paraId="000005DE" w14:textId="063224EF" w:rsidR="00F8269C" w:rsidRDefault="00450D2D">
      <w:r>
        <w:t>This class includes other information service activities not elsewhere classified, such as:</w:t>
      </w:r>
    </w:p>
    <w:p w14:paraId="000005DF" w14:textId="4CBF9A66" w:rsidR="00F8269C" w:rsidRDefault="00450D2D">
      <w:pPr>
        <w:numPr>
          <w:ilvl w:val="0"/>
          <w:numId w:val="17"/>
        </w:numPr>
        <w:pBdr>
          <w:top w:val="nil"/>
          <w:left w:val="nil"/>
          <w:bottom w:val="nil"/>
          <w:right w:val="nil"/>
          <w:between w:val="nil"/>
        </w:pBdr>
        <w:spacing w:after="0"/>
      </w:pPr>
      <w:r>
        <w:rPr>
          <w:color w:val="000000"/>
        </w:rPr>
        <w:t>Telephone based information services</w:t>
      </w:r>
    </w:p>
    <w:p w14:paraId="000005E0" w14:textId="6D932704" w:rsidR="00F8269C" w:rsidRDefault="00450D2D">
      <w:pPr>
        <w:numPr>
          <w:ilvl w:val="0"/>
          <w:numId w:val="17"/>
        </w:numPr>
        <w:pBdr>
          <w:top w:val="nil"/>
          <w:left w:val="nil"/>
          <w:bottom w:val="nil"/>
          <w:right w:val="nil"/>
          <w:between w:val="nil"/>
        </w:pBdr>
        <w:spacing w:after="0"/>
      </w:pPr>
      <w:r>
        <w:rPr>
          <w:color w:val="000000"/>
        </w:rPr>
        <w:t>Information search services on a contract or fee basis</w:t>
      </w:r>
    </w:p>
    <w:p w14:paraId="000005E1" w14:textId="414CAB8E" w:rsidR="00F8269C" w:rsidRDefault="00450D2D">
      <w:pPr>
        <w:numPr>
          <w:ilvl w:val="0"/>
          <w:numId w:val="17"/>
        </w:numPr>
        <w:pBdr>
          <w:top w:val="nil"/>
          <w:left w:val="nil"/>
          <w:bottom w:val="nil"/>
          <w:right w:val="nil"/>
          <w:between w:val="nil"/>
        </w:pBdr>
      </w:pPr>
      <w:r>
        <w:rPr>
          <w:color w:val="000000"/>
        </w:rPr>
        <w:t>News clipping services, press clipping services, etc.</w:t>
      </w:r>
    </w:p>
    <w:p w14:paraId="000005E2" w14:textId="355E3E07" w:rsidR="00F8269C" w:rsidRDefault="00450D2D">
      <w:pPr>
        <w:pStyle w:val="Heading4"/>
      </w:pPr>
      <w:bookmarkStart w:id="413" w:name="_Toc90191969"/>
      <w:bookmarkStart w:id="414" w:name="_Toc93842890"/>
      <w:bookmarkStart w:id="415" w:name="_Toc93843076"/>
      <w:r>
        <w:t>Exclusions</w:t>
      </w:r>
      <w:bookmarkEnd w:id="413"/>
      <w:bookmarkEnd w:id="414"/>
      <w:bookmarkEnd w:id="415"/>
    </w:p>
    <w:p w14:paraId="000005E3" w14:textId="7B7E6B68" w:rsidR="00F8269C" w:rsidRDefault="00450D2D">
      <w:r>
        <w:t>This class excludes:</w:t>
      </w:r>
    </w:p>
    <w:p w14:paraId="000005E4" w14:textId="3BEB5EF5" w:rsidR="00F8269C" w:rsidRDefault="00450D2D">
      <w:pPr>
        <w:numPr>
          <w:ilvl w:val="0"/>
          <w:numId w:val="17"/>
        </w:numPr>
        <w:pBdr>
          <w:top w:val="nil"/>
          <w:left w:val="nil"/>
          <w:bottom w:val="nil"/>
          <w:right w:val="nil"/>
          <w:between w:val="nil"/>
        </w:pBdr>
      </w:pPr>
      <w:r>
        <w:rPr>
          <w:color w:val="000000"/>
        </w:rPr>
        <w:t>Activities of call centres, see ISIC Code - 8220</w:t>
      </w:r>
    </w:p>
    <w:p w14:paraId="000005E5" w14:textId="4FA69F51" w:rsidR="00F8269C" w:rsidRDefault="00450D2D">
      <w:pPr>
        <w:pStyle w:val="Heading4"/>
      </w:pPr>
      <w:bookmarkStart w:id="416" w:name="_Toc90191970"/>
      <w:bookmarkStart w:id="417" w:name="_Toc93842891"/>
      <w:bookmarkStart w:id="418" w:name="_Toc93843077"/>
      <w:r>
        <w:t xml:space="preserve">ISIC Code 4649 - Wholesale </w:t>
      </w:r>
      <w:r w:rsidR="00FA19EF">
        <w:t xml:space="preserve">of </w:t>
      </w:r>
      <w:r>
        <w:t>Other Household Goods</w:t>
      </w:r>
      <w:bookmarkEnd w:id="416"/>
      <w:bookmarkEnd w:id="417"/>
      <w:bookmarkEnd w:id="418"/>
    </w:p>
    <w:p w14:paraId="000005E6" w14:textId="463AB6C0" w:rsidR="00F8269C" w:rsidRDefault="00450D2D">
      <w:pPr>
        <w:pStyle w:val="Heading4"/>
      </w:pPr>
      <w:bookmarkStart w:id="419" w:name="_Toc90191971"/>
      <w:bookmarkStart w:id="420" w:name="_Toc93842892"/>
      <w:bookmarkStart w:id="421" w:name="_Toc93843078"/>
      <w:r>
        <w:t>Inclusions</w:t>
      </w:r>
      <w:bookmarkEnd w:id="419"/>
      <w:bookmarkEnd w:id="420"/>
      <w:bookmarkEnd w:id="421"/>
    </w:p>
    <w:p w14:paraId="000005E7" w14:textId="5581B2CC" w:rsidR="00F8269C" w:rsidRDefault="00450D2D">
      <w:r>
        <w:t>This class includes:</w:t>
      </w:r>
    </w:p>
    <w:p w14:paraId="000005E8" w14:textId="6BB52E26" w:rsidR="00F8269C" w:rsidRDefault="00450D2D">
      <w:pPr>
        <w:numPr>
          <w:ilvl w:val="0"/>
          <w:numId w:val="17"/>
        </w:numPr>
        <w:pBdr>
          <w:top w:val="nil"/>
          <w:left w:val="nil"/>
          <w:bottom w:val="nil"/>
          <w:right w:val="nil"/>
          <w:between w:val="nil"/>
        </w:pBdr>
        <w:spacing w:after="0"/>
      </w:pPr>
      <w:r>
        <w:rPr>
          <w:color w:val="000000"/>
        </w:rPr>
        <w:t>Wholesale of household furniture</w:t>
      </w:r>
    </w:p>
    <w:p w14:paraId="000005E9" w14:textId="20B8532E" w:rsidR="00F8269C" w:rsidRDefault="00450D2D">
      <w:pPr>
        <w:numPr>
          <w:ilvl w:val="0"/>
          <w:numId w:val="17"/>
        </w:numPr>
        <w:pBdr>
          <w:top w:val="nil"/>
          <w:left w:val="nil"/>
          <w:bottom w:val="nil"/>
          <w:right w:val="nil"/>
          <w:between w:val="nil"/>
        </w:pBdr>
        <w:spacing w:after="0"/>
      </w:pPr>
      <w:r>
        <w:rPr>
          <w:color w:val="000000"/>
        </w:rPr>
        <w:t>Wholesale of household appliances</w:t>
      </w:r>
    </w:p>
    <w:p w14:paraId="000005EA" w14:textId="5A5BCA6D" w:rsidR="00F8269C" w:rsidRDefault="00450D2D">
      <w:pPr>
        <w:numPr>
          <w:ilvl w:val="0"/>
          <w:numId w:val="17"/>
        </w:numPr>
        <w:pBdr>
          <w:top w:val="nil"/>
          <w:left w:val="nil"/>
          <w:bottom w:val="nil"/>
          <w:right w:val="nil"/>
          <w:between w:val="nil"/>
        </w:pBdr>
        <w:spacing w:after="0"/>
      </w:pPr>
      <w:r>
        <w:rPr>
          <w:color w:val="000000"/>
        </w:rPr>
        <w:t>Wholesale of consumer electronics:</w:t>
      </w:r>
    </w:p>
    <w:p w14:paraId="000005EB" w14:textId="0E7192B7" w:rsidR="00F8269C" w:rsidRDefault="00450D2D" w:rsidP="009D3DA2">
      <w:pPr>
        <w:numPr>
          <w:ilvl w:val="0"/>
          <w:numId w:val="33"/>
        </w:numPr>
        <w:pBdr>
          <w:top w:val="nil"/>
          <w:left w:val="nil"/>
          <w:bottom w:val="nil"/>
          <w:right w:val="nil"/>
          <w:between w:val="nil"/>
        </w:pBdr>
        <w:spacing w:after="0"/>
        <w:ind w:left="1077" w:hanging="357"/>
      </w:pPr>
      <w:r>
        <w:rPr>
          <w:color w:val="000000"/>
        </w:rPr>
        <w:t>Radio and TV equipment</w:t>
      </w:r>
    </w:p>
    <w:p w14:paraId="000005EC" w14:textId="36162529" w:rsidR="00F8269C" w:rsidRDefault="00450D2D" w:rsidP="009D3DA2">
      <w:pPr>
        <w:numPr>
          <w:ilvl w:val="0"/>
          <w:numId w:val="33"/>
        </w:numPr>
        <w:pBdr>
          <w:top w:val="nil"/>
          <w:left w:val="nil"/>
          <w:bottom w:val="nil"/>
          <w:right w:val="nil"/>
          <w:between w:val="nil"/>
        </w:pBdr>
        <w:spacing w:after="0"/>
        <w:ind w:left="1077" w:hanging="357"/>
      </w:pPr>
      <w:r>
        <w:rPr>
          <w:color w:val="000000"/>
        </w:rPr>
        <w:t>CD and DVD players and recorders</w:t>
      </w:r>
    </w:p>
    <w:p w14:paraId="000005ED" w14:textId="0A9C75F5" w:rsidR="00F8269C" w:rsidRDefault="00450D2D" w:rsidP="009D3DA2">
      <w:pPr>
        <w:numPr>
          <w:ilvl w:val="0"/>
          <w:numId w:val="33"/>
        </w:numPr>
        <w:pBdr>
          <w:top w:val="nil"/>
          <w:left w:val="nil"/>
          <w:bottom w:val="nil"/>
          <w:right w:val="nil"/>
          <w:between w:val="nil"/>
        </w:pBdr>
        <w:spacing w:after="0"/>
        <w:ind w:left="1077" w:hanging="357"/>
      </w:pPr>
      <w:r>
        <w:rPr>
          <w:color w:val="000000"/>
        </w:rPr>
        <w:t>Stereo equipment</w:t>
      </w:r>
    </w:p>
    <w:p w14:paraId="000005EE" w14:textId="2F65E63C" w:rsidR="00F8269C" w:rsidRDefault="00450D2D" w:rsidP="009D3DA2">
      <w:pPr>
        <w:numPr>
          <w:ilvl w:val="0"/>
          <w:numId w:val="33"/>
        </w:numPr>
        <w:pBdr>
          <w:top w:val="nil"/>
          <w:left w:val="nil"/>
          <w:bottom w:val="nil"/>
          <w:right w:val="nil"/>
          <w:between w:val="nil"/>
        </w:pBdr>
        <w:spacing w:after="0"/>
        <w:ind w:left="1077" w:hanging="357"/>
      </w:pPr>
      <w:r>
        <w:rPr>
          <w:color w:val="000000"/>
        </w:rPr>
        <w:t>Video game consoles</w:t>
      </w:r>
    </w:p>
    <w:p w14:paraId="000005EF" w14:textId="733E6868" w:rsidR="00F8269C" w:rsidRDefault="00450D2D">
      <w:pPr>
        <w:numPr>
          <w:ilvl w:val="0"/>
          <w:numId w:val="17"/>
        </w:numPr>
        <w:pBdr>
          <w:top w:val="nil"/>
          <w:left w:val="nil"/>
          <w:bottom w:val="nil"/>
          <w:right w:val="nil"/>
          <w:between w:val="nil"/>
        </w:pBdr>
        <w:spacing w:after="0"/>
      </w:pPr>
      <w:r>
        <w:rPr>
          <w:color w:val="000000"/>
        </w:rPr>
        <w:t>Wholesale of lighting equipment</w:t>
      </w:r>
    </w:p>
    <w:p w14:paraId="000005F0" w14:textId="3C384B1A" w:rsidR="00F8269C" w:rsidRDefault="00450D2D">
      <w:pPr>
        <w:numPr>
          <w:ilvl w:val="0"/>
          <w:numId w:val="17"/>
        </w:numPr>
        <w:pBdr>
          <w:top w:val="nil"/>
          <w:left w:val="nil"/>
          <w:bottom w:val="nil"/>
          <w:right w:val="nil"/>
          <w:between w:val="nil"/>
        </w:pBdr>
        <w:spacing w:after="0"/>
      </w:pPr>
      <w:r>
        <w:rPr>
          <w:color w:val="000000"/>
        </w:rPr>
        <w:t>Wholesale of cutlery</w:t>
      </w:r>
    </w:p>
    <w:p w14:paraId="000005F1" w14:textId="56A5FEE2" w:rsidR="00F8269C" w:rsidRDefault="00450D2D">
      <w:pPr>
        <w:numPr>
          <w:ilvl w:val="0"/>
          <w:numId w:val="17"/>
        </w:numPr>
        <w:pBdr>
          <w:top w:val="nil"/>
          <w:left w:val="nil"/>
          <w:bottom w:val="nil"/>
          <w:right w:val="nil"/>
          <w:between w:val="nil"/>
        </w:pBdr>
        <w:spacing w:after="0"/>
      </w:pPr>
      <w:r>
        <w:rPr>
          <w:color w:val="000000"/>
        </w:rPr>
        <w:t>Wholesale of china and glassware</w:t>
      </w:r>
    </w:p>
    <w:p w14:paraId="000005F2" w14:textId="39300728" w:rsidR="00F8269C" w:rsidRDefault="00450D2D">
      <w:pPr>
        <w:numPr>
          <w:ilvl w:val="0"/>
          <w:numId w:val="17"/>
        </w:numPr>
        <w:pBdr>
          <w:top w:val="nil"/>
          <w:left w:val="nil"/>
          <w:bottom w:val="nil"/>
          <w:right w:val="nil"/>
          <w:between w:val="nil"/>
        </w:pBdr>
        <w:spacing w:after="0"/>
      </w:pPr>
      <w:r>
        <w:rPr>
          <w:color w:val="000000"/>
        </w:rPr>
        <w:t>Wholesale of woodenware, wickerwork and corkware etc.</w:t>
      </w:r>
    </w:p>
    <w:p w14:paraId="000005F3" w14:textId="028F6852" w:rsidR="00F8269C" w:rsidRDefault="00450D2D">
      <w:pPr>
        <w:numPr>
          <w:ilvl w:val="0"/>
          <w:numId w:val="17"/>
        </w:numPr>
        <w:pBdr>
          <w:top w:val="nil"/>
          <w:left w:val="nil"/>
          <w:bottom w:val="nil"/>
          <w:right w:val="nil"/>
          <w:between w:val="nil"/>
        </w:pBdr>
        <w:spacing w:after="0"/>
      </w:pPr>
      <w:r>
        <w:rPr>
          <w:color w:val="000000"/>
        </w:rPr>
        <w:t>Wholesale of pharmaceutical and medical goods</w:t>
      </w:r>
    </w:p>
    <w:p w14:paraId="000005F4" w14:textId="52A1BCA6" w:rsidR="00F8269C" w:rsidRDefault="00450D2D">
      <w:pPr>
        <w:numPr>
          <w:ilvl w:val="0"/>
          <w:numId w:val="17"/>
        </w:numPr>
        <w:pBdr>
          <w:top w:val="nil"/>
          <w:left w:val="nil"/>
          <w:bottom w:val="nil"/>
          <w:right w:val="nil"/>
          <w:between w:val="nil"/>
        </w:pBdr>
        <w:spacing w:after="0"/>
      </w:pPr>
      <w:r>
        <w:rPr>
          <w:color w:val="000000"/>
        </w:rPr>
        <w:t>Wholesale of perfumeries, cosmetics and soaps</w:t>
      </w:r>
    </w:p>
    <w:p w14:paraId="000005F5" w14:textId="21CF0240" w:rsidR="00F8269C" w:rsidRDefault="00450D2D">
      <w:pPr>
        <w:numPr>
          <w:ilvl w:val="0"/>
          <w:numId w:val="17"/>
        </w:numPr>
        <w:pBdr>
          <w:top w:val="nil"/>
          <w:left w:val="nil"/>
          <w:bottom w:val="nil"/>
          <w:right w:val="nil"/>
          <w:between w:val="nil"/>
        </w:pBdr>
        <w:spacing w:after="0"/>
      </w:pPr>
      <w:r>
        <w:rPr>
          <w:color w:val="000000"/>
        </w:rPr>
        <w:t>Wholesale of bicycles and their parts and accessories</w:t>
      </w:r>
    </w:p>
    <w:p w14:paraId="000005F6" w14:textId="1D9628D8" w:rsidR="00F8269C" w:rsidRDefault="00450D2D">
      <w:pPr>
        <w:numPr>
          <w:ilvl w:val="0"/>
          <w:numId w:val="17"/>
        </w:numPr>
        <w:pBdr>
          <w:top w:val="nil"/>
          <w:left w:val="nil"/>
          <w:bottom w:val="nil"/>
          <w:right w:val="nil"/>
          <w:between w:val="nil"/>
        </w:pBdr>
        <w:spacing w:after="0"/>
      </w:pPr>
      <w:r>
        <w:rPr>
          <w:color w:val="000000"/>
        </w:rPr>
        <w:t>Wholesale of stationery, books, magazines and newspapers</w:t>
      </w:r>
    </w:p>
    <w:p w14:paraId="000005F7" w14:textId="24A9A6E9" w:rsidR="00F8269C" w:rsidRDefault="00450D2D">
      <w:pPr>
        <w:numPr>
          <w:ilvl w:val="0"/>
          <w:numId w:val="17"/>
        </w:numPr>
        <w:pBdr>
          <w:top w:val="nil"/>
          <w:left w:val="nil"/>
          <w:bottom w:val="nil"/>
          <w:right w:val="nil"/>
          <w:between w:val="nil"/>
        </w:pBdr>
        <w:spacing w:after="0"/>
      </w:pPr>
      <w:r>
        <w:rPr>
          <w:color w:val="000000"/>
        </w:rPr>
        <w:t>Wholesale of photographic and optical goods (e.g. sunglasses, binoculars, magnifying glasses)</w:t>
      </w:r>
    </w:p>
    <w:p w14:paraId="000005F8" w14:textId="1B74F437" w:rsidR="00F8269C" w:rsidRDefault="00450D2D">
      <w:pPr>
        <w:numPr>
          <w:ilvl w:val="0"/>
          <w:numId w:val="17"/>
        </w:numPr>
        <w:pBdr>
          <w:top w:val="nil"/>
          <w:left w:val="nil"/>
          <w:bottom w:val="nil"/>
          <w:right w:val="nil"/>
          <w:between w:val="nil"/>
        </w:pBdr>
        <w:spacing w:after="0"/>
      </w:pPr>
      <w:r>
        <w:rPr>
          <w:color w:val="000000"/>
        </w:rPr>
        <w:t>Wholesale of recorded audio and video tapes, CDs, DVDs</w:t>
      </w:r>
    </w:p>
    <w:p w14:paraId="000005F9" w14:textId="70C9A4F7" w:rsidR="00F8269C" w:rsidRDefault="00450D2D">
      <w:pPr>
        <w:numPr>
          <w:ilvl w:val="0"/>
          <w:numId w:val="17"/>
        </w:numPr>
        <w:pBdr>
          <w:top w:val="nil"/>
          <w:left w:val="nil"/>
          <w:bottom w:val="nil"/>
          <w:right w:val="nil"/>
          <w:between w:val="nil"/>
        </w:pBdr>
        <w:spacing w:after="0"/>
      </w:pPr>
      <w:r>
        <w:rPr>
          <w:color w:val="000000"/>
        </w:rPr>
        <w:t>Wholesale of leather goods and travel accessories</w:t>
      </w:r>
    </w:p>
    <w:p w14:paraId="000005FA" w14:textId="02CA8069" w:rsidR="00F8269C" w:rsidRDefault="00450D2D">
      <w:pPr>
        <w:numPr>
          <w:ilvl w:val="0"/>
          <w:numId w:val="17"/>
        </w:numPr>
        <w:pBdr>
          <w:top w:val="nil"/>
          <w:left w:val="nil"/>
          <w:bottom w:val="nil"/>
          <w:right w:val="nil"/>
          <w:between w:val="nil"/>
        </w:pBdr>
        <w:spacing w:after="0"/>
      </w:pPr>
      <w:r>
        <w:rPr>
          <w:color w:val="000000"/>
        </w:rPr>
        <w:t>Wholesale of watches, clocks and jewellery</w:t>
      </w:r>
    </w:p>
    <w:p w14:paraId="730731CA" w14:textId="77777777" w:rsidR="009C143A" w:rsidRPr="009D3DA2" w:rsidRDefault="00450D2D" w:rsidP="009D3DA2">
      <w:pPr>
        <w:numPr>
          <w:ilvl w:val="0"/>
          <w:numId w:val="17"/>
        </w:numPr>
        <w:pBdr>
          <w:top w:val="nil"/>
          <w:left w:val="nil"/>
          <w:bottom w:val="nil"/>
          <w:right w:val="nil"/>
          <w:between w:val="nil"/>
        </w:pBdr>
        <w:spacing w:after="0"/>
        <w:ind w:left="714" w:hanging="357"/>
      </w:pPr>
      <w:r>
        <w:rPr>
          <w:color w:val="000000"/>
        </w:rPr>
        <w:t>Wholesale of musical instruments, games and toys, sports goods</w:t>
      </w:r>
    </w:p>
    <w:p w14:paraId="000005FB" w14:textId="2DACE62E" w:rsidR="00F8269C" w:rsidRDefault="009C143A">
      <w:pPr>
        <w:numPr>
          <w:ilvl w:val="0"/>
          <w:numId w:val="17"/>
        </w:numPr>
        <w:pBdr>
          <w:top w:val="nil"/>
          <w:left w:val="nil"/>
          <w:bottom w:val="nil"/>
          <w:right w:val="nil"/>
          <w:between w:val="nil"/>
        </w:pBdr>
      </w:pPr>
      <w:r>
        <w:rPr>
          <w:color w:val="000000"/>
        </w:rPr>
        <w:t>Wholesale of silverware and medals</w:t>
      </w:r>
    </w:p>
    <w:p w14:paraId="000005FC" w14:textId="5D0748BB" w:rsidR="00F8269C" w:rsidRDefault="00450D2D">
      <w:pPr>
        <w:pStyle w:val="Heading4"/>
      </w:pPr>
      <w:bookmarkStart w:id="422" w:name="_Toc90191972"/>
      <w:bookmarkStart w:id="423" w:name="_Toc93842893"/>
      <w:bookmarkStart w:id="424" w:name="_Toc93843079"/>
      <w:r>
        <w:t>Exclusions</w:t>
      </w:r>
      <w:bookmarkEnd w:id="422"/>
      <w:bookmarkEnd w:id="423"/>
      <w:bookmarkEnd w:id="424"/>
    </w:p>
    <w:p w14:paraId="000005FD" w14:textId="7B7E0C7D" w:rsidR="00F8269C" w:rsidRDefault="00450D2D">
      <w:r>
        <w:t>This class excludes:</w:t>
      </w:r>
    </w:p>
    <w:p w14:paraId="000005FE" w14:textId="2DB22075" w:rsidR="00F8269C" w:rsidRDefault="00450D2D">
      <w:pPr>
        <w:numPr>
          <w:ilvl w:val="0"/>
          <w:numId w:val="17"/>
        </w:numPr>
        <w:pBdr>
          <w:top w:val="nil"/>
          <w:left w:val="nil"/>
          <w:bottom w:val="nil"/>
          <w:right w:val="nil"/>
          <w:between w:val="nil"/>
        </w:pBdr>
        <w:spacing w:after="0"/>
      </w:pPr>
      <w:r>
        <w:rPr>
          <w:color w:val="000000"/>
        </w:rPr>
        <w:t>Wholesale of blank audio and video tapes, CDs, DVDs, see ISIC Code - 4652</w:t>
      </w:r>
    </w:p>
    <w:p w14:paraId="000005FF" w14:textId="2593E486" w:rsidR="00F8269C" w:rsidRDefault="00450D2D">
      <w:pPr>
        <w:numPr>
          <w:ilvl w:val="0"/>
          <w:numId w:val="17"/>
        </w:numPr>
        <w:pBdr>
          <w:top w:val="nil"/>
          <w:left w:val="nil"/>
          <w:bottom w:val="nil"/>
          <w:right w:val="nil"/>
          <w:between w:val="nil"/>
        </w:pBdr>
        <w:spacing w:after="0"/>
      </w:pPr>
      <w:r>
        <w:rPr>
          <w:color w:val="000000"/>
        </w:rPr>
        <w:t>Wholesale of radio and TV broadcasting equipment, see ISIC Code - 4652</w:t>
      </w:r>
    </w:p>
    <w:p w14:paraId="00000600" w14:textId="35B2AF1D" w:rsidR="00F8269C" w:rsidRDefault="00450D2D">
      <w:pPr>
        <w:numPr>
          <w:ilvl w:val="0"/>
          <w:numId w:val="17"/>
        </w:numPr>
        <w:pBdr>
          <w:top w:val="nil"/>
          <w:left w:val="nil"/>
          <w:bottom w:val="nil"/>
          <w:right w:val="nil"/>
          <w:between w:val="nil"/>
        </w:pBdr>
      </w:pPr>
      <w:r>
        <w:rPr>
          <w:color w:val="000000"/>
        </w:rPr>
        <w:t>Wholesale of office furniture, see ISIC Code - 4659</w:t>
      </w:r>
    </w:p>
    <w:p w14:paraId="00000601" w14:textId="22F4BB7C" w:rsidR="00F8269C" w:rsidRDefault="00450D2D">
      <w:pPr>
        <w:pStyle w:val="Heading4"/>
      </w:pPr>
      <w:bookmarkStart w:id="425" w:name="_Toc90191973"/>
      <w:bookmarkStart w:id="426" w:name="_Toc93842894"/>
      <w:bookmarkStart w:id="427" w:name="_Toc93843080"/>
      <w:r>
        <w:t>ISIC Code 5911 - Motion Picture, Video and Television Programme Production Activities</w:t>
      </w:r>
      <w:bookmarkEnd w:id="425"/>
      <w:bookmarkEnd w:id="426"/>
      <w:bookmarkEnd w:id="427"/>
    </w:p>
    <w:p w14:paraId="00000602" w14:textId="21C9569F" w:rsidR="00F8269C" w:rsidRDefault="00450D2D">
      <w:pPr>
        <w:pStyle w:val="Heading4"/>
      </w:pPr>
      <w:bookmarkStart w:id="428" w:name="_Toc90191974"/>
      <w:bookmarkStart w:id="429" w:name="_Toc93842895"/>
      <w:bookmarkStart w:id="430" w:name="_Toc93843081"/>
      <w:r>
        <w:t>Inclusions</w:t>
      </w:r>
      <w:bookmarkEnd w:id="428"/>
      <w:bookmarkEnd w:id="429"/>
      <w:bookmarkEnd w:id="430"/>
    </w:p>
    <w:p w14:paraId="00000603" w14:textId="440CCBAE" w:rsidR="00F8269C" w:rsidRDefault="00450D2D">
      <w:r>
        <w:t>This class includes:</w:t>
      </w:r>
    </w:p>
    <w:p w14:paraId="00000604" w14:textId="39EEBBB6" w:rsidR="00F8269C" w:rsidRDefault="00450D2D">
      <w:pPr>
        <w:numPr>
          <w:ilvl w:val="0"/>
          <w:numId w:val="17"/>
        </w:numPr>
        <w:pBdr>
          <w:top w:val="nil"/>
          <w:left w:val="nil"/>
          <w:bottom w:val="nil"/>
          <w:right w:val="nil"/>
          <w:between w:val="nil"/>
        </w:pBdr>
      </w:pPr>
      <w:r>
        <w:rPr>
          <w:color w:val="000000"/>
        </w:rPr>
        <w:lastRenderedPageBreak/>
        <w:t>Production of motion pictures, videos, television programmes or television commercials</w:t>
      </w:r>
    </w:p>
    <w:p w14:paraId="00000605" w14:textId="16A4055E" w:rsidR="00F8269C" w:rsidRDefault="00450D2D">
      <w:pPr>
        <w:pStyle w:val="Heading4"/>
      </w:pPr>
      <w:bookmarkStart w:id="431" w:name="_Toc90191975"/>
      <w:bookmarkStart w:id="432" w:name="_Toc93842896"/>
      <w:bookmarkStart w:id="433" w:name="_Toc93843082"/>
      <w:r>
        <w:t>Exclusions</w:t>
      </w:r>
      <w:bookmarkEnd w:id="431"/>
      <w:bookmarkEnd w:id="432"/>
      <w:bookmarkEnd w:id="433"/>
    </w:p>
    <w:p w14:paraId="00000606" w14:textId="2D6EAF3B" w:rsidR="00F8269C" w:rsidRDefault="00450D2D">
      <w:r>
        <w:t>This class excludes:</w:t>
      </w:r>
    </w:p>
    <w:p w14:paraId="00000607" w14:textId="0A453A3C" w:rsidR="00F8269C" w:rsidRDefault="00450D2D">
      <w:pPr>
        <w:numPr>
          <w:ilvl w:val="0"/>
          <w:numId w:val="17"/>
        </w:numPr>
        <w:pBdr>
          <w:top w:val="nil"/>
          <w:left w:val="nil"/>
          <w:bottom w:val="nil"/>
          <w:right w:val="nil"/>
          <w:between w:val="nil"/>
        </w:pBdr>
        <w:spacing w:after="0"/>
      </w:pPr>
      <w:r>
        <w:rPr>
          <w:color w:val="000000"/>
        </w:rPr>
        <w:t>Film duplicating (except reproduction of motion picture film for theatrical distribution) as well as reproduction of audio and video tapes, CDs or DVDs from master copies, see ISIC Code - 1820</w:t>
      </w:r>
    </w:p>
    <w:p w14:paraId="00000608" w14:textId="1CD7D46F" w:rsidR="00F8269C" w:rsidRDefault="00450D2D">
      <w:pPr>
        <w:numPr>
          <w:ilvl w:val="0"/>
          <w:numId w:val="17"/>
        </w:numPr>
        <w:pBdr>
          <w:top w:val="nil"/>
          <w:left w:val="nil"/>
          <w:bottom w:val="nil"/>
          <w:right w:val="nil"/>
          <w:between w:val="nil"/>
        </w:pBdr>
        <w:spacing w:after="0"/>
      </w:pPr>
      <w:r>
        <w:rPr>
          <w:color w:val="000000"/>
        </w:rPr>
        <w:t>Wholesale of recorded video tapes, CDs, DVDs, see ISIC Code - 4649</w:t>
      </w:r>
    </w:p>
    <w:p w14:paraId="00000609" w14:textId="1EFD687D" w:rsidR="00F8269C" w:rsidRDefault="00450D2D">
      <w:pPr>
        <w:numPr>
          <w:ilvl w:val="0"/>
          <w:numId w:val="17"/>
        </w:numPr>
        <w:pBdr>
          <w:top w:val="nil"/>
          <w:left w:val="nil"/>
          <w:bottom w:val="nil"/>
          <w:right w:val="nil"/>
          <w:between w:val="nil"/>
        </w:pBdr>
        <w:spacing w:after="0"/>
      </w:pPr>
      <w:r>
        <w:rPr>
          <w:color w:val="000000"/>
        </w:rPr>
        <w:t>Retail trade of video tapes, CDs, DVDs, see ISIC Code - 4762</w:t>
      </w:r>
    </w:p>
    <w:p w14:paraId="0000060A" w14:textId="7A9E45CB" w:rsidR="00F8269C" w:rsidRDefault="00450D2D">
      <w:pPr>
        <w:numPr>
          <w:ilvl w:val="0"/>
          <w:numId w:val="17"/>
        </w:numPr>
        <w:pBdr>
          <w:top w:val="nil"/>
          <w:left w:val="nil"/>
          <w:bottom w:val="nil"/>
          <w:right w:val="nil"/>
          <w:between w:val="nil"/>
        </w:pBdr>
        <w:spacing w:after="0"/>
      </w:pPr>
      <w:r>
        <w:rPr>
          <w:color w:val="000000"/>
        </w:rPr>
        <w:t>Post-production activities, see ISIC Code - 5912</w:t>
      </w:r>
    </w:p>
    <w:p w14:paraId="0000060B" w14:textId="24E87A67" w:rsidR="00F8269C" w:rsidRDefault="00450D2D">
      <w:pPr>
        <w:numPr>
          <w:ilvl w:val="0"/>
          <w:numId w:val="17"/>
        </w:numPr>
        <w:pBdr>
          <w:top w:val="nil"/>
          <w:left w:val="nil"/>
          <w:bottom w:val="nil"/>
          <w:right w:val="nil"/>
          <w:between w:val="nil"/>
        </w:pBdr>
        <w:spacing w:after="0"/>
      </w:pPr>
      <w:r>
        <w:rPr>
          <w:color w:val="000000"/>
        </w:rPr>
        <w:t>Reproduction of motion picture film for theatrical distribution, see ISIC Code - 5912</w:t>
      </w:r>
    </w:p>
    <w:p w14:paraId="0000060C" w14:textId="05AC8C6D" w:rsidR="00F8269C" w:rsidRDefault="00450D2D">
      <w:pPr>
        <w:numPr>
          <w:ilvl w:val="0"/>
          <w:numId w:val="17"/>
        </w:numPr>
        <w:pBdr>
          <w:top w:val="nil"/>
          <w:left w:val="nil"/>
          <w:bottom w:val="nil"/>
          <w:right w:val="nil"/>
          <w:between w:val="nil"/>
        </w:pBdr>
        <w:spacing w:after="0"/>
      </w:pPr>
      <w:r>
        <w:rPr>
          <w:color w:val="000000"/>
        </w:rPr>
        <w:t>Sound recording and recording of books on tape, see ISIC Code - 5920</w:t>
      </w:r>
    </w:p>
    <w:p w14:paraId="0000060D" w14:textId="4793DE41" w:rsidR="00F8269C" w:rsidRDefault="00450D2D">
      <w:pPr>
        <w:numPr>
          <w:ilvl w:val="0"/>
          <w:numId w:val="17"/>
        </w:numPr>
        <w:pBdr>
          <w:top w:val="nil"/>
          <w:left w:val="nil"/>
          <w:bottom w:val="nil"/>
          <w:right w:val="nil"/>
          <w:between w:val="nil"/>
        </w:pBdr>
        <w:spacing w:after="0"/>
      </w:pPr>
      <w:r>
        <w:rPr>
          <w:color w:val="000000"/>
        </w:rPr>
        <w:t>Creating a complete television channel programme, see ISIC Code - 6020</w:t>
      </w:r>
    </w:p>
    <w:p w14:paraId="0000060E" w14:textId="0EC24759" w:rsidR="00F8269C" w:rsidRDefault="00450D2D">
      <w:pPr>
        <w:numPr>
          <w:ilvl w:val="0"/>
          <w:numId w:val="17"/>
        </w:numPr>
        <w:pBdr>
          <w:top w:val="nil"/>
          <w:left w:val="nil"/>
          <w:bottom w:val="nil"/>
          <w:right w:val="nil"/>
          <w:between w:val="nil"/>
        </w:pBdr>
        <w:spacing w:after="0"/>
      </w:pPr>
      <w:r>
        <w:rPr>
          <w:color w:val="000000"/>
        </w:rPr>
        <w:t>Television broadcasting, see ISIC Code - 6020</w:t>
      </w:r>
    </w:p>
    <w:p w14:paraId="0000060F" w14:textId="4E37CBBE" w:rsidR="00F8269C" w:rsidRDefault="00450D2D">
      <w:pPr>
        <w:numPr>
          <w:ilvl w:val="0"/>
          <w:numId w:val="17"/>
        </w:numPr>
        <w:pBdr>
          <w:top w:val="nil"/>
          <w:left w:val="nil"/>
          <w:bottom w:val="nil"/>
          <w:right w:val="nil"/>
          <w:between w:val="nil"/>
        </w:pBdr>
        <w:spacing w:after="0"/>
      </w:pPr>
      <w:r>
        <w:rPr>
          <w:color w:val="000000"/>
        </w:rPr>
        <w:t>Film processing other than for the motion picture industry, see ISIC Code - 7420</w:t>
      </w:r>
    </w:p>
    <w:p w14:paraId="00000610" w14:textId="4D900A85" w:rsidR="00F8269C" w:rsidRDefault="00450D2D">
      <w:pPr>
        <w:numPr>
          <w:ilvl w:val="0"/>
          <w:numId w:val="17"/>
        </w:numPr>
        <w:pBdr>
          <w:top w:val="nil"/>
          <w:left w:val="nil"/>
          <w:bottom w:val="nil"/>
          <w:right w:val="nil"/>
          <w:between w:val="nil"/>
        </w:pBdr>
        <w:spacing w:after="0"/>
      </w:pPr>
      <w:r>
        <w:rPr>
          <w:color w:val="000000"/>
        </w:rPr>
        <w:t>Activities of personal theatrical or artistic agents or agencies, see ISIC Code - 7490</w:t>
      </w:r>
    </w:p>
    <w:p w14:paraId="00000611" w14:textId="29F069A2" w:rsidR="00F8269C" w:rsidRDefault="00450D2D">
      <w:pPr>
        <w:numPr>
          <w:ilvl w:val="0"/>
          <w:numId w:val="17"/>
        </w:numPr>
        <w:pBdr>
          <w:top w:val="nil"/>
          <w:left w:val="nil"/>
          <w:bottom w:val="nil"/>
          <w:right w:val="nil"/>
          <w:between w:val="nil"/>
        </w:pBdr>
        <w:spacing w:after="0"/>
      </w:pPr>
      <w:r>
        <w:rPr>
          <w:color w:val="000000"/>
        </w:rPr>
        <w:t>Renting of video tapes, DVDs to the general public, see ISIC Code - 7722</w:t>
      </w:r>
    </w:p>
    <w:p w14:paraId="00000612" w14:textId="0711331D" w:rsidR="00F8269C" w:rsidRDefault="00450D2D">
      <w:pPr>
        <w:numPr>
          <w:ilvl w:val="0"/>
          <w:numId w:val="17"/>
        </w:numPr>
        <w:pBdr>
          <w:top w:val="nil"/>
          <w:left w:val="nil"/>
          <w:bottom w:val="nil"/>
          <w:right w:val="nil"/>
          <w:between w:val="nil"/>
        </w:pBdr>
        <w:spacing w:after="0"/>
      </w:pPr>
      <w:r>
        <w:rPr>
          <w:color w:val="000000"/>
        </w:rPr>
        <w:t>Real-time (i.e. simultaneous) closed captioning of live television performances, meetings, conferences, etc., see ISIC Code - 8299</w:t>
      </w:r>
    </w:p>
    <w:p w14:paraId="00000613" w14:textId="39E2890C" w:rsidR="00F8269C" w:rsidRDefault="00450D2D">
      <w:pPr>
        <w:numPr>
          <w:ilvl w:val="0"/>
          <w:numId w:val="17"/>
        </w:numPr>
        <w:pBdr>
          <w:top w:val="nil"/>
          <w:left w:val="nil"/>
          <w:bottom w:val="nil"/>
          <w:right w:val="nil"/>
          <w:between w:val="nil"/>
        </w:pBdr>
      </w:pPr>
      <w:r>
        <w:rPr>
          <w:color w:val="000000"/>
        </w:rPr>
        <w:t>Activities of own account actors, cartoonists, directors, stage designers and technical specialists, see ISIC Code - 9000</w:t>
      </w:r>
    </w:p>
    <w:p w14:paraId="00000614" w14:textId="42B05CF6" w:rsidR="00F8269C" w:rsidRDefault="00450D2D">
      <w:pPr>
        <w:pStyle w:val="Heading4"/>
      </w:pPr>
      <w:bookmarkStart w:id="434" w:name="_Toc90191976"/>
      <w:bookmarkStart w:id="435" w:name="_Toc93842897"/>
      <w:bookmarkStart w:id="436" w:name="_Toc93843083"/>
      <w:r>
        <w:t>ISIC Code 5912 - Motion Picture, Video and Television Programme Post-Production Activities</w:t>
      </w:r>
      <w:bookmarkEnd w:id="434"/>
      <w:bookmarkEnd w:id="435"/>
      <w:bookmarkEnd w:id="436"/>
    </w:p>
    <w:p w14:paraId="00000615" w14:textId="02EB2DC6" w:rsidR="00F8269C" w:rsidRDefault="00450D2D">
      <w:pPr>
        <w:pStyle w:val="Heading4"/>
      </w:pPr>
      <w:bookmarkStart w:id="437" w:name="_Toc90191977"/>
      <w:bookmarkStart w:id="438" w:name="_Toc93842898"/>
      <w:bookmarkStart w:id="439" w:name="_Toc93843084"/>
      <w:r>
        <w:t>Inclusions</w:t>
      </w:r>
      <w:bookmarkEnd w:id="437"/>
      <w:bookmarkEnd w:id="438"/>
      <w:bookmarkEnd w:id="439"/>
    </w:p>
    <w:p w14:paraId="00000616" w14:textId="1347C7B2" w:rsidR="00F8269C" w:rsidRDefault="00450D2D">
      <w:r>
        <w:t>This class includes:</w:t>
      </w:r>
    </w:p>
    <w:p w14:paraId="00000617" w14:textId="43C4A513" w:rsidR="00F8269C" w:rsidRDefault="00450D2D" w:rsidP="009D3DA2">
      <w:pPr>
        <w:numPr>
          <w:ilvl w:val="0"/>
          <w:numId w:val="9"/>
        </w:numPr>
        <w:pBdr>
          <w:top w:val="nil"/>
          <w:left w:val="nil"/>
          <w:bottom w:val="nil"/>
          <w:right w:val="nil"/>
          <w:between w:val="nil"/>
        </w:pBdr>
        <w:spacing w:after="0"/>
        <w:ind w:left="357"/>
      </w:pPr>
      <w:r>
        <w:rPr>
          <w:color w:val="000000"/>
        </w:rPr>
        <w:t>Post-production activities such as:</w:t>
      </w:r>
    </w:p>
    <w:p w14:paraId="00000618" w14:textId="69FD973A" w:rsidR="00F8269C" w:rsidRDefault="00450D2D" w:rsidP="009D3DA2">
      <w:pPr>
        <w:numPr>
          <w:ilvl w:val="0"/>
          <w:numId w:val="34"/>
        </w:numPr>
        <w:pBdr>
          <w:top w:val="nil"/>
          <w:left w:val="nil"/>
          <w:bottom w:val="nil"/>
          <w:right w:val="nil"/>
          <w:between w:val="nil"/>
        </w:pBdr>
        <w:spacing w:after="0"/>
        <w:ind w:left="1077" w:hanging="357"/>
      </w:pPr>
      <w:r>
        <w:rPr>
          <w:color w:val="000000"/>
        </w:rPr>
        <w:t>Editing, titling, subtitling, credits</w:t>
      </w:r>
    </w:p>
    <w:p w14:paraId="00000619" w14:textId="409F774B" w:rsidR="00F8269C" w:rsidRDefault="00450D2D" w:rsidP="009D3DA2">
      <w:pPr>
        <w:numPr>
          <w:ilvl w:val="0"/>
          <w:numId w:val="34"/>
        </w:numPr>
        <w:pBdr>
          <w:top w:val="nil"/>
          <w:left w:val="nil"/>
          <w:bottom w:val="nil"/>
          <w:right w:val="nil"/>
          <w:between w:val="nil"/>
        </w:pBdr>
        <w:spacing w:after="0"/>
        <w:ind w:left="1077" w:hanging="357"/>
      </w:pPr>
      <w:r>
        <w:rPr>
          <w:color w:val="000000"/>
        </w:rPr>
        <w:t>Closed captioning</w:t>
      </w:r>
    </w:p>
    <w:p w14:paraId="0000061A" w14:textId="40B04F50" w:rsidR="00F8269C" w:rsidRDefault="00450D2D" w:rsidP="009D3DA2">
      <w:pPr>
        <w:numPr>
          <w:ilvl w:val="0"/>
          <w:numId w:val="34"/>
        </w:numPr>
        <w:pBdr>
          <w:top w:val="nil"/>
          <w:left w:val="nil"/>
          <w:bottom w:val="nil"/>
          <w:right w:val="nil"/>
          <w:between w:val="nil"/>
        </w:pBdr>
        <w:spacing w:after="0"/>
        <w:ind w:left="1077" w:hanging="357"/>
      </w:pPr>
      <w:r>
        <w:rPr>
          <w:color w:val="000000"/>
        </w:rPr>
        <w:t>Computer-produced graphics, animation and special effects</w:t>
      </w:r>
    </w:p>
    <w:p w14:paraId="0000061B" w14:textId="46DF8C73" w:rsidR="00F8269C" w:rsidRDefault="00450D2D" w:rsidP="009D3DA2">
      <w:pPr>
        <w:numPr>
          <w:ilvl w:val="0"/>
          <w:numId w:val="34"/>
        </w:numPr>
        <w:pBdr>
          <w:top w:val="nil"/>
          <w:left w:val="nil"/>
          <w:bottom w:val="nil"/>
          <w:right w:val="nil"/>
          <w:between w:val="nil"/>
        </w:pBdr>
        <w:spacing w:after="0"/>
        <w:ind w:left="1077" w:hanging="357"/>
      </w:pPr>
      <w:r>
        <w:rPr>
          <w:color w:val="000000"/>
        </w:rPr>
        <w:t>Film/tape transfers</w:t>
      </w:r>
    </w:p>
    <w:p w14:paraId="0000061C" w14:textId="091BF032" w:rsidR="00F8269C" w:rsidRDefault="00450D2D">
      <w:pPr>
        <w:numPr>
          <w:ilvl w:val="0"/>
          <w:numId w:val="17"/>
        </w:numPr>
        <w:pBdr>
          <w:top w:val="nil"/>
          <w:left w:val="nil"/>
          <w:bottom w:val="nil"/>
          <w:right w:val="nil"/>
          <w:between w:val="nil"/>
        </w:pBdr>
        <w:spacing w:after="0"/>
      </w:pPr>
      <w:r>
        <w:rPr>
          <w:color w:val="000000"/>
        </w:rPr>
        <w:t>Activities of motion picture film laboratories and activities of special laboratories for animated films:</w:t>
      </w:r>
    </w:p>
    <w:p w14:paraId="0000061D" w14:textId="0FDA6E88" w:rsidR="00F8269C" w:rsidRDefault="00450D2D" w:rsidP="009D3DA2">
      <w:pPr>
        <w:pStyle w:val="ListParagraph"/>
        <w:numPr>
          <w:ilvl w:val="0"/>
          <w:numId w:val="35"/>
        </w:numPr>
        <w:pBdr>
          <w:top w:val="nil"/>
          <w:left w:val="nil"/>
          <w:bottom w:val="nil"/>
          <w:right w:val="nil"/>
          <w:between w:val="nil"/>
        </w:pBdr>
        <w:spacing w:after="0"/>
        <w:ind w:left="1077" w:hanging="357"/>
      </w:pPr>
      <w:r w:rsidRPr="009D3DA2">
        <w:rPr>
          <w:color w:val="000000"/>
        </w:rPr>
        <w:t>Developing and processing motion picture film</w:t>
      </w:r>
    </w:p>
    <w:p w14:paraId="0000061E" w14:textId="49CF0C01" w:rsidR="00F8269C" w:rsidRDefault="00450D2D" w:rsidP="009D3DA2">
      <w:pPr>
        <w:pStyle w:val="ListParagraph"/>
        <w:numPr>
          <w:ilvl w:val="0"/>
          <w:numId w:val="35"/>
        </w:numPr>
        <w:pBdr>
          <w:top w:val="nil"/>
          <w:left w:val="nil"/>
          <w:bottom w:val="nil"/>
          <w:right w:val="nil"/>
          <w:between w:val="nil"/>
        </w:pBdr>
        <w:spacing w:after="0"/>
        <w:ind w:left="1077" w:hanging="357"/>
      </w:pPr>
      <w:r w:rsidRPr="009D3DA2">
        <w:rPr>
          <w:color w:val="000000"/>
        </w:rPr>
        <w:t>Reproduction of motion picture film for theatrical distribution</w:t>
      </w:r>
    </w:p>
    <w:p w14:paraId="0000061F" w14:textId="270C6FD6" w:rsidR="00F8269C" w:rsidRDefault="00450D2D">
      <w:pPr>
        <w:numPr>
          <w:ilvl w:val="0"/>
          <w:numId w:val="17"/>
        </w:numPr>
        <w:pBdr>
          <w:top w:val="nil"/>
          <w:left w:val="nil"/>
          <w:bottom w:val="nil"/>
          <w:right w:val="nil"/>
          <w:between w:val="nil"/>
        </w:pBdr>
      </w:pPr>
      <w:r>
        <w:rPr>
          <w:color w:val="000000"/>
        </w:rPr>
        <w:t>Activities of stock footage film libraries etc.</w:t>
      </w:r>
    </w:p>
    <w:p w14:paraId="00000620" w14:textId="232B26AE" w:rsidR="00F8269C" w:rsidRDefault="00450D2D">
      <w:pPr>
        <w:pStyle w:val="Heading4"/>
      </w:pPr>
      <w:bookmarkStart w:id="440" w:name="_Toc90191978"/>
      <w:bookmarkStart w:id="441" w:name="_Toc93842899"/>
      <w:bookmarkStart w:id="442" w:name="_Toc93843085"/>
      <w:r>
        <w:t>Exclusions</w:t>
      </w:r>
      <w:bookmarkEnd w:id="440"/>
      <w:bookmarkEnd w:id="441"/>
      <w:bookmarkEnd w:id="442"/>
    </w:p>
    <w:p w14:paraId="00000621" w14:textId="4977B50E" w:rsidR="00F8269C" w:rsidRDefault="00450D2D">
      <w:r>
        <w:t>This class excludes:</w:t>
      </w:r>
    </w:p>
    <w:p w14:paraId="00000622" w14:textId="1069BDBE" w:rsidR="00F8269C" w:rsidRDefault="00450D2D">
      <w:pPr>
        <w:numPr>
          <w:ilvl w:val="0"/>
          <w:numId w:val="17"/>
        </w:numPr>
        <w:pBdr>
          <w:top w:val="nil"/>
          <w:left w:val="nil"/>
          <w:bottom w:val="nil"/>
          <w:right w:val="nil"/>
          <w:between w:val="nil"/>
        </w:pBdr>
        <w:spacing w:after="0"/>
      </w:pPr>
      <w:r>
        <w:rPr>
          <w:color w:val="000000"/>
        </w:rPr>
        <w:t>Film duplicating (except reproduction of motion picture film for theatrical distribution) as well as reproduction of audio and video tapes, CDs or DVDs from master copies, see ISIC Code - 1820</w:t>
      </w:r>
    </w:p>
    <w:p w14:paraId="00000623" w14:textId="43A0EBD4" w:rsidR="00F8269C" w:rsidRDefault="00450D2D">
      <w:pPr>
        <w:numPr>
          <w:ilvl w:val="0"/>
          <w:numId w:val="17"/>
        </w:numPr>
        <w:pBdr>
          <w:top w:val="nil"/>
          <w:left w:val="nil"/>
          <w:bottom w:val="nil"/>
          <w:right w:val="nil"/>
          <w:between w:val="nil"/>
        </w:pBdr>
        <w:spacing w:after="0"/>
      </w:pPr>
      <w:r>
        <w:rPr>
          <w:color w:val="000000"/>
        </w:rPr>
        <w:t>Wholesale of recorded video tapes, CDs, DVDs, see ISIC Code - 4649</w:t>
      </w:r>
    </w:p>
    <w:p w14:paraId="00000624" w14:textId="0F83FAA3" w:rsidR="00F8269C" w:rsidRDefault="00450D2D">
      <w:pPr>
        <w:numPr>
          <w:ilvl w:val="0"/>
          <w:numId w:val="17"/>
        </w:numPr>
        <w:pBdr>
          <w:top w:val="nil"/>
          <w:left w:val="nil"/>
          <w:bottom w:val="nil"/>
          <w:right w:val="nil"/>
          <w:between w:val="nil"/>
        </w:pBdr>
        <w:spacing w:after="0"/>
      </w:pPr>
      <w:r>
        <w:rPr>
          <w:color w:val="000000"/>
        </w:rPr>
        <w:t>Retail trade of video tapes, CDs, DVDs, see ISIC Code - 4762</w:t>
      </w:r>
    </w:p>
    <w:p w14:paraId="00000625" w14:textId="5532F1CA" w:rsidR="00F8269C" w:rsidRDefault="00450D2D">
      <w:pPr>
        <w:numPr>
          <w:ilvl w:val="0"/>
          <w:numId w:val="17"/>
        </w:numPr>
        <w:pBdr>
          <w:top w:val="nil"/>
          <w:left w:val="nil"/>
          <w:bottom w:val="nil"/>
          <w:right w:val="nil"/>
          <w:between w:val="nil"/>
        </w:pBdr>
        <w:spacing w:after="0"/>
      </w:pPr>
      <w:r>
        <w:rPr>
          <w:color w:val="000000"/>
        </w:rPr>
        <w:t>Film processing other than for the motion picture industry, see ISIC Code - 7420</w:t>
      </w:r>
    </w:p>
    <w:p w14:paraId="00000626" w14:textId="1E72C387" w:rsidR="00F8269C" w:rsidRDefault="00450D2D">
      <w:pPr>
        <w:numPr>
          <w:ilvl w:val="0"/>
          <w:numId w:val="17"/>
        </w:numPr>
        <w:pBdr>
          <w:top w:val="nil"/>
          <w:left w:val="nil"/>
          <w:bottom w:val="nil"/>
          <w:right w:val="nil"/>
          <w:between w:val="nil"/>
        </w:pBdr>
        <w:spacing w:after="0"/>
      </w:pPr>
      <w:r>
        <w:rPr>
          <w:color w:val="000000"/>
        </w:rPr>
        <w:t>Renting of video tapes, DVDs to the general public, see ISIC Code - 7722</w:t>
      </w:r>
    </w:p>
    <w:p w14:paraId="00000627" w14:textId="33C3D029" w:rsidR="00F8269C" w:rsidRDefault="00450D2D">
      <w:pPr>
        <w:numPr>
          <w:ilvl w:val="0"/>
          <w:numId w:val="17"/>
        </w:numPr>
        <w:pBdr>
          <w:top w:val="nil"/>
          <w:left w:val="nil"/>
          <w:bottom w:val="nil"/>
          <w:right w:val="nil"/>
          <w:between w:val="nil"/>
        </w:pBdr>
      </w:pPr>
      <w:r>
        <w:rPr>
          <w:color w:val="000000"/>
        </w:rPr>
        <w:t>Activities of own account actors, cartoonists, directors, stage designers and technical specialists, see ISIC Code - 9000</w:t>
      </w:r>
    </w:p>
    <w:p w14:paraId="00000628" w14:textId="7A157E9F" w:rsidR="00F8269C" w:rsidRDefault="00450D2D">
      <w:pPr>
        <w:pStyle w:val="Heading4"/>
      </w:pPr>
      <w:bookmarkStart w:id="443" w:name="_Toc90191979"/>
      <w:bookmarkStart w:id="444" w:name="_Toc93842900"/>
      <w:bookmarkStart w:id="445" w:name="_Toc93843086"/>
      <w:r>
        <w:t>ISIC Code 5913 - Motion Picture, Video and Television Programme Distribution Activities</w:t>
      </w:r>
      <w:bookmarkEnd w:id="443"/>
      <w:bookmarkEnd w:id="444"/>
      <w:bookmarkEnd w:id="445"/>
    </w:p>
    <w:p w14:paraId="00000629" w14:textId="25A78FC7" w:rsidR="00F8269C" w:rsidRDefault="00450D2D">
      <w:pPr>
        <w:pStyle w:val="Heading4"/>
      </w:pPr>
      <w:bookmarkStart w:id="446" w:name="_Toc90191980"/>
      <w:bookmarkStart w:id="447" w:name="_Toc93842901"/>
      <w:bookmarkStart w:id="448" w:name="_Toc93843087"/>
      <w:r>
        <w:t>Inclusions</w:t>
      </w:r>
      <w:bookmarkEnd w:id="446"/>
      <w:bookmarkEnd w:id="447"/>
      <w:bookmarkEnd w:id="448"/>
    </w:p>
    <w:p w14:paraId="0000062A" w14:textId="28437C11" w:rsidR="00F8269C" w:rsidRDefault="00450D2D">
      <w:r>
        <w:t>This class includes:</w:t>
      </w:r>
    </w:p>
    <w:p w14:paraId="0000062B" w14:textId="3FFB698C" w:rsidR="00F8269C" w:rsidRDefault="00450D2D">
      <w:pPr>
        <w:numPr>
          <w:ilvl w:val="0"/>
          <w:numId w:val="17"/>
        </w:numPr>
        <w:pBdr>
          <w:top w:val="nil"/>
          <w:left w:val="nil"/>
          <w:bottom w:val="nil"/>
          <w:right w:val="nil"/>
          <w:between w:val="nil"/>
        </w:pBdr>
        <w:spacing w:after="0"/>
      </w:pPr>
      <w:r>
        <w:rPr>
          <w:color w:val="000000"/>
        </w:rPr>
        <w:t>Distributing film, video tapes, DVDs and similar productions to motion picture theatres, television networks and stations and exhibitors</w:t>
      </w:r>
    </w:p>
    <w:p w14:paraId="0000062C" w14:textId="2B0D03BE" w:rsidR="00F8269C" w:rsidRDefault="00450D2D">
      <w:pPr>
        <w:numPr>
          <w:ilvl w:val="0"/>
          <w:numId w:val="17"/>
        </w:numPr>
        <w:pBdr>
          <w:top w:val="nil"/>
          <w:left w:val="nil"/>
          <w:bottom w:val="nil"/>
          <w:right w:val="nil"/>
          <w:between w:val="nil"/>
        </w:pBdr>
      </w:pPr>
      <w:r>
        <w:rPr>
          <w:color w:val="000000"/>
        </w:rPr>
        <w:t>Acquiring film, video tape and DVD distribution rights</w:t>
      </w:r>
    </w:p>
    <w:p w14:paraId="0000062D" w14:textId="2D55485F" w:rsidR="00F8269C" w:rsidRDefault="00450D2D">
      <w:pPr>
        <w:pStyle w:val="Heading4"/>
      </w:pPr>
      <w:bookmarkStart w:id="449" w:name="_Toc90191981"/>
      <w:bookmarkStart w:id="450" w:name="_Toc93842902"/>
      <w:bookmarkStart w:id="451" w:name="_Toc93843088"/>
      <w:r>
        <w:lastRenderedPageBreak/>
        <w:t>Exclusions</w:t>
      </w:r>
      <w:bookmarkEnd w:id="449"/>
      <w:bookmarkEnd w:id="450"/>
      <w:bookmarkEnd w:id="451"/>
    </w:p>
    <w:p w14:paraId="0000062E" w14:textId="3BC62EC4" w:rsidR="00F8269C" w:rsidRDefault="00450D2D">
      <w:r>
        <w:t>This class excludes:</w:t>
      </w:r>
    </w:p>
    <w:p w14:paraId="0000062F" w14:textId="3CFCEF44" w:rsidR="00F8269C" w:rsidRDefault="00450D2D">
      <w:pPr>
        <w:numPr>
          <w:ilvl w:val="0"/>
          <w:numId w:val="17"/>
        </w:numPr>
        <w:pBdr>
          <w:top w:val="nil"/>
          <w:left w:val="nil"/>
          <w:bottom w:val="nil"/>
          <w:right w:val="nil"/>
          <w:between w:val="nil"/>
        </w:pBdr>
        <w:spacing w:after="0"/>
      </w:pPr>
      <w:r>
        <w:rPr>
          <w:color w:val="000000"/>
        </w:rPr>
        <w:t>Film duplicating (except reproduction of motion picture film for theatrical distribution) as well as reproduction of audio and video tapes, CDs or DVDs from master copies, see ISIC Code - 1820</w:t>
      </w:r>
    </w:p>
    <w:p w14:paraId="00000630" w14:textId="4E73EA48" w:rsidR="00F8269C" w:rsidRDefault="00450D2D">
      <w:pPr>
        <w:numPr>
          <w:ilvl w:val="0"/>
          <w:numId w:val="17"/>
        </w:numPr>
        <w:pBdr>
          <w:top w:val="nil"/>
          <w:left w:val="nil"/>
          <w:bottom w:val="nil"/>
          <w:right w:val="nil"/>
          <w:between w:val="nil"/>
        </w:pBdr>
      </w:pPr>
      <w:r>
        <w:rPr>
          <w:color w:val="000000"/>
        </w:rPr>
        <w:t>Reproduction of motion picture film for theatrical distribution, see ISIC Code - 5912</w:t>
      </w:r>
    </w:p>
    <w:p w14:paraId="00000631" w14:textId="4FEF992F" w:rsidR="00F8269C" w:rsidRDefault="00450D2D">
      <w:pPr>
        <w:pStyle w:val="Heading4"/>
      </w:pPr>
      <w:bookmarkStart w:id="452" w:name="_Toc90191982"/>
      <w:bookmarkStart w:id="453" w:name="_Toc93842903"/>
      <w:bookmarkStart w:id="454" w:name="_Toc93843089"/>
      <w:r>
        <w:t>ISIC Code 5920 - Sound Recording and Music Publishing Activities</w:t>
      </w:r>
      <w:bookmarkEnd w:id="452"/>
      <w:bookmarkEnd w:id="453"/>
      <w:bookmarkEnd w:id="454"/>
    </w:p>
    <w:p w14:paraId="00000632" w14:textId="35D46F6D" w:rsidR="00F8269C" w:rsidRDefault="00450D2D">
      <w:pPr>
        <w:pStyle w:val="Heading4"/>
      </w:pPr>
      <w:bookmarkStart w:id="455" w:name="_Toc90191983"/>
      <w:bookmarkStart w:id="456" w:name="_Toc93842904"/>
      <w:bookmarkStart w:id="457" w:name="_Toc93843090"/>
      <w:r>
        <w:t>Inclusions</w:t>
      </w:r>
      <w:bookmarkEnd w:id="455"/>
      <w:bookmarkEnd w:id="456"/>
      <w:bookmarkEnd w:id="457"/>
    </w:p>
    <w:p w14:paraId="00000633" w14:textId="31C369C9" w:rsidR="00F8269C" w:rsidRDefault="00450D2D">
      <w:r>
        <w:t>This class includes:</w:t>
      </w:r>
    </w:p>
    <w:p w14:paraId="00000634" w14:textId="30BE1EE9" w:rsidR="00F8269C" w:rsidRDefault="00450D2D">
      <w:pPr>
        <w:numPr>
          <w:ilvl w:val="0"/>
          <w:numId w:val="17"/>
        </w:numPr>
        <w:pBdr>
          <w:top w:val="nil"/>
          <w:left w:val="nil"/>
          <w:bottom w:val="nil"/>
          <w:right w:val="nil"/>
          <w:between w:val="nil"/>
        </w:pBdr>
        <w:spacing w:after="0"/>
      </w:pPr>
      <w:r>
        <w:rPr>
          <w:color w:val="000000"/>
        </w:rPr>
        <w:t>Production of original (sound) master recordings, such as tapes, CDs</w:t>
      </w:r>
    </w:p>
    <w:p w14:paraId="00000635" w14:textId="08B490C9" w:rsidR="00F8269C" w:rsidRDefault="00450D2D">
      <w:pPr>
        <w:numPr>
          <w:ilvl w:val="0"/>
          <w:numId w:val="17"/>
        </w:numPr>
        <w:pBdr>
          <w:top w:val="nil"/>
          <w:left w:val="nil"/>
          <w:bottom w:val="nil"/>
          <w:right w:val="nil"/>
          <w:between w:val="nil"/>
        </w:pBdr>
        <w:spacing w:after="0"/>
      </w:pPr>
      <w:r>
        <w:rPr>
          <w:color w:val="000000"/>
        </w:rPr>
        <w:t>Sound recording service activities in a studio or elsewhere, including the production of taped (i.e. non-live) radio programming, audio for film, television etc.</w:t>
      </w:r>
    </w:p>
    <w:p w14:paraId="00000636" w14:textId="12233515" w:rsidR="00F8269C" w:rsidRDefault="00450D2D">
      <w:pPr>
        <w:numPr>
          <w:ilvl w:val="0"/>
          <w:numId w:val="17"/>
        </w:numPr>
        <w:pBdr>
          <w:top w:val="nil"/>
          <w:left w:val="nil"/>
          <w:bottom w:val="nil"/>
          <w:right w:val="nil"/>
          <w:between w:val="nil"/>
        </w:pBdr>
        <w:spacing w:after="0"/>
      </w:pPr>
      <w:r>
        <w:rPr>
          <w:color w:val="000000"/>
        </w:rPr>
        <w:t>Music publishing, i.e. activities of:</w:t>
      </w:r>
    </w:p>
    <w:p w14:paraId="00000637" w14:textId="6BB813BC" w:rsidR="00F8269C" w:rsidRDefault="00450D2D" w:rsidP="009D3DA2">
      <w:pPr>
        <w:numPr>
          <w:ilvl w:val="0"/>
          <w:numId w:val="37"/>
        </w:numPr>
        <w:pBdr>
          <w:top w:val="nil"/>
          <w:left w:val="nil"/>
          <w:bottom w:val="nil"/>
          <w:right w:val="nil"/>
          <w:between w:val="nil"/>
        </w:pBdr>
        <w:spacing w:after="0"/>
        <w:ind w:left="1077" w:hanging="357"/>
      </w:pPr>
      <w:r>
        <w:rPr>
          <w:color w:val="000000"/>
        </w:rPr>
        <w:t>Acquiring and registering copyrights for musical compositions</w:t>
      </w:r>
    </w:p>
    <w:p w14:paraId="00000638" w14:textId="0FD9FA7A" w:rsidR="00F8269C" w:rsidRDefault="00450D2D" w:rsidP="009D3DA2">
      <w:pPr>
        <w:numPr>
          <w:ilvl w:val="0"/>
          <w:numId w:val="37"/>
        </w:numPr>
        <w:pBdr>
          <w:top w:val="nil"/>
          <w:left w:val="nil"/>
          <w:bottom w:val="nil"/>
          <w:right w:val="nil"/>
          <w:between w:val="nil"/>
        </w:pBdr>
        <w:spacing w:after="0"/>
        <w:ind w:left="1077" w:hanging="357"/>
      </w:pPr>
      <w:r>
        <w:rPr>
          <w:color w:val="000000"/>
        </w:rPr>
        <w:t>Promoting, authori</w:t>
      </w:r>
      <w:r w:rsidR="007459BC">
        <w:rPr>
          <w:color w:val="000000"/>
        </w:rPr>
        <w:t>s</w:t>
      </w:r>
      <w:r>
        <w:rPr>
          <w:color w:val="000000"/>
        </w:rPr>
        <w:t>ing and using these compositions in recordings, radio, television, motion pictures, live performances, print and other media</w:t>
      </w:r>
    </w:p>
    <w:p w14:paraId="00000639" w14:textId="386AD271" w:rsidR="00F8269C" w:rsidRDefault="00450D2D" w:rsidP="009D3DA2">
      <w:pPr>
        <w:numPr>
          <w:ilvl w:val="0"/>
          <w:numId w:val="37"/>
        </w:numPr>
        <w:pBdr>
          <w:top w:val="nil"/>
          <w:left w:val="nil"/>
          <w:bottom w:val="nil"/>
          <w:right w:val="nil"/>
          <w:between w:val="nil"/>
        </w:pBdr>
        <w:spacing w:after="0"/>
        <w:ind w:left="1077" w:hanging="357"/>
      </w:pPr>
      <w:r>
        <w:rPr>
          <w:color w:val="000000"/>
        </w:rPr>
        <w:t>Distributing sound recordings to wholesalers, retailers or directly to the public</w:t>
      </w:r>
    </w:p>
    <w:p w14:paraId="23E14C8C" w14:textId="751814C3" w:rsidR="004E2CA7" w:rsidRDefault="004E2CA7" w:rsidP="004E2CA7">
      <w:pPr>
        <w:numPr>
          <w:ilvl w:val="0"/>
          <w:numId w:val="36"/>
        </w:numPr>
        <w:pBdr>
          <w:top w:val="nil"/>
          <w:left w:val="nil"/>
          <w:bottom w:val="nil"/>
          <w:right w:val="nil"/>
          <w:between w:val="nil"/>
        </w:pBdr>
      </w:pPr>
      <w:r>
        <w:rPr>
          <w:color w:val="000000"/>
        </w:rPr>
        <w:t>Publishing of music and sheet books</w:t>
      </w:r>
    </w:p>
    <w:p w14:paraId="0000063A" w14:textId="37E16345" w:rsidR="00F8269C" w:rsidRDefault="00450D2D">
      <w:r>
        <w:t>Units engaged in these activities may own the copyright or act as administrator of the music copyrights on behalf of the copyright owners.</w:t>
      </w:r>
    </w:p>
    <w:p w14:paraId="0000063C" w14:textId="5CAA0D3B" w:rsidR="00F8269C" w:rsidRDefault="00450D2D">
      <w:pPr>
        <w:pStyle w:val="Heading4"/>
      </w:pPr>
      <w:bookmarkStart w:id="458" w:name="_Toc90191984"/>
      <w:bookmarkStart w:id="459" w:name="_Toc93842905"/>
      <w:bookmarkStart w:id="460" w:name="_Toc93843091"/>
      <w:r>
        <w:t>Exclusions</w:t>
      </w:r>
      <w:bookmarkEnd w:id="458"/>
      <w:bookmarkEnd w:id="459"/>
      <w:bookmarkEnd w:id="460"/>
    </w:p>
    <w:p w14:paraId="0000063D" w14:textId="02CA6EFF" w:rsidR="00F8269C" w:rsidRDefault="00450D2D">
      <w:r>
        <w:t>This class excludes:</w:t>
      </w:r>
    </w:p>
    <w:p w14:paraId="0000063E" w14:textId="2B10E8F5" w:rsidR="00F8269C" w:rsidRDefault="00450D2D">
      <w:pPr>
        <w:numPr>
          <w:ilvl w:val="0"/>
          <w:numId w:val="17"/>
        </w:numPr>
        <w:pBdr>
          <w:top w:val="nil"/>
          <w:left w:val="nil"/>
          <w:bottom w:val="nil"/>
          <w:right w:val="nil"/>
          <w:between w:val="nil"/>
        </w:pBdr>
        <w:spacing w:after="0"/>
      </w:pPr>
      <w:r>
        <w:rPr>
          <w:color w:val="000000"/>
        </w:rPr>
        <w:t>Reproduction from master copies of music or other sound recordings, see ISIC Code - 1820</w:t>
      </w:r>
    </w:p>
    <w:p w14:paraId="0000063F" w14:textId="42C5BAF3" w:rsidR="00F8269C" w:rsidRDefault="00450D2D">
      <w:pPr>
        <w:numPr>
          <w:ilvl w:val="0"/>
          <w:numId w:val="17"/>
        </w:numPr>
        <w:pBdr>
          <w:top w:val="nil"/>
          <w:left w:val="nil"/>
          <w:bottom w:val="nil"/>
          <w:right w:val="nil"/>
          <w:between w:val="nil"/>
        </w:pBdr>
      </w:pPr>
      <w:r>
        <w:rPr>
          <w:color w:val="000000"/>
        </w:rPr>
        <w:t>Wholesale of recorded audio tapes and disks, see ISIC Code – 4649</w:t>
      </w:r>
    </w:p>
    <w:p w14:paraId="00000640" w14:textId="36A1D2BF" w:rsidR="00F8269C" w:rsidRDefault="00450D2D">
      <w:pPr>
        <w:pStyle w:val="Heading4"/>
      </w:pPr>
      <w:bookmarkStart w:id="461" w:name="_Toc90191985"/>
      <w:bookmarkStart w:id="462" w:name="_Toc93842906"/>
      <w:bookmarkStart w:id="463" w:name="_Toc93843092"/>
      <w:r>
        <w:t>ISIC Code 5914 - Motion Picture Projection Activities</w:t>
      </w:r>
      <w:bookmarkEnd w:id="461"/>
      <w:bookmarkEnd w:id="462"/>
      <w:bookmarkEnd w:id="463"/>
    </w:p>
    <w:p w14:paraId="00000641" w14:textId="791EB463" w:rsidR="00F8269C" w:rsidRDefault="00450D2D">
      <w:pPr>
        <w:pStyle w:val="Heading4"/>
      </w:pPr>
      <w:bookmarkStart w:id="464" w:name="_Toc90191986"/>
      <w:bookmarkStart w:id="465" w:name="_Toc93842907"/>
      <w:bookmarkStart w:id="466" w:name="_Toc93843093"/>
      <w:r>
        <w:t>Inclusions</w:t>
      </w:r>
      <w:bookmarkEnd w:id="464"/>
      <w:bookmarkEnd w:id="465"/>
      <w:bookmarkEnd w:id="466"/>
    </w:p>
    <w:p w14:paraId="00000642" w14:textId="29FB335A" w:rsidR="00F8269C" w:rsidRDefault="00450D2D">
      <w:r>
        <w:t>This class includes:</w:t>
      </w:r>
    </w:p>
    <w:p w14:paraId="00000643" w14:textId="24EDC110" w:rsidR="00F8269C" w:rsidRDefault="00450D2D">
      <w:pPr>
        <w:numPr>
          <w:ilvl w:val="0"/>
          <w:numId w:val="17"/>
        </w:numPr>
        <w:pBdr>
          <w:top w:val="nil"/>
          <w:left w:val="nil"/>
          <w:bottom w:val="nil"/>
          <w:right w:val="nil"/>
          <w:between w:val="nil"/>
        </w:pBdr>
        <w:spacing w:after="0"/>
      </w:pPr>
      <w:r>
        <w:rPr>
          <w:color w:val="000000"/>
        </w:rPr>
        <w:t>Motion picture or videotape projection in cinemas, in the open air or in other projection facilities</w:t>
      </w:r>
    </w:p>
    <w:p w14:paraId="00000644" w14:textId="50145396" w:rsidR="00F8269C" w:rsidRDefault="00450D2D">
      <w:pPr>
        <w:numPr>
          <w:ilvl w:val="0"/>
          <w:numId w:val="17"/>
        </w:numPr>
        <w:pBdr>
          <w:top w:val="nil"/>
          <w:left w:val="nil"/>
          <w:bottom w:val="nil"/>
          <w:right w:val="nil"/>
          <w:between w:val="nil"/>
        </w:pBdr>
      </w:pPr>
      <w:r>
        <w:rPr>
          <w:color w:val="000000"/>
        </w:rPr>
        <w:t>Activities of cine-clubs</w:t>
      </w:r>
    </w:p>
    <w:p w14:paraId="00000645" w14:textId="36D773FD" w:rsidR="00F8269C" w:rsidRDefault="00450D2D">
      <w:pPr>
        <w:pStyle w:val="Heading4"/>
      </w:pPr>
      <w:bookmarkStart w:id="467" w:name="_Toc90191987"/>
      <w:bookmarkStart w:id="468" w:name="_Toc93842908"/>
      <w:bookmarkStart w:id="469" w:name="_Toc93843094"/>
      <w:r>
        <w:t>ISIC Code 6010 - Radio Broadcasting</w:t>
      </w:r>
      <w:bookmarkEnd w:id="467"/>
      <w:bookmarkEnd w:id="468"/>
      <w:bookmarkEnd w:id="469"/>
    </w:p>
    <w:p w14:paraId="00000646" w14:textId="02898A3B" w:rsidR="00F8269C" w:rsidRDefault="00450D2D">
      <w:pPr>
        <w:pStyle w:val="Heading4"/>
      </w:pPr>
      <w:bookmarkStart w:id="470" w:name="_Toc90191988"/>
      <w:bookmarkStart w:id="471" w:name="_Toc93842909"/>
      <w:bookmarkStart w:id="472" w:name="_Toc93843095"/>
      <w:r>
        <w:t>Inclusions</w:t>
      </w:r>
      <w:bookmarkEnd w:id="470"/>
      <w:bookmarkEnd w:id="471"/>
      <w:bookmarkEnd w:id="472"/>
    </w:p>
    <w:p w14:paraId="00000647" w14:textId="71889A53" w:rsidR="00F8269C" w:rsidRDefault="00450D2D">
      <w:r>
        <w:t>This class includes:</w:t>
      </w:r>
    </w:p>
    <w:p w14:paraId="00000648" w14:textId="20955865" w:rsidR="00F8269C" w:rsidRDefault="00450D2D">
      <w:pPr>
        <w:numPr>
          <w:ilvl w:val="0"/>
          <w:numId w:val="17"/>
        </w:numPr>
        <w:pBdr>
          <w:top w:val="nil"/>
          <w:left w:val="nil"/>
          <w:bottom w:val="nil"/>
          <w:right w:val="nil"/>
          <w:between w:val="nil"/>
        </w:pBdr>
        <w:spacing w:after="0"/>
      </w:pPr>
      <w:r>
        <w:rPr>
          <w:color w:val="000000"/>
        </w:rPr>
        <w:t>Broadcasting audio signals through radio broadcasting studios and facilities for the transmission of aural programming to the public, to affiliates or to subscribers</w:t>
      </w:r>
    </w:p>
    <w:p w14:paraId="00000649" w14:textId="1C6CD703" w:rsidR="00F8269C" w:rsidRDefault="00450D2D">
      <w:pPr>
        <w:numPr>
          <w:ilvl w:val="0"/>
          <w:numId w:val="17"/>
        </w:numPr>
        <w:pBdr>
          <w:top w:val="nil"/>
          <w:left w:val="nil"/>
          <w:bottom w:val="nil"/>
          <w:right w:val="nil"/>
          <w:between w:val="nil"/>
        </w:pBdr>
        <w:spacing w:after="0"/>
      </w:pPr>
      <w:r>
        <w:rPr>
          <w:color w:val="000000"/>
        </w:rPr>
        <w:t>Activities of radio networks, i.e. assembling and transmitting aural programming to the affiliates or subscribers via over-the-air broadcasts, cable or satellite</w:t>
      </w:r>
    </w:p>
    <w:p w14:paraId="0000064A" w14:textId="16814A09" w:rsidR="00F8269C" w:rsidRDefault="00450D2D">
      <w:pPr>
        <w:numPr>
          <w:ilvl w:val="0"/>
          <w:numId w:val="17"/>
        </w:numPr>
        <w:pBdr>
          <w:top w:val="nil"/>
          <w:left w:val="nil"/>
          <w:bottom w:val="nil"/>
          <w:right w:val="nil"/>
          <w:between w:val="nil"/>
        </w:pBdr>
        <w:spacing w:after="0"/>
      </w:pPr>
      <w:r>
        <w:rPr>
          <w:color w:val="000000"/>
        </w:rPr>
        <w:t>Radio broadcasting activities over the Internet (Internet radio stations)</w:t>
      </w:r>
    </w:p>
    <w:p w14:paraId="0000064B" w14:textId="7901FABB" w:rsidR="00F8269C" w:rsidRDefault="00450D2D">
      <w:pPr>
        <w:numPr>
          <w:ilvl w:val="0"/>
          <w:numId w:val="17"/>
        </w:numPr>
        <w:pBdr>
          <w:top w:val="nil"/>
          <w:left w:val="nil"/>
          <w:bottom w:val="nil"/>
          <w:right w:val="nil"/>
          <w:between w:val="nil"/>
        </w:pBdr>
      </w:pPr>
      <w:r>
        <w:rPr>
          <w:color w:val="000000"/>
        </w:rPr>
        <w:t>Data broadcasting integrated with radio broadcasting</w:t>
      </w:r>
    </w:p>
    <w:p w14:paraId="0000064C" w14:textId="5BFCD25D" w:rsidR="00F8269C" w:rsidRDefault="00450D2D">
      <w:pPr>
        <w:pStyle w:val="Heading4"/>
      </w:pPr>
      <w:bookmarkStart w:id="473" w:name="_Toc90191989"/>
      <w:bookmarkStart w:id="474" w:name="_Toc93842910"/>
      <w:bookmarkStart w:id="475" w:name="_Toc93843096"/>
      <w:r>
        <w:t>Exclusions</w:t>
      </w:r>
      <w:bookmarkEnd w:id="473"/>
      <w:bookmarkEnd w:id="474"/>
      <w:bookmarkEnd w:id="475"/>
    </w:p>
    <w:p w14:paraId="0000064D" w14:textId="0D1F3280" w:rsidR="00F8269C" w:rsidRDefault="00450D2D">
      <w:r>
        <w:t>This class excludes:</w:t>
      </w:r>
    </w:p>
    <w:p w14:paraId="0000064E" w14:textId="00E0FD85" w:rsidR="00F8269C" w:rsidRDefault="00450D2D">
      <w:pPr>
        <w:numPr>
          <w:ilvl w:val="0"/>
          <w:numId w:val="17"/>
        </w:numPr>
        <w:pBdr>
          <w:top w:val="nil"/>
          <w:left w:val="nil"/>
          <w:bottom w:val="nil"/>
          <w:right w:val="nil"/>
          <w:between w:val="nil"/>
        </w:pBdr>
      </w:pPr>
      <w:r>
        <w:rPr>
          <w:color w:val="000000"/>
        </w:rPr>
        <w:t>Production of taped radio programming, see ISIC Code - 5920</w:t>
      </w:r>
    </w:p>
    <w:p w14:paraId="0000064F" w14:textId="526A8074" w:rsidR="00F8269C" w:rsidRDefault="00450D2D">
      <w:pPr>
        <w:pStyle w:val="Heading4"/>
      </w:pPr>
      <w:r>
        <w:t xml:space="preserve"> </w:t>
      </w:r>
      <w:bookmarkStart w:id="476" w:name="_Toc90191990"/>
      <w:bookmarkStart w:id="477" w:name="_Toc93842911"/>
      <w:bookmarkStart w:id="478" w:name="_Toc93843097"/>
      <w:r>
        <w:t>ISIC Code 6020 - Television Programming and Broadcasting Activities</w:t>
      </w:r>
      <w:bookmarkEnd w:id="476"/>
      <w:bookmarkEnd w:id="477"/>
      <w:bookmarkEnd w:id="478"/>
    </w:p>
    <w:p w14:paraId="00000650" w14:textId="5ACEB144" w:rsidR="00F8269C" w:rsidRDefault="00450D2D">
      <w:pPr>
        <w:pStyle w:val="Heading4"/>
      </w:pPr>
      <w:bookmarkStart w:id="479" w:name="_Toc90191991"/>
      <w:bookmarkStart w:id="480" w:name="_Toc93842912"/>
      <w:bookmarkStart w:id="481" w:name="_Toc93843098"/>
      <w:r>
        <w:t>Inclusions</w:t>
      </w:r>
      <w:bookmarkEnd w:id="479"/>
      <w:bookmarkEnd w:id="480"/>
      <w:bookmarkEnd w:id="481"/>
    </w:p>
    <w:p w14:paraId="00000651" w14:textId="46735BD0" w:rsidR="00F8269C" w:rsidRDefault="00450D2D">
      <w:r>
        <w:t>This class includes:</w:t>
      </w:r>
    </w:p>
    <w:p w14:paraId="00000652" w14:textId="529619CC" w:rsidR="00F8269C" w:rsidRDefault="00450D2D" w:rsidP="009D3DA2">
      <w:pPr>
        <w:numPr>
          <w:ilvl w:val="0"/>
          <w:numId w:val="17"/>
        </w:numPr>
        <w:pBdr>
          <w:top w:val="nil"/>
          <w:left w:val="nil"/>
          <w:bottom w:val="nil"/>
          <w:right w:val="nil"/>
          <w:between w:val="nil"/>
        </w:pBdr>
        <w:spacing w:after="0"/>
        <w:ind w:left="714" w:hanging="357"/>
      </w:pPr>
      <w:r>
        <w:rPr>
          <w:color w:val="000000"/>
        </w:rPr>
        <w:lastRenderedPageBreak/>
        <w:t>Creation of a complete television channel programme, from purchased programme components (e.g. movies, documentaries etc.), self-produced programme components (e.g. local news, live reports) or a combination thereof</w:t>
      </w:r>
    </w:p>
    <w:p w14:paraId="00000655" w14:textId="63687BC7" w:rsidR="00F8269C" w:rsidRDefault="00450D2D">
      <w:pPr>
        <w:numPr>
          <w:ilvl w:val="0"/>
          <w:numId w:val="17"/>
        </w:numPr>
        <w:pBdr>
          <w:top w:val="nil"/>
          <w:left w:val="nil"/>
          <w:bottom w:val="nil"/>
          <w:right w:val="nil"/>
          <w:between w:val="nil"/>
        </w:pBdr>
        <w:spacing w:after="0"/>
      </w:pPr>
      <w:r>
        <w:rPr>
          <w:color w:val="000000"/>
        </w:rPr>
        <w:t>Programming of video-on-demand channels</w:t>
      </w:r>
    </w:p>
    <w:p w14:paraId="14B6AF9B" w14:textId="3A6164E0" w:rsidR="00BD0A46" w:rsidRDefault="00BD0A46" w:rsidP="00BD0A46">
      <w:pPr>
        <w:numPr>
          <w:ilvl w:val="0"/>
          <w:numId w:val="17"/>
        </w:numPr>
        <w:pBdr>
          <w:top w:val="nil"/>
          <w:left w:val="nil"/>
          <w:bottom w:val="nil"/>
          <w:right w:val="nil"/>
          <w:between w:val="nil"/>
        </w:pBdr>
      </w:pPr>
      <w:r>
        <w:rPr>
          <w:color w:val="000000"/>
        </w:rPr>
        <w:t>Data broadcasting integrated with television broadcasting</w:t>
      </w:r>
    </w:p>
    <w:p w14:paraId="3DBEA45D" w14:textId="4567A836" w:rsidR="00BD0A46" w:rsidRDefault="00BD0A46" w:rsidP="009D3DA2">
      <w:r>
        <w:t>This complete television programme can be either broadcast by the producing unit or produced for transmission by third party distributors, such as cable companies or satellite television providers.</w:t>
      </w:r>
    </w:p>
    <w:p w14:paraId="55B469B0" w14:textId="34ACFA5B" w:rsidR="00BD0A46" w:rsidRDefault="00BD0A46" w:rsidP="009D3DA2">
      <w:r>
        <w:t>The programming may be of a general or speciali</w:t>
      </w:r>
      <w:r w:rsidR="00B83450">
        <w:t>s</w:t>
      </w:r>
      <w:r>
        <w:t>ed nature (e.g. limited formats such as news, sports, education or youth oriented programming), may be made freely available to users or may be available only on a subscription basis.</w:t>
      </w:r>
    </w:p>
    <w:p w14:paraId="00000657" w14:textId="6B0D4D9F" w:rsidR="00F8269C" w:rsidRDefault="00450D2D">
      <w:pPr>
        <w:pStyle w:val="Heading4"/>
      </w:pPr>
      <w:bookmarkStart w:id="482" w:name="_Toc90191992"/>
      <w:bookmarkStart w:id="483" w:name="_Toc93842913"/>
      <w:bookmarkStart w:id="484" w:name="_Toc93843099"/>
      <w:r>
        <w:t>Exclusions</w:t>
      </w:r>
      <w:bookmarkEnd w:id="482"/>
      <w:bookmarkEnd w:id="483"/>
      <w:bookmarkEnd w:id="484"/>
    </w:p>
    <w:p w14:paraId="00000658" w14:textId="7867C16C" w:rsidR="00F8269C" w:rsidRDefault="00450D2D">
      <w:r>
        <w:t>This class excludes:</w:t>
      </w:r>
    </w:p>
    <w:p w14:paraId="00000659" w14:textId="3F744565" w:rsidR="00F8269C" w:rsidRDefault="00450D2D">
      <w:pPr>
        <w:numPr>
          <w:ilvl w:val="0"/>
          <w:numId w:val="17"/>
        </w:numPr>
        <w:pBdr>
          <w:top w:val="nil"/>
          <w:left w:val="nil"/>
          <w:bottom w:val="nil"/>
          <w:right w:val="nil"/>
          <w:between w:val="nil"/>
        </w:pBdr>
        <w:spacing w:after="0"/>
      </w:pPr>
      <w:r>
        <w:rPr>
          <w:color w:val="000000"/>
        </w:rPr>
        <w:t>Production of television programme elements (e.g. movies, documentaries, commercials), see ISIC Code - 5911</w:t>
      </w:r>
    </w:p>
    <w:p w14:paraId="0000065A" w14:textId="6A970297" w:rsidR="00F8269C" w:rsidRDefault="00450D2D">
      <w:pPr>
        <w:numPr>
          <w:ilvl w:val="0"/>
          <w:numId w:val="17"/>
        </w:numPr>
        <w:pBdr>
          <w:top w:val="nil"/>
          <w:left w:val="nil"/>
          <w:bottom w:val="nil"/>
          <w:right w:val="nil"/>
          <w:between w:val="nil"/>
        </w:pBdr>
      </w:pPr>
      <w:r>
        <w:rPr>
          <w:color w:val="000000"/>
        </w:rPr>
        <w:t>Assembly of a package of channels and distribution of that package via cable or satellite to viewers, see ISIC Code - 61</w:t>
      </w:r>
    </w:p>
    <w:p w14:paraId="0000065B" w14:textId="3E4B3EF6" w:rsidR="00F8269C" w:rsidRDefault="00450D2D">
      <w:pPr>
        <w:pStyle w:val="Heading4"/>
      </w:pPr>
      <w:bookmarkStart w:id="485" w:name="_Toc90191993"/>
      <w:bookmarkStart w:id="486" w:name="_Toc93842914"/>
      <w:bookmarkStart w:id="487" w:name="_Toc93843100"/>
      <w:r>
        <w:t>ISIC Code 6312 - Web Portals</w:t>
      </w:r>
      <w:bookmarkEnd w:id="485"/>
      <w:bookmarkEnd w:id="486"/>
      <w:bookmarkEnd w:id="487"/>
    </w:p>
    <w:p w14:paraId="0000065C" w14:textId="67BB309E" w:rsidR="00F8269C" w:rsidRDefault="00450D2D">
      <w:pPr>
        <w:pStyle w:val="Heading4"/>
      </w:pPr>
      <w:bookmarkStart w:id="488" w:name="_Toc90191994"/>
      <w:bookmarkStart w:id="489" w:name="_Toc93842915"/>
      <w:bookmarkStart w:id="490" w:name="_Toc93843101"/>
      <w:r>
        <w:t>Inclusions</w:t>
      </w:r>
      <w:bookmarkEnd w:id="488"/>
      <w:bookmarkEnd w:id="489"/>
      <w:bookmarkEnd w:id="490"/>
    </w:p>
    <w:p w14:paraId="0000065D" w14:textId="134501A8" w:rsidR="00F8269C" w:rsidRDefault="00450D2D">
      <w:r>
        <w:t>This class includes:</w:t>
      </w:r>
    </w:p>
    <w:p w14:paraId="0000065E" w14:textId="595D3EDB" w:rsidR="00F8269C" w:rsidRDefault="00450D2D">
      <w:pPr>
        <w:numPr>
          <w:ilvl w:val="0"/>
          <w:numId w:val="17"/>
        </w:numPr>
        <w:pBdr>
          <w:top w:val="nil"/>
          <w:left w:val="nil"/>
          <w:bottom w:val="nil"/>
          <w:right w:val="nil"/>
          <w:between w:val="nil"/>
        </w:pBdr>
        <w:spacing w:after="0"/>
      </w:pPr>
      <w:r>
        <w:rPr>
          <w:color w:val="000000"/>
        </w:rPr>
        <w:t xml:space="preserve">Operation of </w:t>
      </w:r>
      <w:sdt>
        <w:sdtPr>
          <w:tag w:val="goog_rdk_70"/>
          <w:id w:val="1988976475"/>
        </w:sdtPr>
        <w:sdtEndPr/>
        <w:sdtContent/>
      </w:sdt>
      <w:r>
        <w:rPr>
          <w:color w:val="000000"/>
        </w:rPr>
        <w:t>websites that use a search engine to generate and maintain extensive databases of Internet addresses and content in an easily searchable format</w:t>
      </w:r>
    </w:p>
    <w:p w14:paraId="0000065F" w14:textId="69413391" w:rsidR="00F8269C" w:rsidRDefault="00450D2D">
      <w:pPr>
        <w:numPr>
          <w:ilvl w:val="0"/>
          <w:numId w:val="17"/>
        </w:numPr>
        <w:pBdr>
          <w:top w:val="nil"/>
          <w:left w:val="nil"/>
          <w:bottom w:val="nil"/>
          <w:right w:val="nil"/>
          <w:between w:val="nil"/>
        </w:pBdr>
      </w:pPr>
      <w:r>
        <w:rPr>
          <w:color w:val="000000"/>
        </w:rPr>
        <w:t>Operation of other websites that act as portals to the Internet, such as media sites providing periodically updated content</w:t>
      </w:r>
    </w:p>
    <w:p w14:paraId="00000660" w14:textId="056443FB" w:rsidR="00F8269C" w:rsidRDefault="00450D2D">
      <w:pPr>
        <w:pStyle w:val="Heading4"/>
      </w:pPr>
      <w:bookmarkStart w:id="491" w:name="_Toc90191995"/>
      <w:bookmarkStart w:id="492" w:name="_Toc93842916"/>
      <w:bookmarkStart w:id="493" w:name="_Toc93843102"/>
      <w:r>
        <w:t xml:space="preserve">ISIC CODE 7722 - </w:t>
      </w:r>
      <w:r w:rsidR="00496274">
        <w:t xml:space="preserve">Renting of </w:t>
      </w:r>
      <w:r w:rsidR="00DA4D0D">
        <w:t>V</w:t>
      </w:r>
      <w:r w:rsidR="00496274">
        <w:t xml:space="preserve">ideo </w:t>
      </w:r>
      <w:r w:rsidR="00DA4D0D">
        <w:t>T</w:t>
      </w:r>
      <w:r w:rsidR="00496274">
        <w:t xml:space="preserve">apes and </w:t>
      </w:r>
      <w:r w:rsidR="00DA4D0D">
        <w:t>D</w:t>
      </w:r>
      <w:r w:rsidR="00496274">
        <w:t>isks</w:t>
      </w:r>
      <w:bookmarkEnd w:id="491"/>
      <w:bookmarkEnd w:id="492"/>
      <w:bookmarkEnd w:id="493"/>
    </w:p>
    <w:p w14:paraId="00000661" w14:textId="7290A2C9" w:rsidR="00F8269C" w:rsidRDefault="00450D2D">
      <w:pPr>
        <w:pStyle w:val="Heading4"/>
      </w:pPr>
      <w:bookmarkStart w:id="494" w:name="_Toc90191996"/>
      <w:bookmarkStart w:id="495" w:name="_Toc93842917"/>
      <w:bookmarkStart w:id="496" w:name="_Toc93843103"/>
      <w:r>
        <w:t>Inclusions</w:t>
      </w:r>
      <w:bookmarkEnd w:id="494"/>
      <w:bookmarkEnd w:id="495"/>
      <w:bookmarkEnd w:id="496"/>
    </w:p>
    <w:p w14:paraId="00000662" w14:textId="31C1F879" w:rsidR="00F8269C" w:rsidRDefault="00450D2D">
      <w:r>
        <w:t>This class includes:</w:t>
      </w:r>
    </w:p>
    <w:p w14:paraId="00000663" w14:textId="796612BE" w:rsidR="00F8269C" w:rsidRDefault="00450D2D">
      <w:pPr>
        <w:numPr>
          <w:ilvl w:val="0"/>
          <w:numId w:val="17"/>
        </w:numPr>
        <w:pBdr>
          <w:top w:val="nil"/>
          <w:left w:val="nil"/>
          <w:bottom w:val="nil"/>
          <w:right w:val="nil"/>
          <w:between w:val="nil"/>
        </w:pBdr>
      </w:pPr>
      <w:r>
        <w:rPr>
          <w:color w:val="000000"/>
        </w:rPr>
        <w:t>Renting of video tapes, records, CDs, DVDs etc.</w:t>
      </w:r>
    </w:p>
    <w:p w14:paraId="00000664" w14:textId="5BEA0C97" w:rsidR="00F8269C" w:rsidRDefault="00450D2D">
      <w:pPr>
        <w:pStyle w:val="Heading4"/>
      </w:pPr>
      <w:bookmarkStart w:id="497" w:name="_Toc90191997"/>
      <w:bookmarkStart w:id="498" w:name="_Toc93842918"/>
      <w:bookmarkStart w:id="499" w:name="_Toc93843104"/>
      <w:r>
        <w:t>ISIC Code 6391 - News Agency Activities</w:t>
      </w:r>
      <w:bookmarkEnd w:id="497"/>
      <w:bookmarkEnd w:id="498"/>
      <w:bookmarkEnd w:id="499"/>
    </w:p>
    <w:p w14:paraId="00000665" w14:textId="3CF1E994" w:rsidR="00F8269C" w:rsidRDefault="00450D2D">
      <w:pPr>
        <w:pStyle w:val="Heading4"/>
      </w:pPr>
      <w:bookmarkStart w:id="500" w:name="_Toc90191998"/>
      <w:bookmarkStart w:id="501" w:name="_Toc93842919"/>
      <w:bookmarkStart w:id="502" w:name="_Toc93843105"/>
      <w:r>
        <w:t>Inclusions</w:t>
      </w:r>
      <w:bookmarkEnd w:id="500"/>
      <w:bookmarkEnd w:id="501"/>
      <w:bookmarkEnd w:id="502"/>
    </w:p>
    <w:p w14:paraId="00000666" w14:textId="279A9BBF" w:rsidR="00F8269C" w:rsidRDefault="00450D2D">
      <w:r>
        <w:t>This class includes:</w:t>
      </w:r>
    </w:p>
    <w:p w14:paraId="00000667" w14:textId="7155C513" w:rsidR="00F8269C" w:rsidRDefault="00450D2D">
      <w:pPr>
        <w:numPr>
          <w:ilvl w:val="0"/>
          <w:numId w:val="17"/>
        </w:numPr>
        <w:pBdr>
          <w:top w:val="nil"/>
          <w:left w:val="nil"/>
          <w:bottom w:val="nil"/>
          <w:right w:val="nil"/>
          <w:between w:val="nil"/>
        </w:pBdr>
      </w:pPr>
      <w:r>
        <w:rPr>
          <w:color w:val="000000"/>
        </w:rPr>
        <w:t>News syndicate and news agency activities furnishing news, pictures and features to the media</w:t>
      </w:r>
    </w:p>
    <w:p w14:paraId="00000668" w14:textId="0276702E" w:rsidR="00F8269C" w:rsidRDefault="00450D2D">
      <w:pPr>
        <w:pStyle w:val="Heading4"/>
      </w:pPr>
      <w:bookmarkStart w:id="503" w:name="_Toc90191999"/>
      <w:bookmarkStart w:id="504" w:name="_Toc93842920"/>
      <w:bookmarkStart w:id="505" w:name="_Toc93843106"/>
      <w:r>
        <w:t>Exclusions</w:t>
      </w:r>
      <w:bookmarkEnd w:id="503"/>
      <w:bookmarkEnd w:id="504"/>
      <w:bookmarkEnd w:id="505"/>
    </w:p>
    <w:p w14:paraId="00000669" w14:textId="14BA3502" w:rsidR="00F8269C" w:rsidRDefault="00450D2D">
      <w:r>
        <w:t>This class excludes:</w:t>
      </w:r>
    </w:p>
    <w:p w14:paraId="0000066A" w14:textId="46904C38" w:rsidR="00F8269C" w:rsidRDefault="00450D2D">
      <w:pPr>
        <w:numPr>
          <w:ilvl w:val="0"/>
          <w:numId w:val="17"/>
        </w:numPr>
        <w:pBdr>
          <w:top w:val="nil"/>
          <w:left w:val="nil"/>
          <w:bottom w:val="nil"/>
          <w:right w:val="nil"/>
          <w:between w:val="nil"/>
        </w:pBdr>
        <w:spacing w:after="0"/>
      </w:pPr>
      <w:r>
        <w:rPr>
          <w:color w:val="000000"/>
        </w:rPr>
        <w:t>Activities of independent photojournalists, see ISIC Code - 7420</w:t>
      </w:r>
    </w:p>
    <w:p w14:paraId="0000066B" w14:textId="28C8DD8E" w:rsidR="00F8269C" w:rsidRDefault="00450D2D">
      <w:pPr>
        <w:numPr>
          <w:ilvl w:val="0"/>
          <w:numId w:val="17"/>
        </w:numPr>
        <w:pBdr>
          <w:top w:val="nil"/>
          <w:left w:val="nil"/>
          <w:bottom w:val="nil"/>
          <w:right w:val="nil"/>
          <w:between w:val="nil"/>
        </w:pBdr>
      </w:pPr>
      <w:r>
        <w:rPr>
          <w:color w:val="000000"/>
        </w:rPr>
        <w:t>Activities of independent journalists, see ISIC Code - 9000</w:t>
      </w:r>
    </w:p>
    <w:p w14:paraId="0000066C" w14:textId="3CE868ED" w:rsidR="00F8269C" w:rsidRDefault="00450D2D">
      <w:pPr>
        <w:pStyle w:val="Heading4"/>
      </w:pPr>
      <w:bookmarkStart w:id="506" w:name="_Toc90192000"/>
      <w:bookmarkStart w:id="507" w:name="_Toc93842921"/>
      <w:bookmarkStart w:id="508" w:name="_Toc93843107"/>
      <w:r>
        <w:t>ISIC Code 4762 - Retail Sale of Music and Video Recordings in Speciali</w:t>
      </w:r>
      <w:r w:rsidR="00B83450">
        <w:t>s</w:t>
      </w:r>
      <w:r>
        <w:t>ed Stores</w:t>
      </w:r>
      <w:bookmarkEnd w:id="506"/>
      <w:bookmarkEnd w:id="507"/>
      <w:bookmarkEnd w:id="508"/>
    </w:p>
    <w:p w14:paraId="0000066D" w14:textId="3B0E2BDB" w:rsidR="00F8269C" w:rsidRDefault="00450D2D">
      <w:pPr>
        <w:pStyle w:val="Heading4"/>
      </w:pPr>
      <w:bookmarkStart w:id="509" w:name="_Toc90192001"/>
      <w:bookmarkStart w:id="510" w:name="_Toc93842922"/>
      <w:bookmarkStart w:id="511" w:name="_Toc93843108"/>
      <w:r>
        <w:t>Inclusions</w:t>
      </w:r>
      <w:bookmarkEnd w:id="509"/>
      <w:bookmarkEnd w:id="510"/>
      <w:bookmarkEnd w:id="511"/>
    </w:p>
    <w:p w14:paraId="0000066E" w14:textId="29B54FA5" w:rsidR="00F8269C" w:rsidRDefault="00450D2D">
      <w:r>
        <w:t>This class includes:</w:t>
      </w:r>
    </w:p>
    <w:p w14:paraId="0000066F" w14:textId="2BBD33AD" w:rsidR="00F8269C" w:rsidRDefault="00450D2D">
      <w:pPr>
        <w:numPr>
          <w:ilvl w:val="0"/>
          <w:numId w:val="17"/>
        </w:numPr>
        <w:pBdr>
          <w:top w:val="nil"/>
          <w:left w:val="nil"/>
          <w:bottom w:val="nil"/>
          <w:right w:val="nil"/>
          <w:between w:val="nil"/>
        </w:pBdr>
        <w:spacing w:after="0"/>
      </w:pPr>
      <w:r>
        <w:rPr>
          <w:color w:val="000000"/>
        </w:rPr>
        <w:t>Retail sale of musical records, audio tapes, compact discs and cassettes</w:t>
      </w:r>
    </w:p>
    <w:p w14:paraId="00000670" w14:textId="1474394F" w:rsidR="00F8269C" w:rsidRDefault="00450D2D">
      <w:pPr>
        <w:numPr>
          <w:ilvl w:val="0"/>
          <w:numId w:val="17"/>
        </w:numPr>
        <w:pBdr>
          <w:top w:val="nil"/>
          <w:left w:val="nil"/>
          <w:bottom w:val="nil"/>
          <w:right w:val="nil"/>
          <w:between w:val="nil"/>
        </w:pBdr>
        <w:spacing w:after="0"/>
      </w:pPr>
      <w:r>
        <w:rPr>
          <w:color w:val="000000"/>
        </w:rPr>
        <w:t>Retail sale of video tapes and DVDs</w:t>
      </w:r>
    </w:p>
    <w:p w14:paraId="00000671" w14:textId="49C74DC9" w:rsidR="00F8269C" w:rsidRDefault="00450D2D">
      <w:pPr>
        <w:numPr>
          <w:ilvl w:val="0"/>
          <w:numId w:val="17"/>
        </w:numPr>
        <w:pBdr>
          <w:top w:val="nil"/>
          <w:left w:val="nil"/>
          <w:bottom w:val="nil"/>
          <w:right w:val="nil"/>
          <w:between w:val="nil"/>
        </w:pBdr>
      </w:pPr>
      <w:r>
        <w:rPr>
          <w:color w:val="000000"/>
        </w:rPr>
        <w:t>Retail sale of blank tapes and discs</w:t>
      </w:r>
    </w:p>
    <w:p w14:paraId="00000672" w14:textId="7DFFF9CC" w:rsidR="00F8269C" w:rsidRDefault="00450D2D">
      <w:pPr>
        <w:pStyle w:val="Heading4"/>
      </w:pPr>
      <w:bookmarkStart w:id="512" w:name="_Toc90192002"/>
      <w:bookmarkStart w:id="513" w:name="_Toc93842923"/>
      <w:bookmarkStart w:id="514" w:name="_Toc93843109"/>
      <w:r>
        <w:t>ISIC CODE 47</w:t>
      </w:r>
      <w:r w:rsidR="00496274">
        <w:t>8</w:t>
      </w:r>
      <w:r>
        <w:t xml:space="preserve">1 - </w:t>
      </w:r>
      <w:r w:rsidR="00496274">
        <w:t xml:space="preserve">Retail </w:t>
      </w:r>
      <w:r w:rsidR="00DA4D0D">
        <w:t>S</w:t>
      </w:r>
      <w:r w:rsidR="00496274">
        <w:t xml:space="preserve">ale </w:t>
      </w:r>
      <w:r w:rsidR="00DA4D0D">
        <w:t>V</w:t>
      </w:r>
      <w:r w:rsidR="00496274">
        <w:t xml:space="preserve">ia </w:t>
      </w:r>
      <w:r w:rsidR="00DA4D0D">
        <w:t>M</w:t>
      </w:r>
      <w:r w:rsidR="00496274">
        <w:t xml:space="preserve">ail </w:t>
      </w:r>
      <w:r w:rsidR="00DA4D0D">
        <w:t>O</w:t>
      </w:r>
      <w:r w:rsidR="00496274">
        <w:t xml:space="preserve">rder </w:t>
      </w:r>
      <w:r w:rsidR="00DA4D0D">
        <w:t>H</w:t>
      </w:r>
      <w:r w:rsidR="00496274">
        <w:t xml:space="preserve">ouses or </w:t>
      </w:r>
      <w:r w:rsidR="00DA4D0D">
        <w:t>V</w:t>
      </w:r>
      <w:r w:rsidR="00496274">
        <w:t xml:space="preserve">ia </w:t>
      </w:r>
      <w:r w:rsidR="00DA4D0D">
        <w:t>I</w:t>
      </w:r>
      <w:r w:rsidR="00496274">
        <w:t>nternet</w:t>
      </w:r>
      <w:bookmarkEnd w:id="512"/>
      <w:bookmarkEnd w:id="513"/>
      <w:bookmarkEnd w:id="514"/>
    </w:p>
    <w:p w14:paraId="00000673" w14:textId="601F08E2" w:rsidR="00F8269C" w:rsidRDefault="00450D2D">
      <w:pPr>
        <w:pStyle w:val="Heading4"/>
      </w:pPr>
      <w:bookmarkStart w:id="515" w:name="_Toc90192003"/>
      <w:bookmarkStart w:id="516" w:name="_Toc93842924"/>
      <w:bookmarkStart w:id="517" w:name="_Toc93843110"/>
      <w:r>
        <w:t>Inclusions</w:t>
      </w:r>
      <w:bookmarkEnd w:id="515"/>
      <w:bookmarkEnd w:id="516"/>
      <w:bookmarkEnd w:id="517"/>
    </w:p>
    <w:p w14:paraId="00000674" w14:textId="21A4B705" w:rsidR="00F8269C" w:rsidRDefault="00450D2D">
      <w:r>
        <w:t xml:space="preserve">This class includes retail sale activities via mail order houses or via Internet, i.e. retail sale activities where the buyer makes his choice on the basis of advertisements, catalogues, information provided </w:t>
      </w:r>
      <w:r>
        <w:lastRenderedPageBreak/>
        <w:t>on a website, models or any other means of advertising and places his order by mail, phone or over the Internet (usually through special means provided by a website). The products purchased can be either directly downloaded from the Internet or physically delivered to the customer.</w:t>
      </w:r>
    </w:p>
    <w:p w14:paraId="00000675" w14:textId="470E0A64" w:rsidR="00F8269C" w:rsidRDefault="00450D2D">
      <w:r>
        <w:t>This class includes:</w:t>
      </w:r>
    </w:p>
    <w:p w14:paraId="00000676" w14:textId="00B1746D" w:rsidR="00F8269C" w:rsidRDefault="00450D2D">
      <w:pPr>
        <w:numPr>
          <w:ilvl w:val="0"/>
          <w:numId w:val="17"/>
        </w:numPr>
        <w:pBdr>
          <w:top w:val="nil"/>
          <w:left w:val="nil"/>
          <w:bottom w:val="nil"/>
          <w:right w:val="nil"/>
          <w:between w:val="nil"/>
        </w:pBdr>
        <w:spacing w:after="0"/>
      </w:pPr>
      <w:r>
        <w:rPr>
          <w:color w:val="000000"/>
        </w:rPr>
        <w:t>Retail sale of any kind of product by mail order</w:t>
      </w:r>
    </w:p>
    <w:p w14:paraId="00000677" w14:textId="32CC21C3" w:rsidR="00F8269C" w:rsidRDefault="00450D2D">
      <w:pPr>
        <w:numPr>
          <w:ilvl w:val="0"/>
          <w:numId w:val="17"/>
        </w:numPr>
        <w:pBdr>
          <w:top w:val="nil"/>
          <w:left w:val="nil"/>
          <w:bottom w:val="nil"/>
          <w:right w:val="nil"/>
          <w:between w:val="nil"/>
        </w:pBdr>
        <w:spacing w:after="0"/>
      </w:pPr>
      <w:r>
        <w:rPr>
          <w:color w:val="000000"/>
        </w:rPr>
        <w:t>Retail sale of any kind of product over the Internet</w:t>
      </w:r>
    </w:p>
    <w:p w14:paraId="00000678" w14:textId="5C37F71A" w:rsidR="00F8269C" w:rsidRDefault="00450D2D">
      <w:pPr>
        <w:numPr>
          <w:ilvl w:val="0"/>
          <w:numId w:val="17"/>
        </w:numPr>
        <w:pBdr>
          <w:top w:val="nil"/>
          <w:left w:val="nil"/>
          <w:bottom w:val="nil"/>
          <w:right w:val="nil"/>
          <w:between w:val="nil"/>
        </w:pBdr>
        <w:spacing w:after="0"/>
      </w:pPr>
      <w:r>
        <w:rPr>
          <w:color w:val="000000"/>
        </w:rPr>
        <w:t>Direct sale via television, radio and telephone</w:t>
      </w:r>
    </w:p>
    <w:p w14:paraId="00000679" w14:textId="6A0F8DCD" w:rsidR="00F8269C" w:rsidRDefault="00450D2D">
      <w:pPr>
        <w:numPr>
          <w:ilvl w:val="0"/>
          <w:numId w:val="17"/>
        </w:numPr>
        <w:pBdr>
          <w:top w:val="nil"/>
          <w:left w:val="nil"/>
          <w:bottom w:val="nil"/>
          <w:right w:val="nil"/>
          <w:between w:val="nil"/>
        </w:pBdr>
      </w:pPr>
      <w:r>
        <w:rPr>
          <w:color w:val="000000"/>
        </w:rPr>
        <w:t>Internet retail auctions</w:t>
      </w:r>
    </w:p>
    <w:p w14:paraId="00000688" w14:textId="71BFE276" w:rsidR="00F8269C" w:rsidRDefault="00450D2D">
      <w:pPr>
        <w:pStyle w:val="Heading4"/>
      </w:pPr>
      <w:bookmarkStart w:id="518" w:name="_Toc90192006"/>
      <w:bookmarkStart w:id="519" w:name="_Toc93842925"/>
      <w:bookmarkStart w:id="520" w:name="_Toc93843111"/>
      <w:r>
        <w:t xml:space="preserve">ISIC Code 7410 - </w:t>
      </w:r>
      <w:r w:rsidR="00D900FA">
        <w:t xml:space="preserve">Specialised </w:t>
      </w:r>
      <w:r>
        <w:t>Design Activities</w:t>
      </w:r>
      <w:bookmarkEnd w:id="518"/>
      <w:bookmarkEnd w:id="519"/>
      <w:bookmarkEnd w:id="520"/>
    </w:p>
    <w:p w14:paraId="00000689" w14:textId="695FC5C5" w:rsidR="00F8269C" w:rsidRDefault="00450D2D">
      <w:pPr>
        <w:pStyle w:val="Heading4"/>
      </w:pPr>
      <w:bookmarkStart w:id="521" w:name="_Toc90192007"/>
      <w:bookmarkStart w:id="522" w:name="_Toc93842926"/>
      <w:bookmarkStart w:id="523" w:name="_Toc93843112"/>
      <w:r>
        <w:t>Inclusions</w:t>
      </w:r>
      <w:bookmarkEnd w:id="521"/>
      <w:bookmarkEnd w:id="522"/>
      <w:bookmarkEnd w:id="523"/>
    </w:p>
    <w:p w14:paraId="0000068A" w14:textId="1A330EFB" w:rsidR="00F8269C" w:rsidRDefault="00450D2D">
      <w:r>
        <w:t>This class includes:</w:t>
      </w:r>
    </w:p>
    <w:p w14:paraId="0000068B" w14:textId="33D262B0" w:rsidR="00F8269C" w:rsidRDefault="00450D2D">
      <w:pPr>
        <w:numPr>
          <w:ilvl w:val="0"/>
          <w:numId w:val="17"/>
        </w:numPr>
        <w:pBdr>
          <w:top w:val="nil"/>
          <w:left w:val="nil"/>
          <w:bottom w:val="nil"/>
          <w:right w:val="nil"/>
          <w:between w:val="nil"/>
        </w:pBdr>
        <w:spacing w:after="0"/>
      </w:pPr>
      <w:r>
        <w:rPr>
          <w:color w:val="000000"/>
        </w:rPr>
        <w:t>Fashion design related to textiles, wearing apparel, shoes, jewellery, furniture and other interior decoration and other fashion goods as well as other personal or household goods</w:t>
      </w:r>
    </w:p>
    <w:p w14:paraId="0000068C" w14:textId="2920D9EC" w:rsidR="00F8269C" w:rsidRDefault="00450D2D">
      <w:pPr>
        <w:numPr>
          <w:ilvl w:val="0"/>
          <w:numId w:val="17"/>
        </w:numPr>
        <w:pBdr>
          <w:top w:val="nil"/>
          <w:left w:val="nil"/>
          <w:bottom w:val="nil"/>
          <w:right w:val="nil"/>
          <w:between w:val="nil"/>
        </w:pBdr>
        <w:spacing w:after="0"/>
      </w:pPr>
      <w:r>
        <w:rPr>
          <w:color w:val="000000"/>
        </w:rPr>
        <w:t>Industrial design, i.e. creating and developing designs and specifications that optimi</w:t>
      </w:r>
      <w:r w:rsidR="007459BC">
        <w:rPr>
          <w:color w:val="000000"/>
        </w:rPr>
        <w:t>s</w:t>
      </w:r>
      <w:r>
        <w:rPr>
          <w:color w:val="000000"/>
        </w:rPr>
        <w:t>e the use, value and appearance of products, including the determination of the materials, construction, mechanism, shape, colour and surface finishes of the product, taking into consideration human characteristics and needs, safety, market appeal and efficiency in production, distribution, use and maintenance</w:t>
      </w:r>
    </w:p>
    <w:p w14:paraId="0000068D" w14:textId="6C55005C" w:rsidR="00F8269C" w:rsidRDefault="00450D2D">
      <w:pPr>
        <w:numPr>
          <w:ilvl w:val="0"/>
          <w:numId w:val="17"/>
        </w:numPr>
        <w:pBdr>
          <w:top w:val="nil"/>
          <w:left w:val="nil"/>
          <w:bottom w:val="nil"/>
          <w:right w:val="nil"/>
          <w:between w:val="nil"/>
        </w:pBdr>
        <w:spacing w:after="0"/>
      </w:pPr>
      <w:r>
        <w:rPr>
          <w:color w:val="000000"/>
        </w:rPr>
        <w:t>Activities of graphic designers</w:t>
      </w:r>
    </w:p>
    <w:p w14:paraId="0000068E" w14:textId="13FBAA28" w:rsidR="00F8269C" w:rsidRDefault="00450D2D">
      <w:pPr>
        <w:numPr>
          <w:ilvl w:val="0"/>
          <w:numId w:val="17"/>
        </w:numPr>
        <w:pBdr>
          <w:top w:val="nil"/>
          <w:left w:val="nil"/>
          <w:bottom w:val="nil"/>
          <w:right w:val="nil"/>
          <w:between w:val="nil"/>
        </w:pBdr>
        <w:spacing w:after="0"/>
      </w:pPr>
      <w:r>
        <w:rPr>
          <w:color w:val="000000"/>
        </w:rPr>
        <w:t>Activities of interior decorators</w:t>
      </w:r>
    </w:p>
    <w:p w14:paraId="00000691" w14:textId="38BB8730" w:rsidR="00F8269C" w:rsidRDefault="00450D2D">
      <w:pPr>
        <w:pStyle w:val="Heading4"/>
      </w:pPr>
      <w:bookmarkStart w:id="524" w:name="_Toc90192008"/>
      <w:bookmarkStart w:id="525" w:name="_Toc93842927"/>
      <w:bookmarkStart w:id="526" w:name="_Toc93843113"/>
      <w:r>
        <w:t>Exclusions</w:t>
      </w:r>
      <w:bookmarkEnd w:id="524"/>
      <w:bookmarkEnd w:id="525"/>
      <w:bookmarkEnd w:id="526"/>
    </w:p>
    <w:p w14:paraId="00000692" w14:textId="0D3E214B" w:rsidR="00F8269C" w:rsidRDefault="00450D2D">
      <w:r>
        <w:t>This class excludes:</w:t>
      </w:r>
    </w:p>
    <w:p w14:paraId="00000693" w14:textId="23900075" w:rsidR="00F8269C" w:rsidRDefault="00450D2D">
      <w:pPr>
        <w:numPr>
          <w:ilvl w:val="0"/>
          <w:numId w:val="17"/>
        </w:numPr>
        <w:pBdr>
          <w:top w:val="nil"/>
          <w:left w:val="nil"/>
          <w:bottom w:val="nil"/>
          <w:right w:val="nil"/>
          <w:between w:val="nil"/>
        </w:pBdr>
        <w:spacing w:after="0"/>
      </w:pPr>
      <w:r>
        <w:rPr>
          <w:color w:val="000000"/>
        </w:rPr>
        <w:t>Design and programming of web pages, see ISIC Code - 6201</w:t>
      </w:r>
    </w:p>
    <w:p w14:paraId="00000694" w14:textId="666E438C" w:rsidR="00F8269C" w:rsidRDefault="00450D2D">
      <w:pPr>
        <w:numPr>
          <w:ilvl w:val="0"/>
          <w:numId w:val="17"/>
        </w:numPr>
        <w:pBdr>
          <w:top w:val="nil"/>
          <w:left w:val="nil"/>
          <w:bottom w:val="nil"/>
          <w:right w:val="nil"/>
          <w:between w:val="nil"/>
        </w:pBdr>
        <w:spacing w:after="0"/>
      </w:pPr>
      <w:r>
        <w:rPr>
          <w:color w:val="000000"/>
        </w:rPr>
        <w:t>Architectural design, see ISIC Code - 7110</w:t>
      </w:r>
    </w:p>
    <w:p w14:paraId="00000695" w14:textId="2F2230CB" w:rsidR="00F8269C" w:rsidRDefault="00450D2D">
      <w:pPr>
        <w:numPr>
          <w:ilvl w:val="0"/>
          <w:numId w:val="17"/>
        </w:numPr>
        <w:pBdr>
          <w:top w:val="nil"/>
          <w:left w:val="nil"/>
          <w:bottom w:val="nil"/>
          <w:right w:val="nil"/>
          <w:between w:val="nil"/>
        </w:pBdr>
        <w:spacing w:after="0"/>
      </w:pPr>
      <w:r>
        <w:rPr>
          <w:color w:val="000000"/>
        </w:rPr>
        <w:t>Engineering design, i.e. applying physical laws and principles of engineering in the design of machines, materials, instruments, structures, processes and systems, see ISIC Code - 7110</w:t>
      </w:r>
    </w:p>
    <w:p w14:paraId="00000696" w14:textId="4DB6BAE8" w:rsidR="00F8269C" w:rsidRDefault="00450D2D">
      <w:pPr>
        <w:numPr>
          <w:ilvl w:val="0"/>
          <w:numId w:val="17"/>
        </w:numPr>
        <w:pBdr>
          <w:top w:val="nil"/>
          <w:left w:val="nil"/>
          <w:bottom w:val="nil"/>
          <w:right w:val="nil"/>
          <w:between w:val="nil"/>
        </w:pBdr>
      </w:pPr>
      <w:r>
        <w:rPr>
          <w:color w:val="000000"/>
        </w:rPr>
        <w:t>Theatrical stage-set design, see ISIC Code - 9000</w:t>
      </w:r>
    </w:p>
    <w:p w14:paraId="00000697" w14:textId="762D23FB" w:rsidR="00F8269C" w:rsidRDefault="00450D2D">
      <w:pPr>
        <w:pStyle w:val="Heading4"/>
      </w:pPr>
      <w:bookmarkStart w:id="527" w:name="_Toc90192009"/>
      <w:bookmarkStart w:id="528" w:name="_Toc93842928"/>
      <w:bookmarkStart w:id="529" w:name="_Toc93843114"/>
      <w:r>
        <w:t>ISIC Code 7110 - Architectural and Engineering Activities and Related Technical Consultancy</w:t>
      </w:r>
      <w:bookmarkEnd w:id="527"/>
      <w:bookmarkEnd w:id="528"/>
      <w:bookmarkEnd w:id="529"/>
    </w:p>
    <w:p w14:paraId="00000698" w14:textId="3CCA3BE3" w:rsidR="00F8269C" w:rsidRDefault="00450D2D">
      <w:pPr>
        <w:pStyle w:val="Heading4"/>
      </w:pPr>
      <w:bookmarkStart w:id="530" w:name="_Toc90192010"/>
      <w:bookmarkStart w:id="531" w:name="_Toc93842929"/>
      <w:bookmarkStart w:id="532" w:name="_Toc93843115"/>
      <w:r>
        <w:t>Inclusions</w:t>
      </w:r>
      <w:bookmarkEnd w:id="530"/>
      <w:bookmarkEnd w:id="531"/>
      <w:bookmarkEnd w:id="532"/>
    </w:p>
    <w:p w14:paraId="00000699" w14:textId="356835ED" w:rsidR="00F8269C" w:rsidRDefault="00450D2D">
      <w:r>
        <w:t>This class includes the provision of architectural services, engineering services, drafting services, building inspection services and surveying and mapping services and the like.</w:t>
      </w:r>
    </w:p>
    <w:p w14:paraId="0000069A" w14:textId="79E9A35B" w:rsidR="00F8269C" w:rsidRDefault="00450D2D">
      <w:r>
        <w:t>This class includes:</w:t>
      </w:r>
    </w:p>
    <w:p w14:paraId="0000069B" w14:textId="132CC73B" w:rsidR="00F8269C" w:rsidRDefault="00450D2D">
      <w:pPr>
        <w:numPr>
          <w:ilvl w:val="0"/>
          <w:numId w:val="17"/>
        </w:numPr>
        <w:pBdr>
          <w:top w:val="nil"/>
          <w:left w:val="nil"/>
          <w:bottom w:val="nil"/>
          <w:right w:val="nil"/>
          <w:between w:val="nil"/>
        </w:pBdr>
        <w:spacing w:after="0"/>
      </w:pPr>
      <w:r>
        <w:rPr>
          <w:color w:val="000000"/>
        </w:rPr>
        <w:t>Architectural consulting activities:</w:t>
      </w:r>
    </w:p>
    <w:p w14:paraId="0000069C" w14:textId="37E3EEF0" w:rsidR="00F8269C" w:rsidRDefault="00450D2D" w:rsidP="009D3DA2">
      <w:pPr>
        <w:numPr>
          <w:ilvl w:val="0"/>
          <w:numId w:val="38"/>
        </w:numPr>
        <w:pBdr>
          <w:top w:val="nil"/>
          <w:left w:val="nil"/>
          <w:bottom w:val="nil"/>
          <w:right w:val="nil"/>
          <w:between w:val="nil"/>
        </w:pBdr>
        <w:spacing w:after="0"/>
        <w:ind w:left="1077" w:hanging="357"/>
      </w:pPr>
      <w:r>
        <w:rPr>
          <w:color w:val="000000"/>
        </w:rPr>
        <w:t>Building design and drafting</w:t>
      </w:r>
    </w:p>
    <w:p w14:paraId="0000069D" w14:textId="3E52321F" w:rsidR="00F8269C" w:rsidRDefault="00450D2D" w:rsidP="009D3DA2">
      <w:pPr>
        <w:numPr>
          <w:ilvl w:val="0"/>
          <w:numId w:val="38"/>
        </w:numPr>
        <w:pBdr>
          <w:top w:val="nil"/>
          <w:left w:val="nil"/>
          <w:bottom w:val="nil"/>
          <w:right w:val="nil"/>
          <w:between w:val="nil"/>
        </w:pBdr>
        <w:spacing w:after="0"/>
        <w:ind w:left="1077" w:hanging="357"/>
      </w:pPr>
      <w:r>
        <w:rPr>
          <w:color w:val="000000"/>
        </w:rPr>
        <w:t>Town and city planning and landscape architecture</w:t>
      </w:r>
    </w:p>
    <w:p w14:paraId="0000069E" w14:textId="7259AD4B" w:rsidR="00F8269C" w:rsidRDefault="00450D2D">
      <w:pPr>
        <w:numPr>
          <w:ilvl w:val="0"/>
          <w:numId w:val="17"/>
        </w:numPr>
        <w:pBdr>
          <w:top w:val="nil"/>
          <w:left w:val="nil"/>
          <w:bottom w:val="nil"/>
          <w:right w:val="nil"/>
          <w:between w:val="nil"/>
        </w:pBdr>
        <w:spacing w:after="0"/>
      </w:pPr>
      <w:r>
        <w:rPr>
          <w:color w:val="000000"/>
        </w:rPr>
        <w:t>Engineering design (i.e. applying physical laws and principles of engineering in the design of machines, materials, instruments, structures, processes and systems) and consulting activities for:</w:t>
      </w:r>
    </w:p>
    <w:p w14:paraId="0000069F" w14:textId="755A14DF" w:rsidR="00F8269C" w:rsidRDefault="00450D2D" w:rsidP="009D3DA2">
      <w:pPr>
        <w:numPr>
          <w:ilvl w:val="0"/>
          <w:numId w:val="39"/>
        </w:numPr>
        <w:pBdr>
          <w:top w:val="nil"/>
          <w:left w:val="nil"/>
          <w:bottom w:val="nil"/>
          <w:right w:val="nil"/>
          <w:between w:val="nil"/>
        </w:pBdr>
        <w:spacing w:after="0"/>
        <w:ind w:left="1077" w:hanging="357"/>
      </w:pPr>
      <w:r>
        <w:rPr>
          <w:color w:val="000000"/>
        </w:rPr>
        <w:t>Machinery, industrial processes and industrial plant</w:t>
      </w:r>
    </w:p>
    <w:p w14:paraId="000006A0" w14:textId="1BDFAE51" w:rsidR="00F8269C" w:rsidRDefault="00450D2D" w:rsidP="009D3DA2">
      <w:pPr>
        <w:numPr>
          <w:ilvl w:val="0"/>
          <w:numId w:val="39"/>
        </w:numPr>
        <w:pBdr>
          <w:top w:val="nil"/>
          <w:left w:val="nil"/>
          <w:bottom w:val="nil"/>
          <w:right w:val="nil"/>
          <w:between w:val="nil"/>
        </w:pBdr>
        <w:spacing w:after="0"/>
        <w:ind w:left="1077" w:hanging="357"/>
      </w:pPr>
      <w:r>
        <w:rPr>
          <w:color w:val="000000"/>
        </w:rPr>
        <w:t>Projects involving civil engineering, hydraulic engineering, traffic engineering</w:t>
      </w:r>
    </w:p>
    <w:p w14:paraId="000006A1" w14:textId="6F2F2447" w:rsidR="00F8269C" w:rsidRDefault="00450D2D" w:rsidP="009D3DA2">
      <w:pPr>
        <w:numPr>
          <w:ilvl w:val="0"/>
          <w:numId w:val="39"/>
        </w:numPr>
        <w:pBdr>
          <w:top w:val="nil"/>
          <w:left w:val="nil"/>
          <w:bottom w:val="nil"/>
          <w:right w:val="nil"/>
          <w:between w:val="nil"/>
        </w:pBdr>
        <w:spacing w:after="0"/>
        <w:ind w:left="1077" w:hanging="357"/>
      </w:pPr>
      <w:r>
        <w:rPr>
          <w:color w:val="000000"/>
        </w:rPr>
        <w:t>Water management projects</w:t>
      </w:r>
    </w:p>
    <w:p w14:paraId="000006A2" w14:textId="7E8FA33D" w:rsidR="00F8269C" w:rsidRDefault="00450D2D" w:rsidP="009D3DA2">
      <w:pPr>
        <w:numPr>
          <w:ilvl w:val="0"/>
          <w:numId w:val="39"/>
        </w:numPr>
        <w:pBdr>
          <w:top w:val="nil"/>
          <w:left w:val="nil"/>
          <w:bottom w:val="nil"/>
          <w:right w:val="nil"/>
          <w:between w:val="nil"/>
        </w:pBdr>
        <w:spacing w:after="0"/>
        <w:ind w:left="1077" w:hanging="357"/>
      </w:pPr>
      <w:r>
        <w:rPr>
          <w:color w:val="000000"/>
        </w:rPr>
        <w:t>Projects elaboration and reali</w:t>
      </w:r>
      <w:r w:rsidR="00B83450">
        <w:rPr>
          <w:color w:val="000000"/>
        </w:rPr>
        <w:t>s</w:t>
      </w:r>
      <w:r>
        <w:rPr>
          <w:color w:val="000000"/>
        </w:rPr>
        <w:t>ation relative to electrical and electronic engineering, mining engineering, chemical engineering, mechanical, industrial and systems engineering, safety engineering</w:t>
      </w:r>
    </w:p>
    <w:p w14:paraId="000006A3" w14:textId="67764748" w:rsidR="00F8269C" w:rsidRDefault="00450D2D" w:rsidP="009D3DA2">
      <w:pPr>
        <w:numPr>
          <w:ilvl w:val="0"/>
          <w:numId w:val="39"/>
        </w:numPr>
        <w:pBdr>
          <w:top w:val="nil"/>
          <w:left w:val="nil"/>
          <w:bottom w:val="nil"/>
          <w:right w:val="nil"/>
          <w:between w:val="nil"/>
        </w:pBdr>
        <w:spacing w:after="0"/>
        <w:ind w:left="1077" w:hanging="357"/>
      </w:pPr>
      <w:r>
        <w:rPr>
          <w:color w:val="000000"/>
        </w:rPr>
        <w:t>Project management activities related to construction</w:t>
      </w:r>
    </w:p>
    <w:p w14:paraId="000006A4" w14:textId="3F997331" w:rsidR="00F8269C" w:rsidRDefault="00450D2D">
      <w:pPr>
        <w:numPr>
          <w:ilvl w:val="0"/>
          <w:numId w:val="17"/>
        </w:numPr>
        <w:pBdr>
          <w:top w:val="nil"/>
          <w:left w:val="nil"/>
          <w:bottom w:val="nil"/>
          <w:right w:val="nil"/>
          <w:between w:val="nil"/>
        </w:pBdr>
        <w:spacing w:after="0"/>
      </w:pPr>
      <w:r>
        <w:rPr>
          <w:color w:val="000000"/>
        </w:rPr>
        <w:t>Elaboration of projects using air conditioning, refrigeration, sanitary and pollution control engineering, acoustical engineering etc.</w:t>
      </w:r>
    </w:p>
    <w:p w14:paraId="000006A5" w14:textId="7CE4F710" w:rsidR="00F8269C" w:rsidRDefault="00450D2D">
      <w:pPr>
        <w:numPr>
          <w:ilvl w:val="0"/>
          <w:numId w:val="17"/>
        </w:numPr>
        <w:pBdr>
          <w:top w:val="nil"/>
          <w:left w:val="nil"/>
          <w:bottom w:val="nil"/>
          <w:right w:val="nil"/>
          <w:between w:val="nil"/>
        </w:pBdr>
        <w:spacing w:after="0"/>
      </w:pPr>
      <w:r>
        <w:rPr>
          <w:color w:val="000000"/>
        </w:rPr>
        <w:t>Geophysical, geologic and seismic surveying</w:t>
      </w:r>
    </w:p>
    <w:p w14:paraId="000006A6" w14:textId="76E71FF6" w:rsidR="00F8269C" w:rsidRDefault="00450D2D">
      <w:pPr>
        <w:numPr>
          <w:ilvl w:val="0"/>
          <w:numId w:val="17"/>
        </w:numPr>
        <w:pBdr>
          <w:top w:val="nil"/>
          <w:left w:val="nil"/>
          <w:bottom w:val="nil"/>
          <w:right w:val="nil"/>
          <w:between w:val="nil"/>
        </w:pBdr>
        <w:spacing w:after="0"/>
      </w:pPr>
      <w:r>
        <w:rPr>
          <w:color w:val="000000"/>
        </w:rPr>
        <w:t>Geodetic surveying activities:</w:t>
      </w:r>
    </w:p>
    <w:p w14:paraId="000006A7" w14:textId="1BC22A03" w:rsidR="00F8269C" w:rsidRDefault="00450D2D" w:rsidP="009D3DA2">
      <w:pPr>
        <w:numPr>
          <w:ilvl w:val="0"/>
          <w:numId w:val="40"/>
        </w:numPr>
        <w:pBdr>
          <w:top w:val="nil"/>
          <w:left w:val="nil"/>
          <w:bottom w:val="nil"/>
          <w:right w:val="nil"/>
          <w:between w:val="nil"/>
        </w:pBdr>
        <w:spacing w:after="0"/>
        <w:ind w:left="1077" w:hanging="357"/>
      </w:pPr>
      <w:r>
        <w:rPr>
          <w:color w:val="000000"/>
        </w:rPr>
        <w:t>Land and boundary surveying activities</w:t>
      </w:r>
    </w:p>
    <w:p w14:paraId="000006A8" w14:textId="02D2827F" w:rsidR="00F8269C" w:rsidRDefault="00450D2D" w:rsidP="009D3DA2">
      <w:pPr>
        <w:numPr>
          <w:ilvl w:val="0"/>
          <w:numId w:val="40"/>
        </w:numPr>
        <w:pBdr>
          <w:top w:val="nil"/>
          <w:left w:val="nil"/>
          <w:bottom w:val="nil"/>
          <w:right w:val="nil"/>
          <w:between w:val="nil"/>
        </w:pBdr>
        <w:spacing w:after="0"/>
        <w:ind w:left="1077" w:hanging="357"/>
      </w:pPr>
      <w:r>
        <w:rPr>
          <w:color w:val="000000"/>
        </w:rPr>
        <w:lastRenderedPageBreak/>
        <w:t>Hydrologic surveying activities</w:t>
      </w:r>
    </w:p>
    <w:p w14:paraId="000006A9" w14:textId="60E4E799" w:rsidR="00F8269C" w:rsidRDefault="00450D2D" w:rsidP="009D3DA2">
      <w:pPr>
        <w:numPr>
          <w:ilvl w:val="0"/>
          <w:numId w:val="40"/>
        </w:numPr>
        <w:pBdr>
          <w:top w:val="nil"/>
          <w:left w:val="nil"/>
          <w:bottom w:val="nil"/>
          <w:right w:val="nil"/>
          <w:between w:val="nil"/>
        </w:pBdr>
        <w:spacing w:after="0"/>
        <w:ind w:left="1077" w:hanging="357"/>
      </w:pPr>
      <w:r>
        <w:rPr>
          <w:color w:val="000000"/>
        </w:rPr>
        <w:t>Subsurface surveying activities</w:t>
      </w:r>
    </w:p>
    <w:p w14:paraId="000006AA" w14:textId="4895D1E5" w:rsidR="00F8269C" w:rsidRDefault="00450D2D" w:rsidP="009D3DA2">
      <w:pPr>
        <w:numPr>
          <w:ilvl w:val="0"/>
          <w:numId w:val="40"/>
        </w:numPr>
        <w:pBdr>
          <w:top w:val="nil"/>
          <w:left w:val="nil"/>
          <w:bottom w:val="nil"/>
          <w:right w:val="nil"/>
          <w:between w:val="nil"/>
        </w:pBdr>
        <w:ind w:left="1077" w:hanging="357"/>
      </w:pPr>
      <w:r>
        <w:rPr>
          <w:color w:val="000000"/>
        </w:rPr>
        <w:t>Cartographic and spatial information activities</w:t>
      </w:r>
    </w:p>
    <w:p w14:paraId="000006AB" w14:textId="36A20B98" w:rsidR="00F8269C" w:rsidRDefault="00450D2D">
      <w:pPr>
        <w:pStyle w:val="Heading4"/>
      </w:pPr>
      <w:bookmarkStart w:id="533" w:name="_Toc90192011"/>
      <w:bookmarkStart w:id="534" w:name="_Toc93842930"/>
      <w:bookmarkStart w:id="535" w:name="_Toc93843116"/>
      <w:r>
        <w:t>Exclusions</w:t>
      </w:r>
      <w:bookmarkEnd w:id="533"/>
      <w:bookmarkEnd w:id="534"/>
      <w:bookmarkEnd w:id="535"/>
    </w:p>
    <w:p w14:paraId="000006AC" w14:textId="01A3920D" w:rsidR="00F8269C" w:rsidRDefault="00450D2D">
      <w:r>
        <w:t>This class excludes:</w:t>
      </w:r>
    </w:p>
    <w:p w14:paraId="000006AD" w14:textId="7B26A94D" w:rsidR="00F8269C" w:rsidRDefault="00450D2D">
      <w:pPr>
        <w:numPr>
          <w:ilvl w:val="0"/>
          <w:numId w:val="17"/>
        </w:numPr>
        <w:pBdr>
          <w:top w:val="nil"/>
          <w:left w:val="nil"/>
          <w:bottom w:val="nil"/>
          <w:right w:val="nil"/>
          <w:between w:val="nil"/>
        </w:pBdr>
        <w:spacing w:after="0"/>
      </w:pPr>
      <w:r>
        <w:rPr>
          <w:color w:val="000000"/>
        </w:rPr>
        <w:t>Test drilling in connection with mining operations, see ISIC Code - 0910, ISIC Code - 0990</w:t>
      </w:r>
    </w:p>
    <w:p w14:paraId="000006AE" w14:textId="1539F21A" w:rsidR="00F8269C" w:rsidRDefault="00450D2D">
      <w:pPr>
        <w:numPr>
          <w:ilvl w:val="0"/>
          <w:numId w:val="17"/>
        </w:numPr>
        <w:pBdr>
          <w:top w:val="nil"/>
          <w:left w:val="nil"/>
          <w:bottom w:val="nil"/>
          <w:right w:val="nil"/>
          <w:between w:val="nil"/>
        </w:pBdr>
        <w:spacing w:after="0"/>
      </w:pPr>
      <w:r>
        <w:rPr>
          <w:color w:val="000000"/>
        </w:rPr>
        <w:t>Development or publishing of associated software, see ISIC Code - 5820, ISIC Code - 6201</w:t>
      </w:r>
    </w:p>
    <w:p w14:paraId="000006AF" w14:textId="6B098983" w:rsidR="00F8269C" w:rsidRDefault="00450D2D">
      <w:pPr>
        <w:numPr>
          <w:ilvl w:val="0"/>
          <w:numId w:val="17"/>
        </w:numPr>
        <w:pBdr>
          <w:top w:val="nil"/>
          <w:left w:val="nil"/>
          <w:bottom w:val="nil"/>
          <w:right w:val="nil"/>
          <w:between w:val="nil"/>
        </w:pBdr>
        <w:spacing w:after="0"/>
      </w:pPr>
      <w:r>
        <w:rPr>
          <w:color w:val="000000"/>
        </w:rPr>
        <w:t>Activities of computer consultants, see ISIC Code - 6202, ISIC Code - 6209</w:t>
      </w:r>
    </w:p>
    <w:p w14:paraId="000006B0" w14:textId="67ED5E06" w:rsidR="00F8269C" w:rsidRDefault="00450D2D">
      <w:pPr>
        <w:numPr>
          <w:ilvl w:val="0"/>
          <w:numId w:val="17"/>
        </w:numPr>
        <w:pBdr>
          <w:top w:val="nil"/>
          <w:left w:val="nil"/>
          <w:bottom w:val="nil"/>
          <w:right w:val="nil"/>
          <w:between w:val="nil"/>
        </w:pBdr>
        <w:spacing w:after="0"/>
      </w:pPr>
      <w:r>
        <w:rPr>
          <w:color w:val="000000"/>
        </w:rPr>
        <w:t>Technical testing, see ISIC Code - 7120</w:t>
      </w:r>
    </w:p>
    <w:p w14:paraId="000006B1" w14:textId="183CFAB4" w:rsidR="00F8269C" w:rsidRDefault="00450D2D">
      <w:pPr>
        <w:numPr>
          <w:ilvl w:val="0"/>
          <w:numId w:val="17"/>
        </w:numPr>
        <w:pBdr>
          <w:top w:val="nil"/>
          <w:left w:val="nil"/>
          <w:bottom w:val="nil"/>
          <w:right w:val="nil"/>
          <w:between w:val="nil"/>
        </w:pBdr>
        <w:spacing w:after="0"/>
      </w:pPr>
      <w:r>
        <w:rPr>
          <w:color w:val="000000"/>
        </w:rPr>
        <w:t>Research and development activities related to engineering, see ISIC Code - 7210</w:t>
      </w:r>
    </w:p>
    <w:p w14:paraId="000006B2" w14:textId="766A7BCB" w:rsidR="00F8269C" w:rsidRDefault="00450D2D">
      <w:pPr>
        <w:numPr>
          <w:ilvl w:val="0"/>
          <w:numId w:val="17"/>
        </w:numPr>
        <w:pBdr>
          <w:top w:val="nil"/>
          <w:left w:val="nil"/>
          <w:bottom w:val="nil"/>
          <w:right w:val="nil"/>
          <w:between w:val="nil"/>
        </w:pBdr>
        <w:spacing w:after="0"/>
      </w:pPr>
      <w:r>
        <w:rPr>
          <w:color w:val="000000"/>
        </w:rPr>
        <w:t>Industrial design, see ISIC Code - 7410</w:t>
      </w:r>
    </w:p>
    <w:p w14:paraId="000006B3" w14:textId="6E1C019F" w:rsidR="00F8269C" w:rsidRDefault="00450D2D">
      <w:pPr>
        <w:numPr>
          <w:ilvl w:val="0"/>
          <w:numId w:val="17"/>
        </w:numPr>
        <w:pBdr>
          <w:top w:val="nil"/>
          <w:left w:val="nil"/>
          <w:bottom w:val="nil"/>
          <w:right w:val="nil"/>
          <w:between w:val="nil"/>
        </w:pBdr>
        <w:spacing w:after="0"/>
      </w:pPr>
      <w:r>
        <w:rPr>
          <w:color w:val="000000"/>
        </w:rPr>
        <w:t>Interior decorating, see ISIC Code - 7410</w:t>
      </w:r>
    </w:p>
    <w:p w14:paraId="000006B4" w14:textId="437719BD" w:rsidR="00F8269C" w:rsidRDefault="00450D2D">
      <w:pPr>
        <w:numPr>
          <w:ilvl w:val="0"/>
          <w:numId w:val="17"/>
        </w:numPr>
        <w:pBdr>
          <w:top w:val="nil"/>
          <w:left w:val="nil"/>
          <w:bottom w:val="nil"/>
          <w:right w:val="nil"/>
          <w:between w:val="nil"/>
        </w:pBdr>
      </w:pPr>
      <w:r>
        <w:rPr>
          <w:color w:val="000000"/>
        </w:rPr>
        <w:t>Aerial photography, see ISIC Code - 7420</w:t>
      </w:r>
    </w:p>
    <w:p w14:paraId="000006B5" w14:textId="4B232D91" w:rsidR="00F8269C" w:rsidRDefault="00450D2D">
      <w:pPr>
        <w:pStyle w:val="Heading4"/>
      </w:pPr>
      <w:bookmarkStart w:id="536" w:name="_Toc90192012"/>
      <w:bookmarkStart w:id="537" w:name="_Toc93842931"/>
      <w:bookmarkStart w:id="538" w:name="_Toc93843117"/>
      <w:r>
        <w:t>ISIC Code 7310 - Advertising</w:t>
      </w:r>
      <w:bookmarkEnd w:id="536"/>
      <w:bookmarkEnd w:id="537"/>
      <w:bookmarkEnd w:id="538"/>
    </w:p>
    <w:p w14:paraId="000006B6" w14:textId="1F97FF93" w:rsidR="00F8269C" w:rsidRDefault="00450D2D">
      <w:pPr>
        <w:pStyle w:val="Heading4"/>
      </w:pPr>
      <w:bookmarkStart w:id="539" w:name="_Toc90192013"/>
      <w:bookmarkStart w:id="540" w:name="_Toc93842932"/>
      <w:bookmarkStart w:id="541" w:name="_Toc93843118"/>
      <w:r>
        <w:t>Inclusions</w:t>
      </w:r>
      <w:bookmarkEnd w:id="539"/>
      <w:bookmarkEnd w:id="540"/>
      <w:bookmarkEnd w:id="541"/>
    </w:p>
    <w:p w14:paraId="000006B7" w14:textId="25347376" w:rsidR="00F8269C" w:rsidRDefault="00450D2D">
      <w:r>
        <w:t>This class includes the provision of a full range of advertising services (i.e. through in-house capabilities or subcontracting), including advice, creative services, production of advertising material, media planning and buying.</w:t>
      </w:r>
    </w:p>
    <w:p w14:paraId="000006B8" w14:textId="683E2D2A" w:rsidR="00F8269C" w:rsidRDefault="00450D2D">
      <w:r>
        <w:t>This class includes:</w:t>
      </w:r>
    </w:p>
    <w:p w14:paraId="000006B9" w14:textId="3457800C" w:rsidR="00F8269C" w:rsidRDefault="00450D2D">
      <w:pPr>
        <w:numPr>
          <w:ilvl w:val="0"/>
          <w:numId w:val="17"/>
        </w:numPr>
        <w:pBdr>
          <w:top w:val="nil"/>
          <w:left w:val="nil"/>
          <w:bottom w:val="nil"/>
          <w:right w:val="nil"/>
          <w:between w:val="nil"/>
        </w:pBdr>
        <w:spacing w:after="0"/>
      </w:pPr>
      <w:r>
        <w:rPr>
          <w:color w:val="000000"/>
        </w:rPr>
        <w:t>Creation and reali</w:t>
      </w:r>
      <w:r w:rsidR="00B83450">
        <w:rPr>
          <w:color w:val="000000"/>
        </w:rPr>
        <w:t>s</w:t>
      </w:r>
      <w:r>
        <w:rPr>
          <w:color w:val="000000"/>
        </w:rPr>
        <w:t>ation of advertising campaigns:</w:t>
      </w:r>
    </w:p>
    <w:p w14:paraId="000006BA" w14:textId="1BD81365" w:rsidR="00F8269C" w:rsidRDefault="00450D2D" w:rsidP="009D3DA2">
      <w:pPr>
        <w:numPr>
          <w:ilvl w:val="0"/>
          <w:numId w:val="23"/>
        </w:numPr>
        <w:pBdr>
          <w:top w:val="nil"/>
          <w:left w:val="nil"/>
          <w:bottom w:val="nil"/>
          <w:right w:val="nil"/>
          <w:between w:val="nil"/>
        </w:pBdr>
        <w:spacing w:after="0"/>
        <w:ind w:left="1077" w:hanging="357"/>
      </w:pPr>
      <w:r>
        <w:rPr>
          <w:color w:val="000000"/>
        </w:rPr>
        <w:t>Creating and placing advertising in newspapers, periodicals, radio, television, the Internet and other media</w:t>
      </w:r>
    </w:p>
    <w:p w14:paraId="000006BB" w14:textId="4B6CC4A9" w:rsidR="00F8269C" w:rsidRDefault="00450D2D" w:rsidP="009D3DA2">
      <w:pPr>
        <w:numPr>
          <w:ilvl w:val="0"/>
          <w:numId w:val="23"/>
        </w:numPr>
        <w:pBdr>
          <w:top w:val="nil"/>
          <w:left w:val="nil"/>
          <w:bottom w:val="nil"/>
          <w:right w:val="nil"/>
          <w:between w:val="nil"/>
        </w:pBdr>
        <w:spacing w:after="0"/>
        <w:ind w:left="1077" w:hanging="357"/>
      </w:pPr>
      <w:r>
        <w:rPr>
          <w:color w:val="000000"/>
        </w:rPr>
        <w:t>Creating and placing of outdoor advertising, e.g. billboards, panels, bulletins and frames, window dressing, showroom design, car and bus carding etc.</w:t>
      </w:r>
    </w:p>
    <w:p w14:paraId="000006BC" w14:textId="26C15F5D" w:rsidR="00F8269C" w:rsidRDefault="00450D2D" w:rsidP="009D3DA2">
      <w:pPr>
        <w:numPr>
          <w:ilvl w:val="0"/>
          <w:numId w:val="23"/>
        </w:numPr>
        <w:pBdr>
          <w:top w:val="nil"/>
          <w:left w:val="nil"/>
          <w:bottom w:val="nil"/>
          <w:right w:val="nil"/>
          <w:between w:val="nil"/>
        </w:pBdr>
        <w:spacing w:after="0"/>
        <w:ind w:left="1077" w:hanging="357"/>
      </w:pPr>
      <w:r>
        <w:rPr>
          <w:color w:val="000000"/>
        </w:rPr>
        <w:t>Media representation, i.e. sale of time and space for various media soliciting advertising</w:t>
      </w:r>
    </w:p>
    <w:p w14:paraId="000006BD" w14:textId="63742FB3" w:rsidR="00F8269C" w:rsidRDefault="00450D2D" w:rsidP="009D3DA2">
      <w:pPr>
        <w:numPr>
          <w:ilvl w:val="0"/>
          <w:numId w:val="23"/>
        </w:numPr>
        <w:pBdr>
          <w:top w:val="nil"/>
          <w:left w:val="nil"/>
          <w:bottom w:val="nil"/>
          <w:right w:val="nil"/>
          <w:between w:val="nil"/>
        </w:pBdr>
        <w:spacing w:after="0"/>
        <w:ind w:left="1077" w:hanging="357"/>
      </w:pPr>
      <w:r>
        <w:rPr>
          <w:color w:val="000000"/>
        </w:rPr>
        <w:t>Aerial advertising</w:t>
      </w:r>
    </w:p>
    <w:p w14:paraId="000006BE" w14:textId="7B56D9B7" w:rsidR="00F8269C" w:rsidRDefault="00450D2D" w:rsidP="009D3DA2">
      <w:pPr>
        <w:numPr>
          <w:ilvl w:val="0"/>
          <w:numId w:val="23"/>
        </w:numPr>
        <w:pBdr>
          <w:top w:val="nil"/>
          <w:left w:val="nil"/>
          <w:bottom w:val="nil"/>
          <w:right w:val="nil"/>
          <w:between w:val="nil"/>
        </w:pBdr>
        <w:spacing w:after="0"/>
        <w:ind w:left="1077" w:hanging="357"/>
      </w:pPr>
      <w:r>
        <w:rPr>
          <w:color w:val="000000"/>
        </w:rPr>
        <w:t>Distribution or delivery of advertising material or samples</w:t>
      </w:r>
    </w:p>
    <w:p w14:paraId="000006BF" w14:textId="4DEB2CB4" w:rsidR="00F8269C" w:rsidRDefault="00450D2D" w:rsidP="009D3DA2">
      <w:pPr>
        <w:numPr>
          <w:ilvl w:val="0"/>
          <w:numId w:val="23"/>
        </w:numPr>
        <w:pBdr>
          <w:top w:val="nil"/>
          <w:left w:val="nil"/>
          <w:bottom w:val="nil"/>
          <w:right w:val="nil"/>
          <w:between w:val="nil"/>
        </w:pBdr>
        <w:spacing w:after="0"/>
        <w:ind w:left="1077" w:hanging="357"/>
      </w:pPr>
      <w:r>
        <w:rPr>
          <w:color w:val="000000"/>
        </w:rPr>
        <w:t>Provision of advertising space on billboards etc.</w:t>
      </w:r>
    </w:p>
    <w:p w14:paraId="000006C0" w14:textId="521ECC88" w:rsidR="00F8269C" w:rsidRDefault="00450D2D" w:rsidP="009D3DA2">
      <w:pPr>
        <w:numPr>
          <w:ilvl w:val="0"/>
          <w:numId w:val="23"/>
        </w:numPr>
        <w:pBdr>
          <w:top w:val="nil"/>
          <w:left w:val="nil"/>
          <w:bottom w:val="nil"/>
          <w:right w:val="nil"/>
          <w:between w:val="nil"/>
        </w:pBdr>
        <w:spacing w:after="0"/>
        <w:ind w:left="1077" w:hanging="357"/>
      </w:pPr>
      <w:r>
        <w:rPr>
          <w:color w:val="000000"/>
        </w:rPr>
        <w:t>Creation of stands and other display structures and sites</w:t>
      </w:r>
    </w:p>
    <w:p w14:paraId="000006C1" w14:textId="029960C4" w:rsidR="00F8269C" w:rsidRDefault="00450D2D">
      <w:pPr>
        <w:numPr>
          <w:ilvl w:val="0"/>
          <w:numId w:val="17"/>
        </w:numPr>
        <w:pBdr>
          <w:top w:val="nil"/>
          <w:left w:val="nil"/>
          <w:bottom w:val="nil"/>
          <w:right w:val="nil"/>
          <w:between w:val="nil"/>
        </w:pBdr>
        <w:spacing w:after="0"/>
      </w:pPr>
      <w:r>
        <w:rPr>
          <w:color w:val="000000"/>
        </w:rPr>
        <w:t>Conducting marketing campaigns and other advertising services aimed at attracting and retaining customers:</w:t>
      </w:r>
    </w:p>
    <w:p w14:paraId="000006C2" w14:textId="5121ED22" w:rsidR="00F8269C" w:rsidRDefault="00450D2D" w:rsidP="009D3DA2">
      <w:pPr>
        <w:numPr>
          <w:ilvl w:val="0"/>
          <w:numId w:val="24"/>
        </w:numPr>
        <w:pBdr>
          <w:top w:val="nil"/>
          <w:left w:val="nil"/>
          <w:bottom w:val="nil"/>
          <w:right w:val="nil"/>
          <w:between w:val="nil"/>
        </w:pBdr>
        <w:spacing w:after="0"/>
        <w:ind w:left="1077" w:hanging="357"/>
      </w:pPr>
      <w:r>
        <w:rPr>
          <w:color w:val="000000"/>
        </w:rPr>
        <w:t>Promotion of products</w:t>
      </w:r>
    </w:p>
    <w:p w14:paraId="000006C3" w14:textId="1D931875" w:rsidR="00F8269C" w:rsidRDefault="00450D2D" w:rsidP="009D3DA2">
      <w:pPr>
        <w:numPr>
          <w:ilvl w:val="0"/>
          <w:numId w:val="24"/>
        </w:numPr>
        <w:pBdr>
          <w:top w:val="nil"/>
          <w:left w:val="nil"/>
          <w:bottom w:val="nil"/>
          <w:right w:val="nil"/>
          <w:between w:val="nil"/>
        </w:pBdr>
        <w:spacing w:after="0"/>
        <w:ind w:left="1077" w:hanging="357"/>
      </w:pPr>
      <w:r>
        <w:rPr>
          <w:color w:val="000000"/>
        </w:rPr>
        <w:t>Point-of-sale marketing</w:t>
      </w:r>
    </w:p>
    <w:p w14:paraId="000006C4" w14:textId="2F1E0896" w:rsidR="00F8269C" w:rsidRDefault="00450D2D" w:rsidP="009D3DA2">
      <w:pPr>
        <w:numPr>
          <w:ilvl w:val="0"/>
          <w:numId w:val="24"/>
        </w:numPr>
        <w:pBdr>
          <w:top w:val="nil"/>
          <w:left w:val="nil"/>
          <w:bottom w:val="nil"/>
          <w:right w:val="nil"/>
          <w:between w:val="nil"/>
        </w:pBdr>
        <w:spacing w:after="0"/>
        <w:ind w:left="1077" w:hanging="357"/>
      </w:pPr>
      <w:r>
        <w:rPr>
          <w:color w:val="000000"/>
        </w:rPr>
        <w:t>Direct mail advertising</w:t>
      </w:r>
    </w:p>
    <w:p w14:paraId="000006C5" w14:textId="2E3C324B" w:rsidR="00F8269C" w:rsidRPr="009D3DA2" w:rsidRDefault="00450D2D" w:rsidP="009D3DA2">
      <w:pPr>
        <w:numPr>
          <w:ilvl w:val="0"/>
          <w:numId w:val="24"/>
        </w:numPr>
        <w:pBdr>
          <w:top w:val="nil"/>
          <w:left w:val="nil"/>
          <w:bottom w:val="nil"/>
          <w:right w:val="nil"/>
          <w:between w:val="nil"/>
        </w:pBdr>
        <w:spacing w:after="0"/>
        <w:ind w:left="1077" w:hanging="357"/>
      </w:pPr>
      <w:r>
        <w:rPr>
          <w:color w:val="000000"/>
        </w:rPr>
        <w:t>Marketing consulting</w:t>
      </w:r>
    </w:p>
    <w:p w14:paraId="6FD8C006" w14:textId="4222D03D" w:rsidR="006901BD" w:rsidRDefault="006901BD" w:rsidP="009D3DA2">
      <w:pPr>
        <w:numPr>
          <w:ilvl w:val="0"/>
          <w:numId w:val="24"/>
        </w:numPr>
        <w:pBdr>
          <w:top w:val="nil"/>
          <w:left w:val="nil"/>
          <w:bottom w:val="nil"/>
          <w:right w:val="nil"/>
          <w:between w:val="nil"/>
        </w:pBdr>
        <w:ind w:left="1077" w:hanging="357"/>
      </w:pPr>
      <w:r>
        <w:rPr>
          <w:color w:val="000000"/>
        </w:rPr>
        <w:t>Merchandising activities</w:t>
      </w:r>
    </w:p>
    <w:p w14:paraId="000006C6" w14:textId="56622BE1" w:rsidR="00F8269C" w:rsidRDefault="00450D2D">
      <w:pPr>
        <w:pStyle w:val="Heading4"/>
      </w:pPr>
      <w:bookmarkStart w:id="542" w:name="_Toc90192014"/>
      <w:bookmarkStart w:id="543" w:name="_Toc93842933"/>
      <w:bookmarkStart w:id="544" w:name="_Toc93843119"/>
      <w:r>
        <w:t>Exclusions</w:t>
      </w:r>
      <w:bookmarkEnd w:id="542"/>
      <w:bookmarkEnd w:id="543"/>
      <w:bookmarkEnd w:id="544"/>
    </w:p>
    <w:p w14:paraId="000006C7" w14:textId="0F3A3F44" w:rsidR="00F8269C" w:rsidRDefault="00450D2D">
      <w:r>
        <w:t>This class excludes:</w:t>
      </w:r>
    </w:p>
    <w:p w14:paraId="000006C8" w14:textId="4899D617" w:rsidR="00F8269C" w:rsidRDefault="00450D2D">
      <w:pPr>
        <w:numPr>
          <w:ilvl w:val="0"/>
          <w:numId w:val="17"/>
        </w:numPr>
        <w:pBdr>
          <w:top w:val="nil"/>
          <w:left w:val="nil"/>
          <w:bottom w:val="nil"/>
          <w:right w:val="nil"/>
          <w:between w:val="nil"/>
        </w:pBdr>
        <w:spacing w:after="0"/>
      </w:pPr>
      <w:r>
        <w:rPr>
          <w:color w:val="000000"/>
        </w:rPr>
        <w:t>Publishing of advertising material, see ISIC Code - 5819</w:t>
      </w:r>
    </w:p>
    <w:p w14:paraId="000006C9" w14:textId="50B707A5" w:rsidR="00F8269C" w:rsidRDefault="00450D2D">
      <w:pPr>
        <w:numPr>
          <w:ilvl w:val="0"/>
          <w:numId w:val="17"/>
        </w:numPr>
        <w:pBdr>
          <w:top w:val="nil"/>
          <w:left w:val="nil"/>
          <w:bottom w:val="nil"/>
          <w:right w:val="nil"/>
          <w:between w:val="nil"/>
        </w:pBdr>
        <w:spacing w:after="0"/>
      </w:pPr>
      <w:r>
        <w:rPr>
          <w:color w:val="000000"/>
        </w:rPr>
        <w:t>Production of commercial messages for radio, television and film, see ISIC Code - 5911</w:t>
      </w:r>
    </w:p>
    <w:p w14:paraId="000006CA" w14:textId="18AD363C" w:rsidR="00F8269C" w:rsidRDefault="00450D2D">
      <w:pPr>
        <w:numPr>
          <w:ilvl w:val="0"/>
          <w:numId w:val="17"/>
        </w:numPr>
        <w:pBdr>
          <w:top w:val="nil"/>
          <w:left w:val="nil"/>
          <w:bottom w:val="nil"/>
          <w:right w:val="nil"/>
          <w:between w:val="nil"/>
        </w:pBdr>
        <w:spacing w:after="0"/>
      </w:pPr>
      <w:r>
        <w:rPr>
          <w:color w:val="000000"/>
        </w:rPr>
        <w:t>Public-relations activities, see ISIC Code - 7020</w:t>
      </w:r>
    </w:p>
    <w:p w14:paraId="000006CB" w14:textId="480667D9" w:rsidR="00F8269C" w:rsidRDefault="00450D2D">
      <w:pPr>
        <w:numPr>
          <w:ilvl w:val="0"/>
          <w:numId w:val="17"/>
        </w:numPr>
        <w:pBdr>
          <w:top w:val="nil"/>
          <w:left w:val="nil"/>
          <w:bottom w:val="nil"/>
          <w:right w:val="nil"/>
          <w:between w:val="nil"/>
        </w:pBdr>
        <w:spacing w:after="0"/>
      </w:pPr>
      <w:r>
        <w:rPr>
          <w:color w:val="000000"/>
        </w:rPr>
        <w:t>Market research, see ISIC Code - 7320</w:t>
      </w:r>
    </w:p>
    <w:p w14:paraId="000006CC" w14:textId="38CAD7AF" w:rsidR="00F8269C" w:rsidRDefault="00450D2D">
      <w:pPr>
        <w:numPr>
          <w:ilvl w:val="0"/>
          <w:numId w:val="17"/>
        </w:numPr>
        <w:pBdr>
          <w:top w:val="nil"/>
          <w:left w:val="nil"/>
          <w:bottom w:val="nil"/>
          <w:right w:val="nil"/>
          <w:between w:val="nil"/>
        </w:pBdr>
        <w:spacing w:after="0"/>
      </w:pPr>
      <w:r>
        <w:rPr>
          <w:color w:val="000000"/>
        </w:rPr>
        <w:t>Graphic design activities, see ISIC Code - 7410</w:t>
      </w:r>
    </w:p>
    <w:p w14:paraId="000006CD" w14:textId="58C124F9" w:rsidR="00F8269C" w:rsidRDefault="00450D2D">
      <w:pPr>
        <w:numPr>
          <w:ilvl w:val="0"/>
          <w:numId w:val="17"/>
        </w:numPr>
        <w:pBdr>
          <w:top w:val="nil"/>
          <w:left w:val="nil"/>
          <w:bottom w:val="nil"/>
          <w:right w:val="nil"/>
          <w:between w:val="nil"/>
        </w:pBdr>
        <w:spacing w:after="0"/>
      </w:pPr>
      <w:r>
        <w:rPr>
          <w:color w:val="000000"/>
        </w:rPr>
        <w:t>Advertising photography, see ISIC Code - 7420</w:t>
      </w:r>
    </w:p>
    <w:p w14:paraId="000006CE" w14:textId="04B43A7B" w:rsidR="00F8269C" w:rsidRDefault="00450D2D">
      <w:pPr>
        <w:numPr>
          <w:ilvl w:val="0"/>
          <w:numId w:val="17"/>
        </w:numPr>
        <w:pBdr>
          <w:top w:val="nil"/>
          <w:left w:val="nil"/>
          <w:bottom w:val="nil"/>
          <w:right w:val="nil"/>
          <w:between w:val="nil"/>
        </w:pBdr>
        <w:spacing w:after="0"/>
      </w:pPr>
      <w:r>
        <w:rPr>
          <w:color w:val="000000"/>
        </w:rPr>
        <w:t>Convention and trade show organi</w:t>
      </w:r>
      <w:r w:rsidR="007459BC">
        <w:rPr>
          <w:color w:val="000000"/>
        </w:rPr>
        <w:t>s</w:t>
      </w:r>
      <w:r>
        <w:rPr>
          <w:color w:val="000000"/>
        </w:rPr>
        <w:t>ers, see ISIC Code - 8230</w:t>
      </w:r>
    </w:p>
    <w:p w14:paraId="000006CF" w14:textId="113421E1" w:rsidR="00F8269C" w:rsidRDefault="00450D2D">
      <w:pPr>
        <w:numPr>
          <w:ilvl w:val="0"/>
          <w:numId w:val="17"/>
        </w:numPr>
        <w:pBdr>
          <w:top w:val="nil"/>
          <w:left w:val="nil"/>
          <w:bottom w:val="nil"/>
          <w:right w:val="nil"/>
          <w:between w:val="nil"/>
        </w:pBdr>
      </w:pPr>
      <w:r>
        <w:rPr>
          <w:color w:val="000000"/>
        </w:rPr>
        <w:t>Mailing activities, see ISIC Code - 8219</w:t>
      </w:r>
    </w:p>
    <w:p w14:paraId="000006D0" w14:textId="18047A20" w:rsidR="00F8269C" w:rsidRDefault="00450D2D">
      <w:pPr>
        <w:pStyle w:val="Heading4"/>
      </w:pPr>
      <w:bookmarkStart w:id="545" w:name="_Toc90192015"/>
      <w:bookmarkStart w:id="546" w:name="_Toc93842934"/>
      <w:bookmarkStart w:id="547" w:name="_Toc93843120"/>
      <w:r>
        <w:t>ISIC Code 8522 - Technical and Vocational Secondary Education</w:t>
      </w:r>
      <w:bookmarkEnd w:id="545"/>
      <w:bookmarkEnd w:id="546"/>
      <w:bookmarkEnd w:id="547"/>
    </w:p>
    <w:p w14:paraId="000006D2" w14:textId="7ECDD8BD" w:rsidR="00F8269C" w:rsidRDefault="00450D2D">
      <w:pPr>
        <w:pStyle w:val="Heading4"/>
      </w:pPr>
      <w:bookmarkStart w:id="548" w:name="_Toc90192016"/>
      <w:bookmarkStart w:id="549" w:name="_Toc93842935"/>
      <w:bookmarkStart w:id="550" w:name="_Toc93843121"/>
      <w:r>
        <w:t>Inclusions</w:t>
      </w:r>
      <w:bookmarkEnd w:id="548"/>
      <w:bookmarkEnd w:id="549"/>
      <w:bookmarkEnd w:id="550"/>
    </w:p>
    <w:p w14:paraId="000006D3" w14:textId="3A00D6ED" w:rsidR="00F8269C" w:rsidRDefault="00450D2D">
      <w:r>
        <w:t>This class includes education typically emphasi</w:t>
      </w:r>
      <w:r w:rsidR="007459BC">
        <w:t>s</w:t>
      </w:r>
      <w:r>
        <w:t>ing subject-matter speciali</w:t>
      </w:r>
      <w:r w:rsidR="00B83450">
        <w:t>s</w:t>
      </w:r>
      <w:r>
        <w:t xml:space="preserve">ation and instruction in both theoretical background and practical skills generally associated with present or prospective </w:t>
      </w:r>
      <w:r>
        <w:lastRenderedPageBreak/>
        <w:t>employment. The aim of a programme can vary from preparation for a general field of employment to a very specific job. Instruction may be provided in diverse settings, such as the unit's or client's training facilities, educational institutions, the workplace, or the home, and through correspondence, television, Internet, or other means.</w:t>
      </w:r>
    </w:p>
    <w:p w14:paraId="000006D4" w14:textId="4D421D23" w:rsidR="00F8269C" w:rsidRDefault="00450D2D">
      <w:r>
        <w:t>This class includes:</w:t>
      </w:r>
    </w:p>
    <w:p w14:paraId="000006D5" w14:textId="7C6495C9" w:rsidR="00F8269C" w:rsidRDefault="00450D2D">
      <w:pPr>
        <w:numPr>
          <w:ilvl w:val="0"/>
          <w:numId w:val="17"/>
        </w:numPr>
        <w:pBdr>
          <w:top w:val="nil"/>
          <w:left w:val="nil"/>
          <w:bottom w:val="nil"/>
          <w:right w:val="nil"/>
          <w:between w:val="nil"/>
        </w:pBdr>
        <w:spacing w:after="0"/>
      </w:pPr>
      <w:r>
        <w:rPr>
          <w:color w:val="000000"/>
        </w:rPr>
        <w:t>Technical and vocational education below the level of higher education as defined in ISIC Code - 853</w:t>
      </w:r>
    </w:p>
    <w:p w14:paraId="000006D6" w14:textId="39D34A90" w:rsidR="00F8269C" w:rsidRDefault="00450D2D">
      <w:pPr>
        <w:numPr>
          <w:ilvl w:val="0"/>
          <w:numId w:val="17"/>
        </w:numPr>
        <w:pBdr>
          <w:top w:val="nil"/>
          <w:left w:val="nil"/>
          <w:bottom w:val="nil"/>
          <w:right w:val="nil"/>
          <w:between w:val="nil"/>
        </w:pBdr>
        <w:spacing w:after="0"/>
      </w:pPr>
      <w:r>
        <w:rPr>
          <w:color w:val="000000"/>
        </w:rPr>
        <w:t>Instruction for tourist guides</w:t>
      </w:r>
    </w:p>
    <w:p w14:paraId="000006D7" w14:textId="79E04A9B" w:rsidR="00F8269C" w:rsidRDefault="00450D2D">
      <w:pPr>
        <w:numPr>
          <w:ilvl w:val="0"/>
          <w:numId w:val="17"/>
        </w:numPr>
        <w:pBdr>
          <w:top w:val="nil"/>
          <w:left w:val="nil"/>
          <w:bottom w:val="nil"/>
          <w:right w:val="nil"/>
          <w:between w:val="nil"/>
        </w:pBdr>
        <w:spacing w:after="0"/>
      </w:pPr>
      <w:r>
        <w:rPr>
          <w:color w:val="000000"/>
        </w:rPr>
        <w:t>Instruction for chefs, hoteliers and restaurateurs</w:t>
      </w:r>
    </w:p>
    <w:p w14:paraId="000006D8" w14:textId="2C9B0369" w:rsidR="00F8269C" w:rsidRDefault="00450D2D">
      <w:pPr>
        <w:numPr>
          <w:ilvl w:val="0"/>
          <w:numId w:val="17"/>
        </w:numPr>
        <w:pBdr>
          <w:top w:val="nil"/>
          <w:left w:val="nil"/>
          <w:bottom w:val="nil"/>
          <w:right w:val="nil"/>
          <w:between w:val="nil"/>
        </w:pBdr>
        <w:spacing w:after="0"/>
      </w:pPr>
      <w:r>
        <w:rPr>
          <w:color w:val="000000"/>
        </w:rPr>
        <w:t>Special education for handicapped students at this level</w:t>
      </w:r>
    </w:p>
    <w:p w14:paraId="000006D9" w14:textId="51DEAA96" w:rsidR="00F8269C" w:rsidRDefault="00450D2D">
      <w:pPr>
        <w:numPr>
          <w:ilvl w:val="0"/>
          <w:numId w:val="17"/>
        </w:numPr>
        <w:pBdr>
          <w:top w:val="nil"/>
          <w:left w:val="nil"/>
          <w:bottom w:val="nil"/>
          <w:right w:val="nil"/>
          <w:between w:val="nil"/>
        </w:pBdr>
        <w:spacing w:after="0"/>
      </w:pPr>
      <w:r>
        <w:rPr>
          <w:color w:val="000000"/>
        </w:rPr>
        <w:t>Cosmetology and barber schools</w:t>
      </w:r>
    </w:p>
    <w:p w14:paraId="000006DA" w14:textId="6643155B" w:rsidR="00F8269C" w:rsidRDefault="00450D2D">
      <w:pPr>
        <w:numPr>
          <w:ilvl w:val="0"/>
          <w:numId w:val="17"/>
        </w:numPr>
        <w:pBdr>
          <w:top w:val="nil"/>
          <w:left w:val="nil"/>
          <w:bottom w:val="nil"/>
          <w:right w:val="nil"/>
          <w:between w:val="nil"/>
        </w:pBdr>
        <w:spacing w:after="0"/>
      </w:pPr>
      <w:r>
        <w:rPr>
          <w:color w:val="000000"/>
        </w:rPr>
        <w:t>Computer repair training</w:t>
      </w:r>
    </w:p>
    <w:p w14:paraId="000006DB" w14:textId="36972E3C" w:rsidR="00F8269C" w:rsidRDefault="00450D2D">
      <w:pPr>
        <w:numPr>
          <w:ilvl w:val="0"/>
          <w:numId w:val="17"/>
        </w:numPr>
        <w:pBdr>
          <w:top w:val="nil"/>
          <w:left w:val="nil"/>
          <w:bottom w:val="nil"/>
          <w:right w:val="nil"/>
          <w:between w:val="nil"/>
        </w:pBdr>
      </w:pPr>
      <w:r>
        <w:rPr>
          <w:color w:val="000000"/>
        </w:rPr>
        <w:t>Driving schools for occupational drivers e.g. of trucks, buses, coaches</w:t>
      </w:r>
    </w:p>
    <w:p w14:paraId="000006DC" w14:textId="60D57608" w:rsidR="00F8269C" w:rsidRDefault="00450D2D">
      <w:pPr>
        <w:pStyle w:val="Heading4"/>
      </w:pPr>
      <w:bookmarkStart w:id="551" w:name="_Toc90192017"/>
      <w:bookmarkStart w:id="552" w:name="_Toc93842936"/>
      <w:bookmarkStart w:id="553" w:name="_Toc93843122"/>
      <w:r>
        <w:t>Exclusions</w:t>
      </w:r>
      <w:bookmarkEnd w:id="551"/>
      <w:bookmarkEnd w:id="552"/>
      <w:bookmarkEnd w:id="553"/>
    </w:p>
    <w:p w14:paraId="000006DD" w14:textId="781E009F" w:rsidR="00F8269C" w:rsidRDefault="00450D2D">
      <w:r>
        <w:t>This class excludes: 75</w:t>
      </w:r>
    </w:p>
    <w:p w14:paraId="000006DE" w14:textId="320ACD4C" w:rsidR="00F8269C" w:rsidRDefault="00450D2D">
      <w:pPr>
        <w:numPr>
          <w:ilvl w:val="0"/>
          <w:numId w:val="17"/>
        </w:numPr>
        <w:pBdr>
          <w:top w:val="nil"/>
          <w:left w:val="nil"/>
          <w:bottom w:val="nil"/>
          <w:right w:val="nil"/>
          <w:between w:val="nil"/>
        </w:pBdr>
        <w:spacing w:after="0"/>
      </w:pPr>
      <w:r>
        <w:rPr>
          <w:color w:val="000000"/>
        </w:rPr>
        <w:t>Technical and vocational education at post-secondary and university levels, see ISIC Code - 8530</w:t>
      </w:r>
    </w:p>
    <w:p w14:paraId="000006DF" w14:textId="6372A80F" w:rsidR="00F8269C" w:rsidRDefault="00450D2D">
      <w:pPr>
        <w:numPr>
          <w:ilvl w:val="0"/>
          <w:numId w:val="17"/>
        </w:numPr>
        <w:pBdr>
          <w:top w:val="nil"/>
          <w:left w:val="nil"/>
          <w:bottom w:val="nil"/>
          <w:right w:val="nil"/>
          <w:between w:val="nil"/>
        </w:pBdr>
        <w:spacing w:after="0"/>
      </w:pPr>
      <w:r>
        <w:rPr>
          <w:color w:val="000000"/>
        </w:rPr>
        <w:t>Adult education as defined in ISIC Code - 854</w:t>
      </w:r>
    </w:p>
    <w:p w14:paraId="000006E0" w14:textId="40A64448" w:rsidR="00F8269C" w:rsidRDefault="00450D2D">
      <w:pPr>
        <w:numPr>
          <w:ilvl w:val="0"/>
          <w:numId w:val="17"/>
        </w:numPr>
        <w:pBdr>
          <w:top w:val="nil"/>
          <w:left w:val="nil"/>
          <w:bottom w:val="nil"/>
          <w:right w:val="nil"/>
          <w:between w:val="nil"/>
        </w:pBdr>
        <w:spacing w:after="0"/>
      </w:pPr>
      <w:r>
        <w:rPr>
          <w:color w:val="000000"/>
        </w:rPr>
        <w:t>Performing art instruction for recreation, hobby and self-development purposes, see ISIC Code - 8542</w:t>
      </w:r>
    </w:p>
    <w:p w14:paraId="000006E1" w14:textId="45964929" w:rsidR="00F8269C" w:rsidRDefault="00450D2D">
      <w:pPr>
        <w:numPr>
          <w:ilvl w:val="0"/>
          <w:numId w:val="17"/>
        </w:numPr>
        <w:pBdr>
          <w:top w:val="nil"/>
          <w:left w:val="nil"/>
          <w:bottom w:val="nil"/>
          <w:right w:val="nil"/>
          <w:between w:val="nil"/>
        </w:pBdr>
        <w:spacing w:after="0"/>
      </w:pPr>
      <w:r>
        <w:rPr>
          <w:color w:val="000000"/>
        </w:rPr>
        <w:t>Automobile driving schools not intended for occupational drivers, see ISIC Code - 8549</w:t>
      </w:r>
    </w:p>
    <w:p w14:paraId="000006E2" w14:textId="31817CEB" w:rsidR="00F8269C" w:rsidRDefault="00450D2D">
      <w:pPr>
        <w:numPr>
          <w:ilvl w:val="0"/>
          <w:numId w:val="17"/>
        </w:numPr>
        <w:pBdr>
          <w:top w:val="nil"/>
          <w:left w:val="nil"/>
          <w:bottom w:val="nil"/>
          <w:right w:val="nil"/>
          <w:between w:val="nil"/>
        </w:pBdr>
      </w:pPr>
      <w:r>
        <w:rPr>
          <w:color w:val="000000"/>
        </w:rPr>
        <w:t>Job training forming part of social work activities without accommodation, see ISIC Code - 8810, ISIC Code - 8890</w:t>
      </w:r>
    </w:p>
    <w:p w14:paraId="000006E3" w14:textId="4FA200BD" w:rsidR="00F8269C" w:rsidRDefault="00450D2D">
      <w:pPr>
        <w:pStyle w:val="Heading4"/>
      </w:pPr>
      <w:bookmarkStart w:id="554" w:name="_Toc90192018"/>
      <w:bookmarkStart w:id="555" w:name="_Toc93842937"/>
      <w:bookmarkStart w:id="556" w:name="_Toc93843123"/>
      <w:r>
        <w:t>ISIC Code 8530 - Higher Education</w:t>
      </w:r>
      <w:bookmarkEnd w:id="554"/>
      <w:bookmarkEnd w:id="555"/>
      <w:bookmarkEnd w:id="556"/>
    </w:p>
    <w:p w14:paraId="000006E4" w14:textId="15032370" w:rsidR="00F8269C" w:rsidRDefault="00450D2D">
      <w:pPr>
        <w:pStyle w:val="Heading4"/>
      </w:pPr>
      <w:bookmarkStart w:id="557" w:name="_Toc90192019"/>
      <w:bookmarkStart w:id="558" w:name="_Toc93842938"/>
      <w:bookmarkStart w:id="559" w:name="_Toc93843124"/>
      <w:r>
        <w:t>Inclusions</w:t>
      </w:r>
      <w:bookmarkEnd w:id="557"/>
      <w:bookmarkEnd w:id="558"/>
      <w:bookmarkEnd w:id="559"/>
    </w:p>
    <w:p w14:paraId="000006E5" w14:textId="34732BD2" w:rsidR="00F8269C" w:rsidRDefault="00450D2D">
      <w:r>
        <w:t xml:space="preserve">This class includes the provision of post-secondary non-tertiary and tertiary education, including granting of degrees at baccalaureate, graduate or </w:t>
      </w:r>
      <w:sdt>
        <w:sdtPr>
          <w:tag w:val="goog_rdk_71"/>
          <w:id w:val="-1880856036"/>
        </w:sdtPr>
        <w:sdtEndPr/>
        <w:sdtContent/>
      </w:sdt>
      <w:r>
        <w:t>postgraduate level. The requirement for admission is at least a high school diploma or equivalent general academic training. Education can be provided in classrooms or through radio, television broadcast, Internet or correspondence.</w:t>
      </w:r>
    </w:p>
    <w:p w14:paraId="000006E6" w14:textId="4164F09B" w:rsidR="00F8269C" w:rsidRDefault="00450D2D">
      <w:r>
        <w:t>This class includes:</w:t>
      </w:r>
    </w:p>
    <w:p w14:paraId="000006E7" w14:textId="586F3190" w:rsidR="00F8269C" w:rsidRDefault="00450D2D">
      <w:pPr>
        <w:numPr>
          <w:ilvl w:val="0"/>
          <w:numId w:val="17"/>
        </w:numPr>
        <w:pBdr>
          <w:top w:val="nil"/>
          <w:left w:val="nil"/>
          <w:bottom w:val="nil"/>
          <w:right w:val="nil"/>
          <w:between w:val="nil"/>
        </w:pBdr>
        <w:spacing w:after="0"/>
      </w:pPr>
      <w:r>
        <w:rPr>
          <w:color w:val="000000"/>
        </w:rPr>
        <w:t>Post-secondary non-tertiary education</w:t>
      </w:r>
    </w:p>
    <w:p w14:paraId="000006E8" w14:textId="3CCD578D" w:rsidR="00F8269C" w:rsidRDefault="00450D2D">
      <w:pPr>
        <w:numPr>
          <w:ilvl w:val="0"/>
          <w:numId w:val="17"/>
        </w:numPr>
        <w:pBdr>
          <w:top w:val="nil"/>
          <w:left w:val="nil"/>
          <w:bottom w:val="nil"/>
          <w:right w:val="nil"/>
          <w:between w:val="nil"/>
        </w:pBdr>
        <w:spacing w:after="0"/>
      </w:pPr>
      <w:r>
        <w:rPr>
          <w:color w:val="000000"/>
        </w:rPr>
        <w:t>First stage of tertiary education (not leading to an advanced research qualification)</w:t>
      </w:r>
    </w:p>
    <w:p w14:paraId="000006E9" w14:textId="2CA487D4" w:rsidR="00F8269C" w:rsidRDefault="00450D2D">
      <w:pPr>
        <w:numPr>
          <w:ilvl w:val="0"/>
          <w:numId w:val="17"/>
        </w:numPr>
        <w:pBdr>
          <w:top w:val="nil"/>
          <w:left w:val="nil"/>
          <w:bottom w:val="nil"/>
          <w:right w:val="nil"/>
          <w:between w:val="nil"/>
        </w:pBdr>
        <w:spacing w:after="0"/>
      </w:pPr>
      <w:r>
        <w:rPr>
          <w:color w:val="000000"/>
        </w:rPr>
        <w:t>Second stage of tertiary education (leading to an advanced research qualification)</w:t>
      </w:r>
    </w:p>
    <w:p w14:paraId="000006EA" w14:textId="3EFB8E0F" w:rsidR="00F8269C" w:rsidRDefault="00450D2D">
      <w:pPr>
        <w:numPr>
          <w:ilvl w:val="0"/>
          <w:numId w:val="17"/>
        </w:numPr>
        <w:pBdr>
          <w:top w:val="nil"/>
          <w:left w:val="nil"/>
          <w:bottom w:val="nil"/>
          <w:right w:val="nil"/>
          <w:between w:val="nil"/>
        </w:pBdr>
      </w:pPr>
      <w:r>
        <w:rPr>
          <w:color w:val="000000"/>
        </w:rPr>
        <w:t>Performing arts schools providing higher education</w:t>
      </w:r>
    </w:p>
    <w:p w14:paraId="000006EB" w14:textId="53859836" w:rsidR="00F8269C" w:rsidRDefault="00450D2D">
      <w:pPr>
        <w:pStyle w:val="Heading4"/>
      </w:pPr>
      <w:bookmarkStart w:id="560" w:name="_Toc90192020"/>
      <w:bookmarkStart w:id="561" w:name="_Toc93842939"/>
      <w:bookmarkStart w:id="562" w:name="_Toc93843125"/>
      <w:r>
        <w:t>Exclusions</w:t>
      </w:r>
      <w:bookmarkEnd w:id="560"/>
      <w:bookmarkEnd w:id="561"/>
      <w:bookmarkEnd w:id="562"/>
    </w:p>
    <w:p w14:paraId="000006EC" w14:textId="472D2363" w:rsidR="00F8269C" w:rsidRDefault="00450D2D">
      <w:r>
        <w:t>This class excludes:</w:t>
      </w:r>
    </w:p>
    <w:p w14:paraId="000006ED" w14:textId="29B369A7" w:rsidR="00F8269C" w:rsidRDefault="00450D2D">
      <w:pPr>
        <w:numPr>
          <w:ilvl w:val="0"/>
          <w:numId w:val="17"/>
        </w:numPr>
        <w:pBdr>
          <w:top w:val="nil"/>
          <w:left w:val="nil"/>
          <w:bottom w:val="nil"/>
          <w:right w:val="nil"/>
          <w:between w:val="nil"/>
        </w:pBdr>
      </w:pPr>
      <w:r>
        <w:rPr>
          <w:color w:val="000000"/>
        </w:rPr>
        <w:t>Adult education as defined in ISIC Code - 854</w:t>
      </w:r>
    </w:p>
    <w:p w14:paraId="000006EE" w14:textId="62E8F997" w:rsidR="00F8269C" w:rsidRDefault="00450D2D">
      <w:pPr>
        <w:pStyle w:val="Heading4"/>
      </w:pPr>
      <w:bookmarkStart w:id="563" w:name="_Toc90192021"/>
      <w:bookmarkStart w:id="564" w:name="_Toc93842940"/>
      <w:bookmarkStart w:id="565" w:name="_Toc93843126"/>
      <w:r>
        <w:t xml:space="preserve">ISIC CODE 8542 </w:t>
      </w:r>
      <w:r w:rsidR="0016096E">
        <w:t>- Cultural education</w:t>
      </w:r>
      <w:bookmarkEnd w:id="563"/>
      <w:bookmarkEnd w:id="564"/>
      <w:bookmarkEnd w:id="565"/>
    </w:p>
    <w:p w14:paraId="000006EF" w14:textId="1EBC1277" w:rsidR="00F8269C" w:rsidRDefault="00450D2D">
      <w:pPr>
        <w:pStyle w:val="Heading4"/>
      </w:pPr>
      <w:bookmarkStart w:id="566" w:name="_Toc90192022"/>
      <w:bookmarkStart w:id="567" w:name="_Toc93842941"/>
      <w:bookmarkStart w:id="568" w:name="_Toc93843127"/>
      <w:r>
        <w:t>Inclusions</w:t>
      </w:r>
      <w:bookmarkEnd w:id="566"/>
      <w:bookmarkEnd w:id="567"/>
      <w:bookmarkEnd w:id="568"/>
    </w:p>
    <w:p w14:paraId="000006F0" w14:textId="301D1554" w:rsidR="00F8269C" w:rsidRDefault="00450D2D">
      <w:r>
        <w:t xml:space="preserve">This class includes provision of instruction in the arts, drama and music. Units giving this type of instructions might be named </w:t>
      </w:r>
      <w:r w:rsidR="002D3ED2">
        <w:t>“</w:t>
      </w:r>
      <w:r>
        <w:t>schools</w:t>
      </w:r>
      <w:r w:rsidR="002D3ED2">
        <w:t>”</w:t>
      </w:r>
      <w:r>
        <w:t xml:space="preserve">, </w:t>
      </w:r>
      <w:r w:rsidR="002D3ED2">
        <w:t>“</w:t>
      </w:r>
      <w:r>
        <w:t>studios</w:t>
      </w:r>
      <w:r w:rsidR="002D3ED2">
        <w:t>”</w:t>
      </w:r>
      <w:r>
        <w:t xml:space="preserve">, </w:t>
      </w:r>
      <w:r w:rsidR="002D3ED2">
        <w:t>“</w:t>
      </w:r>
      <w:r>
        <w:t>classes</w:t>
      </w:r>
      <w:r w:rsidR="002D3ED2">
        <w:t>”</w:t>
      </w:r>
      <w:r>
        <w:t xml:space="preserve"> etc. They provide formally organi</w:t>
      </w:r>
      <w:r w:rsidR="007459BC">
        <w:t>s</w:t>
      </w:r>
      <w:r>
        <w:t>ed instruction, mainly for hobby, recreational or self-development purposes, but such instruction does not lead to a professional diploma, baccalaureate or graduate degree.</w:t>
      </w:r>
    </w:p>
    <w:p w14:paraId="000006F1" w14:textId="66C816E6" w:rsidR="00F8269C" w:rsidRDefault="00450D2D">
      <w:r>
        <w:t>This class includes:</w:t>
      </w:r>
    </w:p>
    <w:p w14:paraId="000006F2" w14:textId="2523582A" w:rsidR="00F8269C" w:rsidRDefault="00450D2D">
      <w:pPr>
        <w:numPr>
          <w:ilvl w:val="0"/>
          <w:numId w:val="17"/>
        </w:numPr>
        <w:pBdr>
          <w:top w:val="nil"/>
          <w:left w:val="nil"/>
          <w:bottom w:val="nil"/>
          <w:right w:val="nil"/>
          <w:between w:val="nil"/>
        </w:pBdr>
        <w:spacing w:after="0"/>
      </w:pPr>
      <w:r>
        <w:rPr>
          <w:color w:val="000000"/>
        </w:rPr>
        <w:t>Piano teachers and other music instruction</w:t>
      </w:r>
    </w:p>
    <w:p w14:paraId="000006F3" w14:textId="57F9F83B" w:rsidR="00F8269C" w:rsidRDefault="00450D2D">
      <w:pPr>
        <w:numPr>
          <w:ilvl w:val="0"/>
          <w:numId w:val="17"/>
        </w:numPr>
        <w:pBdr>
          <w:top w:val="nil"/>
          <w:left w:val="nil"/>
          <w:bottom w:val="nil"/>
          <w:right w:val="nil"/>
          <w:between w:val="nil"/>
        </w:pBdr>
        <w:spacing w:after="0"/>
      </w:pPr>
      <w:r>
        <w:rPr>
          <w:color w:val="000000"/>
        </w:rPr>
        <w:t>Art instruction</w:t>
      </w:r>
    </w:p>
    <w:p w14:paraId="000006F4" w14:textId="2BB4D962" w:rsidR="00F8269C" w:rsidRDefault="00450D2D">
      <w:pPr>
        <w:numPr>
          <w:ilvl w:val="0"/>
          <w:numId w:val="17"/>
        </w:numPr>
        <w:pBdr>
          <w:top w:val="nil"/>
          <w:left w:val="nil"/>
          <w:bottom w:val="nil"/>
          <w:right w:val="nil"/>
          <w:between w:val="nil"/>
        </w:pBdr>
        <w:spacing w:after="0"/>
      </w:pPr>
      <w:r>
        <w:rPr>
          <w:color w:val="000000"/>
        </w:rPr>
        <w:t>Dance instruction and dance studios</w:t>
      </w:r>
    </w:p>
    <w:p w14:paraId="000006F5" w14:textId="5404584C" w:rsidR="00F8269C" w:rsidRDefault="00450D2D">
      <w:pPr>
        <w:numPr>
          <w:ilvl w:val="0"/>
          <w:numId w:val="17"/>
        </w:numPr>
        <w:pBdr>
          <w:top w:val="nil"/>
          <w:left w:val="nil"/>
          <w:bottom w:val="nil"/>
          <w:right w:val="nil"/>
          <w:between w:val="nil"/>
        </w:pBdr>
        <w:spacing w:after="0"/>
      </w:pPr>
      <w:r>
        <w:rPr>
          <w:color w:val="000000"/>
        </w:rPr>
        <w:t>Drama schools (except academic)</w:t>
      </w:r>
    </w:p>
    <w:p w14:paraId="000006F6" w14:textId="45BC3154" w:rsidR="00F8269C" w:rsidRDefault="00450D2D">
      <w:pPr>
        <w:numPr>
          <w:ilvl w:val="0"/>
          <w:numId w:val="17"/>
        </w:numPr>
        <w:pBdr>
          <w:top w:val="nil"/>
          <w:left w:val="nil"/>
          <w:bottom w:val="nil"/>
          <w:right w:val="nil"/>
          <w:between w:val="nil"/>
        </w:pBdr>
        <w:spacing w:after="0"/>
      </w:pPr>
      <w:r>
        <w:rPr>
          <w:color w:val="000000"/>
        </w:rPr>
        <w:lastRenderedPageBreak/>
        <w:t>Fine arts schools (except academic)</w:t>
      </w:r>
    </w:p>
    <w:p w14:paraId="000006F7" w14:textId="5FBD358F" w:rsidR="00F8269C" w:rsidRDefault="00450D2D">
      <w:pPr>
        <w:numPr>
          <w:ilvl w:val="0"/>
          <w:numId w:val="17"/>
        </w:numPr>
        <w:pBdr>
          <w:top w:val="nil"/>
          <w:left w:val="nil"/>
          <w:bottom w:val="nil"/>
          <w:right w:val="nil"/>
          <w:between w:val="nil"/>
        </w:pBdr>
        <w:spacing w:after="0"/>
      </w:pPr>
      <w:r>
        <w:rPr>
          <w:color w:val="000000"/>
        </w:rPr>
        <w:t>Performing arts schools (except academic)</w:t>
      </w:r>
    </w:p>
    <w:p w14:paraId="000006F9" w14:textId="78BCAB2D" w:rsidR="00F8269C" w:rsidRDefault="00450D2D" w:rsidP="009D3DA2">
      <w:pPr>
        <w:numPr>
          <w:ilvl w:val="0"/>
          <w:numId w:val="17"/>
        </w:numPr>
        <w:pBdr>
          <w:top w:val="nil"/>
          <w:left w:val="nil"/>
          <w:bottom w:val="nil"/>
          <w:right w:val="nil"/>
          <w:between w:val="nil"/>
        </w:pBdr>
        <w:ind w:left="714" w:hanging="357"/>
      </w:pPr>
      <w:r>
        <w:rPr>
          <w:color w:val="000000"/>
        </w:rPr>
        <w:t>Photography schools (except commercial)</w:t>
      </w:r>
    </w:p>
    <w:p w14:paraId="11A13B4D" w14:textId="378ED61F" w:rsidR="0016096E" w:rsidRDefault="0016096E" w:rsidP="0016096E">
      <w:pPr>
        <w:pStyle w:val="Heading4"/>
      </w:pPr>
      <w:bookmarkStart w:id="569" w:name="_Toc93842942"/>
      <w:bookmarkStart w:id="570" w:name="_Toc93843128"/>
      <w:r w:rsidRPr="0016096E">
        <w:t xml:space="preserve">Correspondence </w:t>
      </w:r>
      <w:r w:rsidR="00DA4D0D">
        <w:t>T</w:t>
      </w:r>
      <w:r w:rsidRPr="0016096E">
        <w:t>ables or Concordances</w:t>
      </w:r>
      <w:bookmarkEnd w:id="569"/>
      <w:bookmarkEnd w:id="570"/>
    </w:p>
    <w:p w14:paraId="000006FA" w14:textId="48FE1080" w:rsidR="00F8269C" w:rsidRDefault="00450D2D" w:rsidP="009D3DA2">
      <w:pPr>
        <w:jc w:val="both"/>
      </w:pPr>
      <w:r>
        <w:t>Correspondence tables or Concordances are tools for the linking of classifications. It explains where, and to what extent, the categories in one classification may be found in other classifications, or in earlier versions of the same classification. Tables are important for the development and harmonisation of international classifications. There are many different circumstances under which one may want to establish relations between classifications, and many forms which these relations may take. Tables can be precise, depending on the convention to describe the type of link between tables (e.g. historical, hierarchical or whether they overlap). (Source: United Nations Statistics Division, Fourth Meeting of the Expert Group on International Economic and Social Classifications, New York, 2-4</w:t>
      </w:r>
      <w:r w:rsidR="00B77B6B">
        <w:t> </w:t>
      </w:r>
      <w:r>
        <w:t>November</w:t>
      </w:r>
      <w:r w:rsidR="00B77B6B">
        <w:t> </w:t>
      </w:r>
      <w:r>
        <w:t xml:space="preserve">1998: A Statement of Best Practices. </w:t>
      </w:r>
      <w:hyperlink w:history="1"/>
      <w:hyperlink r:id="rId40">
        <w:r w:rsidR="002D3ED2">
          <w:rPr>
            <w:color w:val="0563C1"/>
            <w:u w:val="single"/>
          </w:rPr>
          <w:t>http://unstats.un.org/unsd/class/family/glossary_short.asp</w:t>
        </w:r>
      </w:hyperlink>
      <w:r>
        <w:t>)</w:t>
      </w:r>
      <w:r w:rsidR="0016096E">
        <w:tab/>
      </w:r>
    </w:p>
    <w:p w14:paraId="000006FB" w14:textId="77777777" w:rsidR="00F8269C" w:rsidRDefault="00450D2D">
      <w:pPr>
        <w:keepNext/>
      </w:pPr>
      <w:r>
        <w:rPr>
          <w:noProof/>
        </w:rPr>
        <w:drawing>
          <wp:inline distT="0" distB="0" distL="0" distR="0" wp14:anchorId="733C3F56" wp14:editId="6956C6BE">
            <wp:extent cx="5731510" cy="5908040"/>
            <wp:effectExtent l="0" t="0" r="0" b="0"/>
            <wp:docPr id="333" name="image5.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Table&#10;&#10;Description automatically generated"/>
                    <pic:cNvPicPr preferRelativeResize="0"/>
                  </pic:nvPicPr>
                  <pic:blipFill>
                    <a:blip r:embed="rId41"/>
                    <a:srcRect t="3874"/>
                    <a:stretch>
                      <a:fillRect/>
                    </a:stretch>
                  </pic:blipFill>
                  <pic:spPr>
                    <a:xfrm>
                      <a:off x="0" y="0"/>
                      <a:ext cx="5731510" cy="5908040"/>
                    </a:xfrm>
                    <a:prstGeom prst="rect">
                      <a:avLst/>
                    </a:prstGeom>
                    <a:ln/>
                  </pic:spPr>
                </pic:pic>
              </a:graphicData>
            </a:graphic>
          </wp:inline>
        </w:drawing>
      </w:r>
    </w:p>
    <w:p w14:paraId="000006FC" w14:textId="77777777" w:rsidR="00F8269C" w:rsidRDefault="00450D2D">
      <w:pPr>
        <w:pBdr>
          <w:top w:val="nil"/>
          <w:left w:val="nil"/>
          <w:bottom w:val="nil"/>
          <w:right w:val="nil"/>
          <w:between w:val="nil"/>
        </w:pBdr>
        <w:spacing w:after="200" w:line="240" w:lineRule="auto"/>
        <w:rPr>
          <w:i/>
          <w:color w:val="44546A"/>
          <w:sz w:val="18"/>
          <w:szCs w:val="18"/>
        </w:rPr>
      </w:pPr>
      <w:r>
        <w:rPr>
          <w:i/>
          <w:color w:val="44546A"/>
          <w:sz w:val="18"/>
          <w:szCs w:val="18"/>
        </w:rPr>
        <w:t>Figure 18: UNESCO mapping using ISIC</w:t>
      </w:r>
    </w:p>
    <w:p w14:paraId="000006FD" w14:textId="77777777" w:rsidR="00F8269C" w:rsidRDefault="00450D2D">
      <w:pPr>
        <w:rPr>
          <w:color w:val="2F5496"/>
          <w:sz w:val="24"/>
          <w:szCs w:val="24"/>
        </w:rPr>
      </w:pPr>
      <w:r>
        <w:br w:type="page"/>
      </w:r>
    </w:p>
    <w:p w14:paraId="000006FE" w14:textId="7339E5C9" w:rsidR="00F8269C" w:rsidRDefault="00804F2D" w:rsidP="00023227">
      <w:pPr>
        <w:pStyle w:val="Heading1"/>
        <w:numPr>
          <w:ilvl w:val="0"/>
          <w:numId w:val="0"/>
        </w:numPr>
      </w:pPr>
      <w:bookmarkStart w:id="571" w:name="_Toc93842943"/>
      <w:bookmarkStart w:id="572" w:name="_Toc93843129"/>
      <w:bookmarkStart w:id="573" w:name="_Toc93843362"/>
      <w:r>
        <w:lastRenderedPageBreak/>
        <w:t xml:space="preserve">Appendix 2. </w:t>
      </w:r>
      <w:r w:rsidR="00450D2D">
        <w:t xml:space="preserve">A </w:t>
      </w:r>
      <w:r w:rsidR="004914E3">
        <w:t>S</w:t>
      </w:r>
      <w:r w:rsidR="00450D2D">
        <w:t xml:space="preserve">imple Input-Output </w:t>
      </w:r>
      <w:r w:rsidR="004914E3">
        <w:t>F</w:t>
      </w:r>
      <w:r w:rsidR="00450D2D">
        <w:t>ramework</w:t>
      </w:r>
      <w:bookmarkEnd w:id="571"/>
      <w:bookmarkEnd w:id="572"/>
      <w:bookmarkEnd w:id="573"/>
    </w:p>
    <w:p w14:paraId="000006FF" w14:textId="77777777" w:rsidR="00F8269C" w:rsidRDefault="00450D2D" w:rsidP="009D3DA2">
      <w:pPr>
        <w:jc w:val="both"/>
      </w:pPr>
      <w:r>
        <w:t xml:space="preserve">An </w:t>
      </w:r>
      <w:r>
        <w:rPr>
          <w:b/>
        </w:rPr>
        <w:t>IO</w:t>
      </w:r>
      <w:r>
        <w:t xml:space="preserve"> table focuses on the interrelationship between industries in an economy with respect to the production and uses of their products and the products imported. Generally, the </w:t>
      </w:r>
      <w:r>
        <w:rPr>
          <w:b/>
        </w:rPr>
        <w:t>IO</w:t>
      </w:r>
      <w:r>
        <w:t xml:space="preserve"> framework is represented in a table. In this form, the economy is viewed as each industry listed across the top is a consuming sector and down the side is a supplying sector.</w:t>
      </w:r>
    </w:p>
    <w:p w14:paraId="66CCAC8F" w14:textId="6B3A6BD2" w:rsidR="0040541B" w:rsidRDefault="00D8580D">
      <w:pPr>
        <w:keepNext/>
        <w:pBdr>
          <w:top w:val="nil"/>
          <w:left w:val="nil"/>
          <w:bottom w:val="nil"/>
          <w:right w:val="nil"/>
          <w:between w:val="nil"/>
        </w:pBdr>
        <w:spacing w:after="200"/>
        <w:jc w:val="both"/>
        <w:rPr>
          <w:i/>
          <w:color w:val="44546A"/>
          <w:sz w:val="18"/>
          <w:szCs w:val="18"/>
        </w:rPr>
      </w:pPr>
      <w:r>
        <w:rPr>
          <w:i/>
          <w:color w:val="44546A"/>
          <w:sz w:val="18"/>
          <w:szCs w:val="18"/>
        </w:rPr>
        <w:t>Figure</w:t>
      </w:r>
      <w:r w:rsidR="0040541B">
        <w:rPr>
          <w:i/>
          <w:color w:val="44546A"/>
          <w:sz w:val="18"/>
          <w:szCs w:val="18"/>
        </w:rPr>
        <w:t xml:space="preserve"> 19: Basic IO Transactions Table</w:t>
      </w:r>
    </w:p>
    <w:p w14:paraId="5504C702" w14:textId="77777777" w:rsidR="0040541B" w:rsidRDefault="0040541B">
      <w:pPr>
        <w:ind w:left="-388" w:firstLine="388"/>
        <w:jc w:val="both"/>
      </w:pPr>
      <w:r>
        <w:rPr>
          <w:noProof/>
        </w:rPr>
        <w:drawing>
          <wp:inline distT="0" distB="0" distL="0" distR="0" wp14:anchorId="26A831C7" wp14:editId="1D8A5744">
            <wp:extent cx="5067300" cy="1762125"/>
            <wp:effectExtent l="0" t="0" r="0" b="0"/>
            <wp:docPr id="33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2"/>
                    <a:srcRect/>
                    <a:stretch>
                      <a:fillRect/>
                    </a:stretch>
                  </pic:blipFill>
                  <pic:spPr>
                    <a:xfrm>
                      <a:off x="0" y="0"/>
                      <a:ext cx="5067300" cy="1762125"/>
                    </a:xfrm>
                    <a:prstGeom prst="rect">
                      <a:avLst/>
                    </a:prstGeom>
                    <a:ln/>
                  </pic:spPr>
                </pic:pic>
              </a:graphicData>
            </a:graphic>
          </wp:inline>
        </w:drawing>
      </w:r>
    </w:p>
    <w:p w14:paraId="3353887F" w14:textId="78FFE3B1" w:rsidR="0040541B" w:rsidRPr="00137967" w:rsidRDefault="0040541B" w:rsidP="009D3DA2">
      <w:pPr>
        <w:pBdr>
          <w:top w:val="nil"/>
          <w:left w:val="nil"/>
          <w:bottom w:val="nil"/>
          <w:right w:val="nil"/>
          <w:between w:val="nil"/>
        </w:pBdr>
        <w:spacing w:before="120"/>
        <w:jc w:val="both"/>
        <w:rPr>
          <w:color w:val="000000"/>
        </w:rPr>
      </w:pPr>
      <w:r w:rsidRPr="009D3DA2">
        <w:rPr>
          <w:color w:val="000000"/>
          <w:sz w:val="18"/>
          <w:szCs w:val="18"/>
        </w:rPr>
        <w:t xml:space="preserve">Source: Miller and Blair </w:t>
      </w:r>
      <w:r w:rsidRPr="009D3DA2">
        <w:rPr>
          <w:rFonts w:eastAsia="Calibri"/>
          <w:color w:val="000000"/>
          <w:sz w:val="18"/>
          <w:szCs w:val="18"/>
        </w:rPr>
        <w:t>(2009, p. 3)</w:t>
      </w:r>
    </w:p>
    <w:p w14:paraId="00000703" w14:textId="77777777" w:rsidR="00F8269C" w:rsidRDefault="00450D2D" w:rsidP="009D3DA2">
      <w:pPr>
        <w:jc w:val="both"/>
      </w:pPr>
      <w:r>
        <w:t>Although most industries will provide goods and services for final consumption, they will also provide inputs into the productive process of other industries. Besides buying inputs from other industries, producers need labour and capital to produce the goods and services. In addition, firms may receive subsidies or be required to pay taxes. In an open economy, companies would also import part of their input for production. The “recipe” for the manufacture of an industry’s products or services can be seen down each column.</w:t>
      </w:r>
    </w:p>
    <w:p w14:paraId="00000704" w14:textId="77777777" w:rsidR="00F8269C" w:rsidRDefault="00450D2D" w:rsidP="009D3DA2">
      <w:pPr>
        <w:jc w:val="both"/>
      </w:pPr>
      <w:r>
        <w:t>Similarly, firms will produce products that will be used as inputs for production in other industries. They will supply goods and services (final demand) for consumers, investors and government. They will also provide goods and services to foreign markets.</w:t>
      </w:r>
    </w:p>
    <w:p w14:paraId="00000705" w14:textId="77777777" w:rsidR="00F8269C" w:rsidRDefault="00450D2D" w:rsidP="009D3DA2">
      <w:pPr>
        <w:jc w:val="both"/>
      </w:pPr>
      <w:r>
        <w:t xml:space="preserve">The </w:t>
      </w:r>
      <w:r>
        <w:rPr>
          <w:b/>
        </w:rPr>
        <w:t>IO</w:t>
      </w:r>
      <w:r>
        <w:t xml:space="preserve"> table, as discussed above, therefore shows how the GDP for a country is calculated using the production method, the expenditure method and the income method. The table shown above includes only a few industries. Many </w:t>
      </w:r>
      <w:r>
        <w:rPr>
          <w:b/>
        </w:rPr>
        <w:t>IO</w:t>
      </w:r>
      <w:r>
        <w:t xml:space="preserve"> tables have considerably more industries listed. However, the greater number of industries the more complex and complicated it becomes to “balance” the table, bearing in mind that the three methods used to calculate the GDP must arrive at the same value.</w:t>
      </w:r>
    </w:p>
    <w:tbl>
      <w:tblPr>
        <w:tblStyle w:val="af2"/>
        <w:tblW w:w="5108" w:type="dxa"/>
        <w:tblBorders>
          <w:top w:val="nil"/>
          <w:left w:val="nil"/>
          <w:bottom w:val="nil"/>
          <w:right w:val="nil"/>
          <w:insideH w:val="nil"/>
          <w:insideV w:val="nil"/>
        </w:tblBorders>
        <w:tblLayout w:type="fixed"/>
        <w:tblLook w:val="0400" w:firstRow="0" w:lastRow="0" w:firstColumn="0" w:lastColumn="0" w:noHBand="0" w:noVBand="1"/>
      </w:tblPr>
      <w:tblGrid>
        <w:gridCol w:w="5108"/>
      </w:tblGrid>
      <w:tr w:rsidR="00F8269C" w14:paraId="49570779" w14:textId="77777777">
        <w:tc>
          <w:tcPr>
            <w:tcW w:w="5108" w:type="dxa"/>
          </w:tcPr>
          <w:p w14:paraId="00000706" w14:textId="77777777" w:rsidR="00F8269C" w:rsidRDefault="00F8269C">
            <w:pPr>
              <w:pBdr>
                <w:top w:val="nil"/>
                <w:left w:val="nil"/>
                <w:bottom w:val="nil"/>
                <w:right w:val="nil"/>
                <w:between w:val="nil"/>
              </w:pBdr>
              <w:spacing w:after="200"/>
              <w:rPr>
                <w:i/>
                <w:color w:val="44546A"/>
                <w:sz w:val="18"/>
                <w:szCs w:val="18"/>
              </w:rPr>
            </w:pPr>
          </w:p>
        </w:tc>
      </w:tr>
      <w:tr w:rsidR="00F8269C" w14:paraId="72A2551F" w14:textId="77777777">
        <w:trPr>
          <w:trHeight w:val="1795"/>
        </w:trPr>
        <w:tc>
          <w:tcPr>
            <w:tcW w:w="5108" w:type="dxa"/>
          </w:tcPr>
          <w:p w14:paraId="00000707" w14:textId="77777777" w:rsidR="00F8269C" w:rsidRDefault="00450D2D">
            <w:pPr>
              <w:pBdr>
                <w:top w:val="nil"/>
                <w:left w:val="nil"/>
                <w:bottom w:val="nil"/>
                <w:right w:val="nil"/>
                <w:between w:val="nil"/>
              </w:pBdr>
              <w:spacing w:before="120" w:after="120" w:line="276" w:lineRule="auto"/>
              <w:jc w:val="both"/>
              <w:rPr>
                <w:color w:val="000000"/>
              </w:rPr>
            </w:pPr>
            <w:r>
              <w:rPr>
                <w:noProof/>
              </w:rPr>
              <w:drawing>
                <wp:anchor distT="0" distB="0" distL="114300" distR="114300" simplePos="0" relativeHeight="251665408" behindDoc="0" locked="0" layoutInCell="1" hidden="0" allowOverlap="1" wp14:anchorId="1355D688" wp14:editId="5F13DD72">
                  <wp:simplePos x="0" y="0"/>
                  <wp:positionH relativeFrom="column">
                    <wp:posOffset>-1677</wp:posOffset>
                  </wp:positionH>
                  <wp:positionV relativeFrom="paragraph">
                    <wp:posOffset>75641</wp:posOffset>
                  </wp:positionV>
                  <wp:extent cx="3106800" cy="1036800"/>
                  <wp:effectExtent l="0" t="0" r="0" b="0"/>
                  <wp:wrapSquare wrapText="bothSides" distT="0" distB="0" distL="114300" distR="114300"/>
                  <wp:docPr id="331" name="image4.png" descr="Diagram, 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Diagram, table&#10;&#10;Description automatically generated"/>
                          <pic:cNvPicPr preferRelativeResize="0"/>
                        </pic:nvPicPr>
                        <pic:blipFill>
                          <a:blip r:embed="rId43"/>
                          <a:srcRect/>
                          <a:stretch>
                            <a:fillRect/>
                          </a:stretch>
                        </pic:blipFill>
                        <pic:spPr>
                          <a:xfrm>
                            <a:off x="0" y="0"/>
                            <a:ext cx="3106800" cy="1036800"/>
                          </a:xfrm>
                          <a:prstGeom prst="rect">
                            <a:avLst/>
                          </a:prstGeom>
                          <a:ln/>
                        </pic:spPr>
                      </pic:pic>
                    </a:graphicData>
                  </a:graphic>
                </wp:anchor>
              </w:drawing>
            </w:r>
            <w:r>
              <w:rPr>
                <w:noProof/>
              </w:rPr>
              <mc:AlternateContent>
                <mc:Choice Requires="wps">
                  <w:drawing>
                    <wp:anchor distT="0" distB="0" distL="114300" distR="114300" simplePos="0" relativeHeight="251666432" behindDoc="0" locked="0" layoutInCell="1" hidden="0" allowOverlap="1" wp14:anchorId="1823478B" wp14:editId="1C7C4CE8">
                      <wp:simplePos x="0" y="0"/>
                      <wp:positionH relativeFrom="column">
                        <wp:posOffset>102082600</wp:posOffset>
                      </wp:positionH>
                      <wp:positionV relativeFrom="paragraph">
                        <wp:posOffset>-1936559499</wp:posOffset>
                      </wp:positionV>
                      <wp:extent cx="3115945" cy="136525"/>
                      <wp:effectExtent l="0" t="0" r="0" b="0"/>
                      <wp:wrapSquare wrapText="bothSides" distT="0" distB="0" distL="114300" distR="114300"/>
                      <wp:docPr id="325" name="Rectangle 325"/>
                      <wp:cNvGraphicFramePr/>
                      <a:graphic xmlns:a="http://schemas.openxmlformats.org/drawingml/2006/main">
                        <a:graphicData uri="http://schemas.microsoft.com/office/word/2010/wordprocessingShape">
                          <wps:wsp>
                            <wps:cNvSpPr/>
                            <wps:spPr>
                              <a:xfrm>
                                <a:off x="3792790" y="3716500"/>
                                <a:ext cx="3106420" cy="127000"/>
                              </a:xfrm>
                              <a:prstGeom prst="rect">
                                <a:avLst/>
                              </a:prstGeom>
                              <a:solidFill>
                                <a:srgbClr val="FFFFFF"/>
                              </a:solidFill>
                              <a:ln>
                                <a:noFill/>
                              </a:ln>
                            </wps:spPr>
                            <wps:txbx>
                              <w:txbxContent>
                                <w:p w14:paraId="0B0FA7BB" w14:textId="3874B42D" w:rsidR="00513E3A" w:rsidRDefault="00D8580D">
                                  <w:pPr>
                                    <w:spacing w:after="200" w:line="240" w:lineRule="auto"/>
                                    <w:textDirection w:val="btLr"/>
                                  </w:pPr>
                                  <w:r>
                                    <w:rPr>
                                      <w:i/>
                                      <w:color w:val="44546A"/>
                                      <w:sz w:val="18"/>
                                    </w:rPr>
                                    <w:t xml:space="preserve">Figure </w:t>
                                  </w:r>
                                  <w:r w:rsidR="0040541B">
                                    <w:rPr>
                                      <w:i/>
                                      <w:color w:val="44546A"/>
                                      <w:sz w:val="18"/>
                                    </w:rPr>
                                    <w:t>20</w:t>
                                  </w:r>
                                  <w:r w:rsidR="00513E3A">
                                    <w:rPr>
                                      <w:i/>
                                      <w:color w:val="44546A"/>
                                      <w:sz w:val="18"/>
                                    </w:rPr>
                                    <w:t>: A highly simplified IO accounting framework</w:t>
                                  </w:r>
                                </w:p>
                              </w:txbxContent>
                            </wps:txbx>
                            <wps:bodyPr spcFirstLastPara="1" wrap="square" lIns="0" tIns="0" rIns="0" bIns="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823478B" id="Rectangle 325" o:spid="_x0000_s1062" style="position:absolute;left:0;text-align:left;margin-left:8038pt;margin-top:-152485pt;width:245.35pt;height:10.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" stroked="f">
                      <v:textbox inset="0,0,0,0">
                        <w:txbxContent>
                          <w:p w14:paraId="0B0FA7BB" w14:textId="3874B42D" w:rsidR="00513E3A" w:rsidRDefault="00D8580D">
                            <w:pPr>
                              <w:spacing w:after="200" w:line="240" w:lineRule="auto"/>
                              <w:textDirection w:val="btLr"/>
                            </w:pPr>
                            <w:r>
                              <w:rPr>
                                <w:i/>
                                <w:color w:val="44546A"/>
                                <w:sz w:val="18"/>
                              </w:rPr>
                              <w:t xml:space="preserve">Figure </w:t>
                            </w:r>
                            <w:r w:rsidR="0040541B">
                              <w:rPr>
                                <w:i/>
                                <w:color w:val="44546A"/>
                                <w:sz w:val="18"/>
                              </w:rPr>
                              <w:t>20</w:t>
                            </w:r>
                            <w:r w:rsidR="00513E3A">
                              <w:rPr>
                                <w:i/>
                                <w:color w:val="44546A"/>
                                <w:sz w:val="18"/>
                              </w:rPr>
                              <w:t>: A highly simplified IO accounting framework</w:t>
                            </w:r>
                          </w:p>
                        </w:txbxContent>
                      </v:textbox>
                      <w10:wrap type="square"/>
                    </v:rect>
                  </w:pict>
                </mc:Fallback>
              </mc:AlternateContent>
            </w:r>
          </w:p>
        </w:tc>
      </w:tr>
      <w:tr w:rsidR="00F8269C" w14:paraId="58A87C33" w14:textId="77777777">
        <w:tc>
          <w:tcPr>
            <w:tcW w:w="5108" w:type="dxa"/>
          </w:tcPr>
          <w:p w14:paraId="00000708" w14:textId="77777777" w:rsidR="00F8269C" w:rsidRPr="003727E6" w:rsidRDefault="00450D2D">
            <w:pPr>
              <w:pBdr>
                <w:top w:val="nil"/>
                <w:left w:val="nil"/>
                <w:bottom w:val="nil"/>
                <w:right w:val="nil"/>
                <w:between w:val="nil"/>
              </w:pBdr>
              <w:spacing w:after="160" w:line="259" w:lineRule="auto"/>
              <w:rPr>
                <w:color w:val="000000"/>
              </w:rPr>
            </w:pPr>
            <w:r w:rsidRPr="003727E6">
              <w:rPr>
                <w:color w:val="000000"/>
              </w:rPr>
              <w:t xml:space="preserve">Source: United Nations </w:t>
            </w:r>
            <w:r w:rsidRPr="009D3DA2">
              <w:rPr>
                <w:rFonts w:eastAsia="Calibri"/>
                <w:color w:val="000000"/>
              </w:rPr>
              <w:t>(1999, p. 4)</w:t>
            </w:r>
          </w:p>
        </w:tc>
      </w:tr>
    </w:tbl>
    <w:p w14:paraId="00000709" w14:textId="51784F60" w:rsidR="00F8269C" w:rsidRDefault="00450D2D" w:rsidP="009D3DA2">
      <w:pPr>
        <w:jc w:val="both"/>
      </w:pPr>
      <w:r>
        <w:t xml:space="preserve">Although the table makes it easier to grasp the economic concepts behind the analysis, </w:t>
      </w:r>
      <w:sdt>
        <w:sdtPr>
          <w:tag w:val="goog_rdk_72"/>
          <w:id w:val="-1520238825"/>
        </w:sdtPr>
        <w:sdtEndPr/>
        <w:sdtContent/>
      </w:sdt>
      <w:r>
        <w:t xml:space="preserve">an </w:t>
      </w:r>
      <w:r>
        <w:rPr>
          <w:b/>
        </w:rPr>
        <w:t>IO</w:t>
      </w:r>
      <w:r>
        <w:t xml:space="preserve"> model primarily consists of a system of linear equations. Each equation describes the distribution of an industry’s product throughout the economy.</w:t>
      </w:r>
    </w:p>
    <w:p w14:paraId="0000070A" w14:textId="4C1A60BA" w:rsidR="00F8269C" w:rsidRDefault="00450D2D" w:rsidP="009D3DA2">
      <w:pPr>
        <w:jc w:val="both"/>
      </w:pPr>
      <w:r>
        <w:t xml:space="preserve">Leontief introduced the assumption of fixed-coefficient linear production functions relating to input used by an industry. These matrices, including the F-matrix, are shown </w:t>
      </w:r>
      <w:r w:rsidR="0016096E">
        <w:t>above</w:t>
      </w:r>
      <w:r>
        <w:t>.</w:t>
      </w:r>
    </w:p>
    <w:p w14:paraId="0000070B" w14:textId="77777777" w:rsidR="00F8269C" w:rsidRDefault="00450D2D">
      <w:pPr>
        <w:pBdr>
          <w:top w:val="nil"/>
          <w:left w:val="nil"/>
          <w:bottom w:val="nil"/>
          <w:right w:val="nil"/>
          <w:between w:val="nil"/>
        </w:pBdr>
        <w:spacing w:before="120" w:after="120" w:line="276" w:lineRule="auto"/>
        <w:jc w:val="both"/>
        <w:rPr>
          <w:color w:val="000000"/>
        </w:rPr>
      </w:pPr>
      <w:r>
        <w:rPr>
          <w:color w:val="000000"/>
        </w:rPr>
        <w:lastRenderedPageBreak/>
        <w:t>These relationships for a basic three sector model can be written as follows:</w:t>
      </w:r>
    </w:p>
    <w:p w14:paraId="0000070C" w14:textId="77777777" w:rsidR="00F8269C" w:rsidRPr="003727E6" w:rsidRDefault="002475E0" w:rsidP="009D3DA2">
      <w:pPr>
        <w:ind w:left="720"/>
        <w:jc w:val="both"/>
        <w:rPr>
          <w:rFonts w:ascii="Cambria Math" w:eastAsia="Cambria Math" w:hAnsi="Cambria Math" w:cs="Cambria Math"/>
          <w:color w:val="44546A"/>
        </w:rPr>
      </w:pPr>
      <m:oMathPara>
        <m:oMathParaPr>
          <m:jc m:val="left"/>
        </m:oMathParaPr>
        <m:oMath>
          <m:sSub>
            <m:sSubPr>
              <m:ctrlPr>
                <w:rPr>
                  <w:rFonts w:ascii="Cambria Math" w:eastAsia="Cambria Math" w:hAnsi="Cambria Math" w:cs="Cambria Math"/>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11</m:t>
              </m:r>
            </m:sub>
          </m:sSub>
          <m:sSub>
            <m:sSubPr>
              <m:ctrlPr>
                <w:rPr>
                  <w:rFonts w:ascii="Cambria Math" w:eastAsia="Cambria Math" w:hAnsi="Cambria Math" w:cs="Cambria Math"/>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1</m:t>
              </m:r>
            </m:sub>
          </m:sSub>
          <m:r>
            <w:rPr>
              <w:rFonts w:ascii="Cambria Math" w:eastAsia="Cambria Math" w:hAnsi="Cambria Math" w:cs="Cambria Math"/>
              <w:color w:val="44546A"/>
            </w:rPr>
            <m:t>+</m:t>
          </m:r>
          <m:sSub>
            <m:sSubPr>
              <m:ctrlPr>
                <w:rPr>
                  <w:rFonts w:ascii="Cambria Math" w:eastAsia="Cambria Math" w:hAnsi="Cambria Math" w:cs="Cambria Math"/>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12</m:t>
              </m:r>
            </m:sub>
          </m:sSub>
          <m:sSub>
            <m:sSubPr>
              <m:ctrlPr>
                <w:rPr>
                  <w:rFonts w:ascii="Cambria Math" w:eastAsia="Cambria Math" w:hAnsi="Cambria Math" w:cs="Cambria Math"/>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2</m:t>
              </m:r>
            </m:sub>
          </m:sSub>
          <m:r>
            <w:rPr>
              <w:rFonts w:ascii="Cambria Math" w:eastAsia="Cambria Math" w:hAnsi="Cambria Math" w:cs="Cambria Math"/>
              <w:color w:val="44546A"/>
            </w:rPr>
            <m:t>+</m:t>
          </m:r>
          <m:sSub>
            <m:sSubPr>
              <m:ctrlPr>
                <w:rPr>
                  <w:rFonts w:ascii="Cambria Math" w:eastAsia="Cambria Math" w:hAnsi="Cambria Math" w:cs="Cambria Math"/>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13</m:t>
              </m:r>
            </m:sub>
          </m:sSub>
          <m:sSub>
            <m:sSubPr>
              <m:ctrlPr>
                <w:rPr>
                  <w:rFonts w:ascii="Cambria Math" w:eastAsia="Cambria Math" w:hAnsi="Cambria Math" w:cs="Cambria Math"/>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3</m:t>
              </m:r>
            </m:sub>
          </m:sSub>
          <m:r>
            <w:rPr>
              <w:rFonts w:ascii="Cambria Math" w:eastAsia="Cambria Math" w:hAnsi="Cambria Math" w:cs="Cambria Math"/>
              <w:color w:val="44546A"/>
            </w:rPr>
            <m:t>+</m:t>
          </m:r>
          <m:sSub>
            <m:sSubPr>
              <m:ctrlPr>
                <w:rPr>
                  <w:rFonts w:ascii="Cambria Math" w:eastAsia="Cambria Math" w:hAnsi="Cambria Math" w:cs="Cambria Math"/>
                  <w:color w:val="44546A"/>
                </w:rPr>
              </m:ctrlPr>
            </m:sSubPr>
            <m:e>
              <m:r>
                <w:rPr>
                  <w:rFonts w:ascii="Cambria Math" w:eastAsia="Cambria Math" w:hAnsi="Cambria Math" w:cs="Cambria Math"/>
                  <w:color w:val="44546A"/>
                </w:rPr>
                <m:t>Y</m:t>
              </m:r>
            </m:e>
            <m:sub>
              <m:r>
                <w:rPr>
                  <w:rFonts w:ascii="Cambria Math" w:eastAsia="Cambria Math" w:hAnsi="Cambria Math" w:cs="Cambria Math"/>
                  <w:color w:val="44546A"/>
                </w:rPr>
                <m:t>1</m:t>
              </m:r>
            </m:sub>
          </m:sSub>
          <m:r>
            <w:rPr>
              <w:rFonts w:ascii="Cambria Math" w:eastAsia="Cambria Math" w:hAnsi="Cambria Math" w:cs="Cambria Math"/>
              <w:color w:val="44546A"/>
            </w:rPr>
            <m:t>=</m:t>
          </m:r>
          <m:sSub>
            <m:sSubPr>
              <m:ctrlPr>
                <w:rPr>
                  <w:rFonts w:ascii="Cambria Math" w:eastAsia="Cambria Math" w:hAnsi="Cambria Math" w:cs="Cambria Math"/>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1</m:t>
              </m:r>
            </m:sub>
          </m:sSub>
        </m:oMath>
      </m:oMathPara>
    </w:p>
    <w:p w14:paraId="0000070D" w14:textId="77777777" w:rsidR="00F8269C" w:rsidRPr="003727E6" w:rsidRDefault="002475E0" w:rsidP="009D3DA2">
      <w:pPr>
        <w:ind w:left="720"/>
        <w:jc w:val="both"/>
        <w:rPr>
          <w:rFonts w:ascii="Cambria Math" w:eastAsia="Cambria Math" w:hAnsi="Cambria Math" w:cs="Cambria Math"/>
          <w:color w:val="44546A"/>
        </w:rPr>
      </w:pPr>
      <m:oMathPara>
        <m:oMathParaPr>
          <m:jc m:val="left"/>
        </m:oMathParaPr>
        <m:oMath>
          <m:sSub>
            <m:sSubPr>
              <m:ctrlPr>
                <w:rPr>
                  <w:rFonts w:ascii="Cambria Math" w:eastAsia="Cambria Math" w:hAnsi="Cambria Math" w:cs="Cambria Math"/>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21</m:t>
              </m:r>
            </m:sub>
          </m:sSub>
          <m:sSub>
            <m:sSubPr>
              <m:ctrlPr>
                <w:rPr>
                  <w:rFonts w:ascii="Cambria Math" w:eastAsia="Cambria Math" w:hAnsi="Cambria Math" w:cs="Cambria Math"/>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1</m:t>
              </m:r>
            </m:sub>
          </m:sSub>
          <m:r>
            <w:rPr>
              <w:rFonts w:ascii="Cambria Math" w:eastAsia="Cambria Math" w:hAnsi="Cambria Math" w:cs="Cambria Math"/>
              <w:color w:val="44546A"/>
            </w:rPr>
            <m:t>+</m:t>
          </m:r>
          <m:sSub>
            <m:sSubPr>
              <m:ctrlPr>
                <w:rPr>
                  <w:rFonts w:ascii="Cambria Math" w:eastAsia="Cambria Math" w:hAnsi="Cambria Math" w:cs="Cambria Math"/>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22</m:t>
              </m:r>
            </m:sub>
          </m:sSub>
          <m:sSub>
            <m:sSubPr>
              <m:ctrlPr>
                <w:rPr>
                  <w:rFonts w:ascii="Cambria Math" w:eastAsia="Cambria Math" w:hAnsi="Cambria Math" w:cs="Cambria Math"/>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2</m:t>
              </m:r>
            </m:sub>
          </m:sSub>
          <m:r>
            <w:rPr>
              <w:rFonts w:ascii="Cambria Math" w:eastAsia="Cambria Math" w:hAnsi="Cambria Math" w:cs="Cambria Math"/>
              <w:color w:val="44546A"/>
            </w:rPr>
            <m:t>+</m:t>
          </m:r>
          <m:sSub>
            <m:sSubPr>
              <m:ctrlPr>
                <w:rPr>
                  <w:rFonts w:ascii="Cambria Math" w:eastAsia="Cambria Math" w:hAnsi="Cambria Math" w:cs="Cambria Math"/>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23</m:t>
              </m:r>
            </m:sub>
          </m:sSub>
          <m:sSub>
            <m:sSubPr>
              <m:ctrlPr>
                <w:rPr>
                  <w:rFonts w:ascii="Cambria Math" w:eastAsia="Cambria Math" w:hAnsi="Cambria Math" w:cs="Cambria Math"/>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3</m:t>
              </m:r>
            </m:sub>
          </m:sSub>
          <m:r>
            <w:rPr>
              <w:rFonts w:ascii="Cambria Math" w:eastAsia="Cambria Math" w:hAnsi="Cambria Math" w:cs="Cambria Math"/>
              <w:color w:val="44546A"/>
            </w:rPr>
            <m:t>+</m:t>
          </m:r>
          <m:sSub>
            <m:sSubPr>
              <m:ctrlPr>
                <w:rPr>
                  <w:rFonts w:ascii="Cambria Math" w:eastAsia="Cambria Math" w:hAnsi="Cambria Math" w:cs="Cambria Math"/>
                  <w:color w:val="44546A"/>
                </w:rPr>
              </m:ctrlPr>
            </m:sSubPr>
            <m:e>
              <m:r>
                <w:rPr>
                  <w:rFonts w:ascii="Cambria Math" w:eastAsia="Cambria Math" w:hAnsi="Cambria Math" w:cs="Cambria Math"/>
                  <w:color w:val="44546A"/>
                </w:rPr>
                <m:t>Y</m:t>
              </m:r>
            </m:e>
            <m:sub>
              <m:r>
                <w:rPr>
                  <w:rFonts w:ascii="Cambria Math" w:eastAsia="Cambria Math" w:hAnsi="Cambria Math" w:cs="Cambria Math"/>
                  <w:color w:val="44546A"/>
                </w:rPr>
                <m:t>2</m:t>
              </m:r>
            </m:sub>
          </m:sSub>
          <m:r>
            <w:rPr>
              <w:rFonts w:ascii="Cambria Math" w:eastAsia="Cambria Math" w:hAnsi="Cambria Math" w:cs="Cambria Math"/>
              <w:color w:val="44546A"/>
            </w:rPr>
            <m:t>=</m:t>
          </m:r>
          <m:sSub>
            <m:sSubPr>
              <m:ctrlPr>
                <w:rPr>
                  <w:rFonts w:ascii="Cambria Math" w:eastAsia="Cambria Math" w:hAnsi="Cambria Math" w:cs="Cambria Math"/>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2</m:t>
              </m:r>
            </m:sub>
          </m:sSub>
        </m:oMath>
      </m:oMathPara>
    </w:p>
    <w:p w14:paraId="0000070E" w14:textId="77777777" w:rsidR="00F8269C" w:rsidRDefault="002475E0" w:rsidP="009D3DA2">
      <w:pPr>
        <w:pBdr>
          <w:top w:val="nil"/>
          <w:left w:val="nil"/>
          <w:bottom w:val="nil"/>
          <w:right w:val="nil"/>
          <w:between w:val="nil"/>
        </w:pBdr>
        <w:tabs>
          <w:tab w:val="left" w:pos="7371"/>
        </w:tabs>
        <w:spacing w:after="200" w:line="240" w:lineRule="auto"/>
        <w:ind w:left="720"/>
        <w:jc w:val="both"/>
        <w:rPr>
          <w:i/>
          <w:color w:val="44546A"/>
          <w:sz w:val="18"/>
          <w:szCs w:val="18"/>
        </w:rPr>
      </w:pPr>
      <m:oMath>
        <m:sSub>
          <m:sSubPr>
            <m:ctrlPr>
              <w:rPr>
                <w:rFonts w:ascii="Cambria Math" w:eastAsia="Cambria Math" w:hAnsi="Cambria Math" w:cs="Cambria Math"/>
                <w:i/>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31</m:t>
            </m:r>
          </m:sub>
        </m:sSub>
        <m:sSub>
          <m:sSubPr>
            <m:ctrlPr>
              <w:rPr>
                <w:rFonts w:ascii="Cambria Math" w:eastAsia="Cambria Math" w:hAnsi="Cambria Math" w:cs="Cambria Math"/>
                <w:i/>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1</m:t>
            </m:r>
          </m:sub>
        </m:sSub>
        <m:r>
          <w:rPr>
            <w:rFonts w:ascii="Cambria Math" w:eastAsia="Cambria Math" w:hAnsi="Cambria Math" w:cs="Cambria Math"/>
            <w:color w:val="44546A"/>
          </w:rPr>
          <m:t>+</m:t>
        </m:r>
        <m:sSub>
          <m:sSubPr>
            <m:ctrlPr>
              <w:rPr>
                <w:rFonts w:ascii="Cambria Math" w:eastAsia="Cambria Math" w:hAnsi="Cambria Math" w:cs="Cambria Math"/>
                <w:i/>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32</m:t>
            </m:r>
          </m:sub>
        </m:sSub>
        <m:sSub>
          <m:sSubPr>
            <m:ctrlPr>
              <w:rPr>
                <w:rFonts w:ascii="Cambria Math" w:eastAsia="Cambria Math" w:hAnsi="Cambria Math" w:cs="Cambria Math"/>
                <w:i/>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2</m:t>
            </m:r>
          </m:sub>
        </m:sSub>
        <m:r>
          <w:rPr>
            <w:rFonts w:ascii="Cambria Math" w:eastAsia="Cambria Math" w:hAnsi="Cambria Math" w:cs="Cambria Math"/>
            <w:color w:val="44546A"/>
          </w:rPr>
          <m:t>+</m:t>
        </m:r>
        <m:sSub>
          <m:sSubPr>
            <m:ctrlPr>
              <w:rPr>
                <w:rFonts w:ascii="Cambria Math" w:eastAsia="Cambria Math" w:hAnsi="Cambria Math" w:cs="Cambria Math"/>
                <w:i/>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33</m:t>
            </m:r>
          </m:sub>
        </m:sSub>
        <m:sSub>
          <m:sSubPr>
            <m:ctrlPr>
              <w:rPr>
                <w:rFonts w:ascii="Cambria Math" w:eastAsia="Cambria Math" w:hAnsi="Cambria Math" w:cs="Cambria Math"/>
                <w:i/>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3</m:t>
            </m:r>
          </m:sub>
        </m:sSub>
        <m:r>
          <w:rPr>
            <w:rFonts w:ascii="Cambria Math" w:eastAsia="Cambria Math" w:hAnsi="Cambria Math" w:cs="Cambria Math"/>
            <w:color w:val="44546A"/>
          </w:rPr>
          <m:t>+</m:t>
        </m:r>
        <m:sSub>
          <m:sSubPr>
            <m:ctrlPr>
              <w:rPr>
                <w:rFonts w:ascii="Cambria Math" w:eastAsia="Cambria Math" w:hAnsi="Cambria Math" w:cs="Cambria Math"/>
                <w:i/>
                <w:color w:val="44546A"/>
              </w:rPr>
            </m:ctrlPr>
          </m:sSubPr>
          <m:e>
            <m:r>
              <w:rPr>
                <w:rFonts w:ascii="Cambria Math" w:eastAsia="Cambria Math" w:hAnsi="Cambria Math" w:cs="Cambria Math"/>
                <w:color w:val="44546A"/>
              </w:rPr>
              <m:t>Y</m:t>
            </m:r>
          </m:e>
          <m:sub>
            <m:r>
              <w:rPr>
                <w:rFonts w:ascii="Cambria Math" w:eastAsia="Cambria Math" w:hAnsi="Cambria Math" w:cs="Cambria Math"/>
                <w:color w:val="44546A"/>
              </w:rPr>
              <m:t>3</m:t>
            </m:r>
          </m:sub>
        </m:sSub>
        <m:r>
          <w:rPr>
            <w:rFonts w:ascii="Cambria Math" w:eastAsia="Cambria Math" w:hAnsi="Cambria Math" w:cs="Cambria Math"/>
            <w:color w:val="44546A"/>
          </w:rPr>
          <m:t>=</m:t>
        </m:r>
        <m:sSub>
          <m:sSubPr>
            <m:ctrlPr>
              <w:rPr>
                <w:rFonts w:ascii="Cambria Math" w:eastAsia="Cambria Math" w:hAnsi="Cambria Math" w:cs="Cambria Math"/>
                <w:i/>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3</m:t>
            </m:r>
          </m:sub>
        </m:sSub>
      </m:oMath>
      <w:r w:rsidR="00450D2D">
        <w:rPr>
          <w:i/>
          <w:color w:val="000000"/>
          <w:sz w:val="18"/>
          <w:szCs w:val="18"/>
        </w:rPr>
        <w:tab/>
      </w:r>
      <w:r w:rsidR="00450D2D">
        <w:rPr>
          <w:i/>
          <w:color w:val="44546A"/>
          <w:sz w:val="18"/>
          <w:szCs w:val="18"/>
        </w:rPr>
        <w:t>Equation 1</w:t>
      </w:r>
    </w:p>
    <w:p w14:paraId="0000070F" w14:textId="77777777" w:rsidR="00F8269C" w:rsidRDefault="00450D2D">
      <w:pPr>
        <w:pBdr>
          <w:top w:val="nil"/>
          <w:left w:val="nil"/>
          <w:bottom w:val="nil"/>
          <w:right w:val="nil"/>
          <w:between w:val="nil"/>
        </w:pBdr>
        <w:spacing w:before="120" w:after="120" w:line="276" w:lineRule="auto"/>
        <w:jc w:val="both"/>
        <w:rPr>
          <w:color w:val="000000"/>
        </w:rPr>
      </w:pPr>
      <w:r>
        <w:rPr>
          <w:color w:val="000000"/>
        </w:rPr>
        <w:t>In matrix form these equations can be written as:</w:t>
      </w:r>
      <w:sdt>
        <w:sdtPr>
          <w:tag w:val="goog_rdk_73"/>
          <w:id w:val="-1780474462"/>
        </w:sdtPr>
        <w:sdtEndPr/>
        <w:sdtContent/>
      </w:sdt>
    </w:p>
    <w:p w14:paraId="00000710" w14:textId="69315B67" w:rsidR="00F8269C" w:rsidRDefault="002475E0" w:rsidP="009D3DA2">
      <w:pPr>
        <w:pBdr>
          <w:top w:val="nil"/>
          <w:left w:val="nil"/>
          <w:bottom w:val="nil"/>
          <w:right w:val="nil"/>
          <w:between w:val="nil"/>
        </w:pBdr>
        <w:tabs>
          <w:tab w:val="left" w:pos="7371"/>
        </w:tabs>
        <w:spacing w:after="200" w:line="240" w:lineRule="auto"/>
        <w:ind w:left="720"/>
        <w:rPr>
          <w:i/>
          <w:color w:val="44546A"/>
          <w:sz w:val="18"/>
          <w:szCs w:val="18"/>
        </w:rPr>
      </w:pPr>
      <m:oMath>
        <m:d>
          <m:dPr>
            <m:begChr m:val="["/>
            <m:endChr m:val="]"/>
            <m:ctrlPr>
              <w:rPr>
                <w:rFonts w:ascii="Cambria Math" w:hAnsi="Cambria Math"/>
                <w:i/>
                <w:color w:val="44546A"/>
                <w:sz w:val="18"/>
                <w:szCs w:val="18"/>
              </w:rPr>
            </m:ctrlPr>
          </m:dPr>
          <m:e>
            <m:sSub>
              <m:sSubPr>
                <m:ctrlPr>
                  <w:rPr>
                    <w:rFonts w:ascii="Cambria Math" w:eastAsia="Cambria Math" w:hAnsi="Cambria Math" w:cs="Cambria Math"/>
                    <w:i/>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11</m:t>
                </m:r>
              </m:sub>
            </m:sSub>
            <m:r>
              <w:rPr>
                <w:rFonts w:ascii="Cambria Math" w:hAnsi="Cambria Math"/>
                <w:color w:val="44546A"/>
                <w:sz w:val="18"/>
                <w:szCs w:val="18"/>
              </w:rPr>
              <m:t xml:space="preserve"> </m:t>
            </m:r>
            <m:sSub>
              <m:sSubPr>
                <m:ctrlPr>
                  <w:rPr>
                    <w:rFonts w:ascii="Cambria Math" w:eastAsia="Cambria Math" w:hAnsi="Cambria Math" w:cs="Cambria Math"/>
                    <w:i/>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12</m:t>
                </m:r>
              </m:sub>
            </m:sSub>
            <m:r>
              <w:rPr>
                <w:rFonts w:ascii="Cambria Math" w:hAnsi="Cambria Math"/>
                <w:color w:val="44546A"/>
                <w:sz w:val="18"/>
                <w:szCs w:val="18"/>
              </w:rPr>
              <m:t xml:space="preserve"> </m:t>
            </m:r>
            <m:sSub>
              <m:sSubPr>
                <m:ctrlPr>
                  <w:rPr>
                    <w:rFonts w:ascii="Cambria Math" w:eastAsia="Cambria Math" w:hAnsi="Cambria Math" w:cs="Cambria Math"/>
                    <w:i/>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13</m:t>
                </m:r>
              </m:sub>
            </m:sSub>
            <m:r>
              <w:rPr>
                <w:rFonts w:ascii="Cambria Math" w:hAnsi="Cambria Math"/>
                <w:color w:val="44546A"/>
                <w:sz w:val="18"/>
                <w:szCs w:val="18"/>
              </w:rPr>
              <m:t xml:space="preserve"> </m:t>
            </m:r>
            <m:sSub>
              <m:sSubPr>
                <m:ctrlPr>
                  <w:rPr>
                    <w:rFonts w:ascii="Cambria Math" w:eastAsia="Cambria Math" w:hAnsi="Cambria Math" w:cs="Cambria Math"/>
                    <w:i/>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21</m:t>
                </m:r>
              </m:sub>
            </m:sSub>
            <m:r>
              <w:rPr>
                <w:rFonts w:ascii="Cambria Math" w:hAnsi="Cambria Math"/>
                <w:color w:val="44546A"/>
                <w:sz w:val="18"/>
                <w:szCs w:val="18"/>
              </w:rPr>
              <m:t xml:space="preserve"> </m:t>
            </m:r>
            <m:sSub>
              <m:sSubPr>
                <m:ctrlPr>
                  <w:rPr>
                    <w:rFonts w:ascii="Cambria Math" w:eastAsia="Cambria Math" w:hAnsi="Cambria Math" w:cs="Cambria Math"/>
                    <w:i/>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22</m:t>
                </m:r>
              </m:sub>
            </m:sSub>
            <m:r>
              <w:rPr>
                <w:rFonts w:ascii="Cambria Math" w:hAnsi="Cambria Math"/>
                <w:color w:val="44546A"/>
                <w:sz w:val="18"/>
                <w:szCs w:val="18"/>
              </w:rPr>
              <m:t xml:space="preserve"> </m:t>
            </m:r>
            <m:sSub>
              <m:sSubPr>
                <m:ctrlPr>
                  <w:rPr>
                    <w:rFonts w:ascii="Cambria Math" w:eastAsia="Cambria Math" w:hAnsi="Cambria Math" w:cs="Cambria Math"/>
                    <w:i/>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23</m:t>
                </m:r>
              </m:sub>
            </m:sSub>
            <m:r>
              <w:rPr>
                <w:rFonts w:ascii="Cambria Math" w:hAnsi="Cambria Math"/>
                <w:color w:val="44546A"/>
                <w:sz w:val="18"/>
                <w:szCs w:val="18"/>
              </w:rPr>
              <m:t xml:space="preserve"> </m:t>
            </m:r>
            <m:sSub>
              <m:sSubPr>
                <m:ctrlPr>
                  <w:rPr>
                    <w:rFonts w:ascii="Cambria Math" w:eastAsia="Cambria Math" w:hAnsi="Cambria Math" w:cs="Cambria Math"/>
                    <w:i/>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31</m:t>
                </m:r>
              </m:sub>
            </m:sSub>
            <m:r>
              <w:rPr>
                <w:rFonts w:ascii="Cambria Math" w:hAnsi="Cambria Math"/>
                <w:color w:val="44546A"/>
                <w:sz w:val="18"/>
                <w:szCs w:val="18"/>
              </w:rPr>
              <m:t xml:space="preserve"> </m:t>
            </m:r>
            <m:sSub>
              <m:sSubPr>
                <m:ctrlPr>
                  <w:rPr>
                    <w:rFonts w:ascii="Cambria Math" w:eastAsia="Cambria Math" w:hAnsi="Cambria Math" w:cs="Cambria Math"/>
                    <w:i/>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32</m:t>
                </m:r>
              </m:sub>
            </m:sSub>
            <m:r>
              <w:rPr>
                <w:rFonts w:ascii="Cambria Math" w:hAnsi="Cambria Math"/>
                <w:color w:val="44546A"/>
                <w:sz w:val="18"/>
                <w:szCs w:val="18"/>
              </w:rPr>
              <m:t xml:space="preserve"> </m:t>
            </m:r>
            <m:sSub>
              <m:sSubPr>
                <m:ctrlPr>
                  <w:rPr>
                    <w:rFonts w:ascii="Cambria Math" w:eastAsia="Cambria Math" w:hAnsi="Cambria Math" w:cs="Cambria Math"/>
                    <w:i/>
                    <w:color w:val="44546A"/>
                  </w:rPr>
                </m:ctrlPr>
              </m:sSubPr>
              <m:e>
                <m:r>
                  <w:rPr>
                    <w:rFonts w:ascii="Cambria Math" w:eastAsia="Cambria Math" w:hAnsi="Cambria Math" w:cs="Cambria Math"/>
                    <w:color w:val="44546A"/>
                  </w:rPr>
                  <m:t>a</m:t>
                </m:r>
              </m:e>
              <m:sub>
                <m:r>
                  <w:rPr>
                    <w:rFonts w:ascii="Cambria Math" w:eastAsia="Cambria Math" w:hAnsi="Cambria Math" w:cs="Cambria Math"/>
                    <w:color w:val="44546A"/>
                  </w:rPr>
                  <m:t>33</m:t>
                </m:r>
              </m:sub>
            </m:sSub>
            <m:r>
              <w:rPr>
                <w:rFonts w:ascii="Cambria Math" w:hAnsi="Cambria Math"/>
                <w:color w:val="44546A"/>
                <w:sz w:val="18"/>
                <w:szCs w:val="18"/>
              </w:rPr>
              <m:t xml:space="preserve"> </m:t>
            </m:r>
          </m:e>
        </m:d>
        <m:d>
          <m:dPr>
            <m:begChr m:val="["/>
            <m:endChr m:val="]"/>
            <m:ctrlPr>
              <w:rPr>
                <w:rFonts w:ascii="Cambria Math" w:hAnsi="Cambria Math"/>
                <w:i/>
                <w:color w:val="44546A"/>
                <w:sz w:val="18"/>
                <w:szCs w:val="18"/>
              </w:rPr>
            </m:ctrlPr>
          </m:dPr>
          <m:e>
            <m:sSub>
              <m:sSubPr>
                <m:ctrlPr>
                  <w:rPr>
                    <w:rFonts w:ascii="Cambria Math" w:eastAsia="Cambria Math" w:hAnsi="Cambria Math" w:cs="Cambria Math"/>
                    <w:i/>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1</m:t>
                </m:r>
              </m:sub>
            </m:sSub>
            <m:r>
              <w:rPr>
                <w:rFonts w:ascii="Cambria Math" w:hAnsi="Cambria Math"/>
                <w:color w:val="44546A"/>
                <w:sz w:val="18"/>
                <w:szCs w:val="18"/>
              </w:rPr>
              <m:t xml:space="preserve"> </m:t>
            </m:r>
            <m:sSub>
              <m:sSubPr>
                <m:ctrlPr>
                  <w:rPr>
                    <w:rFonts w:ascii="Cambria Math" w:eastAsia="Cambria Math" w:hAnsi="Cambria Math" w:cs="Cambria Math"/>
                    <w:i/>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2</m:t>
                </m:r>
              </m:sub>
            </m:sSub>
            <m:r>
              <w:rPr>
                <w:rFonts w:ascii="Cambria Math" w:hAnsi="Cambria Math"/>
                <w:color w:val="44546A"/>
                <w:sz w:val="18"/>
                <w:szCs w:val="18"/>
              </w:rPr>
              <m:t xml:space="preserve"> </m:t>
            </m:r>
            <m:sSub>
              <m:sSubPr>
                <m:ctrlPr>
                  <w:rPr>
                    <w:rFonts w:ascii="Cambria Math" w:eastAsia="Cambria Math" w:hAnsi="Cambria Math" w:cs="Cambria Math"/>
                    <w:i/>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3</m:t>
                </m:r>
              </m:sub>
            </m:sSub>
            <m:r>
              <w:rPr>
                <w:rFonts w:ascii="Cambria Math" w:hAnsi="Cambria Math"/>
                <w:color w:val="44546A"/>
                <w:sz w:val="18"/>
                <w:szCs w:val="18"/>
              </w:rPr>
              <m:t xml:space="preserve"> </m:t>
            </m:r>
          </m:e>
        </m:d>
        <m:r>
          <w:rPr>
            <w:rFonts w:ascii="Cambria Math" w:eastAsia="Cambria Math" w:hAnsi="Cambria Math" w:cs="Cambria Math"/>
            <w:color w:val="44546A"/>
          </w:rPr>
          <m:t>+</m:t>
        </m:r>
        <m:d>
          <m:dPr>
            <m:begChr m:val="["/>
            <m:endChr m:val="]"/>
            <m:ctrlPr>
              <w:rPr>
                <w:rFonts w:ascii="Cambria Math" w:hAnsi="Cambria Math"/>
                <w:i/>
                <w:color w:val="44546A"/>
                <w:sz w:val="18"/>
                <w:szCs w:val="18"/>
              </w:rPr>
            </m:ctrlPr>
          </m:dPr>
          <m:e>
            <m:sSub>
              <m:sSubPr>
                <m:ctrlPr>
                  <w:rPr>
                    <w:rFonts w:ascii="Cambria Math" w:eastAsia="Cambria Math" w:hAnsi="Cambria Math" w:cs="Cambria Math"/>
                    <w:i/>
                    <w:color w:val="44546A"/>
                  </w:rPr>
                </m:ctrlPr>
              </m:sSubPr>
              <m:e>
                <m:r>
                  <w:rPr>
                    <w:rFonts w:ascii="Cambria Math" w:eastAsia="Cambria Math" w:hAnsi="Cambria Math" w:cs="Cambria Math"/>
                    <w:color w:val="44546A"/>
                  </w:rPr>
                  <m:t>Y</m:t>
                </m:r>
              </m:e>
              <m:sub>
                <m:r>
                  <w:rPr>
                    <w:rFonts w:ascii="Cambria Math" w:eastAsia="Cambria Math" w:hAnsi="Cambria Math" w:cs="Cambria Math"/>
                    <w:color w:val="44546A"/>
                  </w:rPr>
                  <m:t>1</m:t>
                </m:r>
              </m:sub>
            </m:sSub>
            <m:r>
              <w:rPr>
                <w:rFonts w:ascii="Cambria Math" w:hAnsi="Cambria Math"/>
                <w:color w:val="44546A"/>
                <w:sz w:val="18"/>
                <w:szCs w:val="18"/>
              </w:rPr>
              <m:t xml:space="preserve"> </m:t>
            </m:r>
            <m:sSub>
              <m:sSubPr>
                <m:ctrlPr>
                  <w:rPr>
                    <w:rFonts w:ascii="Cambria Math" w:eastAsia="Cambria Math" w:hAnsi="Cambria Math" w:cs="Cambria Math"/>
                    <w:i/>
                    <w:color w:val="44546A"/>
                  </w:rPr>
                </m:ctrlPr>
              </m:sSubPr>
              <m:e>
                <m:r>
                  <w:rPr>
                    <w:rFonts w:ascii="Cambria Math" w:eastAsia="Cambria Math" w:hAnsi="Cambria Math" w:cs="Cambria Math"/>
                    <w:color w:val="44546A"/>
                  </w:rPr>
                  <m:t>Y</m:t>
                </m:r>
              </m:e>
              <m:sub>
                <m:r>
                  <w:rPr>
                    <w:rFonts w:ascii="Cambria Math" w:eastAsia="Cambria Math" w:hAnsi="Cambria Math" w:cs="Cambria Math"/>
                    <w:color w:val="44546A"/>
                  </w:rPr>
                  <m:t>2</m:t>
                </m:r>
              </m:sub>
            </m:sSub>
            <m:r>
              <w:rPr>
                <w:rFonts w:ascii="Cambria Math" w:hAnsi="Cambria Math"/>
                <w:color w:val="44546A"/>
                <w:sz w:val="18"/>
                <w:szCs w:val="18"/>
              </w:rPr>
              <m:t xml:space="preserve"> </m:t>
            </m:r>
            <m:sSub>
              <m:sSubPr>
                <m:ctrlPr>
                  <w:rPr>
                    <w:rFonts w:ascii="Cambria Math" w:eastAsia="Cambria Math" w:hAnsi="Cambria Math" w:cs="Cambria Math"/>
                    <w:i/>
                    <w:color w:val="44546A"/>
                  </w:rPr>
                </m:ctrlPr>
              </m:sSubPr>
              <m:e>
                <m:r>
                  <w:rPr>
                    <w:rFonts w:ascii="Cambria Math" w:eastAsia="Cambria Math" w:hAnsi="Cambria Math" w:cs="Cambria Math"/>
                    <w:color w:val="44546A"/>
                  </w:rPr>
                  <m:t>Y</m:t>
                </m:r>
              </m:e>
              <m:sub>
                <m:r>
                  <w:rPr>
                    <w:rFonts w:ascii="Cambria Math" w:eastAsia="Cambria Math" w:hAnsi="Cambria Math" w:cs="Cambria Math"/>
                    <w:color w:val="44546A"/>
                  </w:rPr>
                  <m:t>3</m:t>
                </m:r>
              </m:sub>
            </m:sSub>
            <m:r>
              <w:rPr>
                <w:rFonts w:ascii="Cambria Math" w:hAnsi="Cambria Math"/>
                <w:color w:val="44546A"/>
                <w:sz w:val="18"/>
                <w:szCs w:val="18"/>
              </w:rPr>
              <m:t xml:space="preserve"> </m:t>
            </m:r>
          </m:e>
        </m:d>
        <m:r>
          <w:rPr>
            <w:rFonts w:ascii="Cambria Math" w:eastAsia="Cambria Math" w:hAnsi="Cambria Math" w:cs="Cambria Math"/>
            <w:color w:val="44546A"/>
          </w:rPr>
          <m:t>=</m:t>
        </m:r>
        <m:d>
          <m:dPr>
            <m:begChr m:val="["/>
            <m:endChr m:val="]"/>
            <m:ctrlPr>
              <w:rPr>
                <w:rFonts w:ascii="Cambria Math" w:hAnsi="Cambria Math"/>
                <w:i/>
                <w:color w:val="44546A"/>
                <w:sz w:val="18"/>
                <w:szCs w:val="18"/>
              </w:rPr>
            </m:ctrlPr>
          </m:dPr>
          <m:e>
            <m:sSub>
              <m:sSubPr>
                <m:ctrlPr>
                  <w:rPr>
                    <w:rFonts w:ascii="Cambria Math" w:eastAsia="Cambria Math" w:hAnsi="Cambria Math" w:cs="Cambria Math"/>
                    <w:i/>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1</m:t>
                </m:r>
              </m:sub>
            </m:sSub>
            <m:r>
              <w:rPr>
                <w:rFonts w:ascii="Cambria Math" w:hAnsi="Cambria Math"/>
                <w:color w:val="44546A"/>
                <w:sz w:val="18"/>
                <w:szCs w:val="18"/>
              </w:rPr>
              <m:t xml:space="preserve"> </m:t>
            </m:r>
            <m:sSub>
              <m:sSubPr>
                <m:ctrlPr>
                  <w:rPr>
                    <w:rFonts w:ascii="Cambria Math" w:eastAsia="Cambria Math" w:hAnsi="Cambria Math" w:cs="Cambria Math"/>
                    <w:i/>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2</m:t>
                </m:r>
              </m:sub>
            </m:sSub>
            <m:r>
              <w:rPr>
                <w:rFonts w:ascii="Cambria Math" w:hAnsi="Cambria Math"/>
                <w:color w:val="44546A"/>
                <w:sz w:val="18"/>
                <w:szCs w:val="18"/>
              </w:rPr>
              <m:t xml:space="preserve"> </m:t>
            </m:r>
            <m:sSub>
              <m:sSubPr>
                <m:ctrlPr>
                  <w:rPr>
                    <w:rFonts w:ascii="Cambria Math" w:eastAsia="Cambria Math" w:hAnsi="Cambria Math" w:cs="Cambria Math"/>
                    <w:i/>
                    <w:color w:val="44546A"/>
                  </w:rPr>
                </m:ctrlPr>
              </m:sSubPr>
              <m:e>
                <m:r>
                  <w:rPr>
                    <w:rFonts w:ascii="Cambria Math" w:eastAsia="Cambria Math" w:hAnsi="Cambria Math" w:cs="Cambria Math"/>
                    <w:color w:val="44546A"/>
                  </w:rPr>
                  <m:t>X</m:t>
                </m:r>
              </m:e>
              <m:sub>
                <m:r>
                  <w:rPr>
                    <w:rFonts w:ascii="Cambria Math" w:eastAsia="Cambria Math" w:hAnsi="Cambria Math" w:cs="Cambria Math"/>
                    <w:color w:val="44546A"/>
                  </w:rPr>
                  <m:t>3</m:t>
                </m:r>
              </m:sub>
            </m:sSub>
            <m:r>
              <w:rPr>
                <w:rFonts w:ascii="Cambria Math" w:hAnsi="Cambria Math"/>
                <w:color w:val="44546A"/>
                <w:sz w:val="18"/>
                <w:szCs w:val="18"/>
              </w:rPr>
              <m:t xml:space="preserve"> </m:t>
            </m:r>
          </m:e>
        </m:d>
      </m:oMath>
      <w:r w:rsidR="00450D2D">
        <w:rPr>
          <w:i/>
          <w:color w:val="000000"/>
          <w:sz w:val="22"/>
          <w:szCs w:val="22"/>
        </w:rPr>
        <w:tab/>
      </w:r>
      <w:r w:rsidR="00450D2D">
        <w:rPr>
          <w:i/>
          <w:color w:val="44546A"/>
          <w:sz w:val="18"/>
          <w:szCs w:val="18"/>
        </w:rPr>
        <w:t>Equation 2</w:t>
      </w:r>
    </w:p>
    <w:p w14:paraId="00000711" w14:textId="77777777" w:rsidR="00F8269C" w:rsidRDefault="00450D2D">
      <w:pPr>
        <w:pBdr>
          <w:top w:val="nil"/>
          <w:left w:val="nil"/>
          <w:bottom w:val="nil"/>
          <w:right w:val="nil"/>
          <w:between w:val="nil"/>
        </w:pBdr>
        <w:spacing w:before="120" w:after="120" w:line="276" w:lineRule="auto"/>
        <w:jc w:val="both"/>
        <w:rPr>
          <w:color w:val="000000"/>
        </w:rPr>
      </w:pPr>
      <w:r>
        <w:rPr>
          <w:color w:val="000000"/>
        </w:rPr>
        <w:t>However, in any economy, there are considerably more than three industries and the more general way of denoting these is as follows:</w:t>
      </w:r>
    </w:p>
    <w:p w14:paraId="00000712" w14:textId="77777777" w:rsidR="00F8269C" w:rsidRPr="003727E6" w:rsidRDefault="002475E0" w:rsidP="009D3DA2">
      <w:pPr>
        <w:ind w:left="720"/>
        <w:rPr>
          <w:rFonts w:ascii="Cambria Math" w:eastAsia="Cambria Math" w:hAnsi="Cambria Math" w:cs="Cambria Math"/>
          <w:color w:val="000000"/>
        </w:rPr>
      </w:pPr>
      <m:oMathPara>
        <m:oMathParaPr>
          <m:jc m:val="left"/>
        </m:oMathPara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11</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12</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1n</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3</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Y</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1</m:t>
              </m:r>
            </m:sub>
          </m:sSub>
        </m:oMath>
      </m:oMathPara>
    </w:p>
    <w:p w14:paraId="00000713" w14:textId="77777777" w:rsidR="00F8269C" w:rsidRPr="003727E6" w:rsidRDefault="002475E0" w:rsidP="009D3DA2">
      <w:pPr>
        <w:ind w:left="720"/>
        <w:rPr>
          <w:rFonts w:ascii="Cambria Math" w:eastAsia="Cambria Math" w:hAnsi="Cambria Math" w:cs="Cambria Math"/>
          <w:color w:val="000000"/>
        </w:rPr>
      </w:pPr>
      <m:oMathPara>
        <m:oMathParaPr>
          <m:jc m:val="left"/>
        </m:oMathPara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21</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22</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2n</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3</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Y</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2</m:t>
              </m:r>
            </m:sub>
          </m:sSub>
        </m:oMath>
      </m:oMathPara>
    </w:p>
    <w:p w14:paraId="00000714" w14:textId="77777777" w:rsidR="00F8269C" w:rsidRPr="003727E6" w:rsidRDefault="00450D2D" w:rsidP="009D3DA2">
      <w:pPr>
        <w:ind w:left="720"/>
        <w:rPr>
          <w:rFonts w:ascii="Cambria Math" w:eastAsia="Cambria Math" w:hAnsi="Cambria Math" w:cs="Cambria Math"/>
          <w:color w:val="000000"/>
        </w:rPr>
      </w:pPr>
      <m:oMathPara>
        <m:oMathParaPr>
          <m:jc m:val="left"/>
        </m:oMathParaPr>
        <m:oMath>
          <m:r>
            <w:rPr>
              <w:rFonts w:ascii="Cambria Math" w:eastAsia="Cambria Math" w:hAnsi="Cambria Math" w:cs="Cambria Math"/>
              <w:color w:val="000000"/>
            </w:rPr>
            <m:t>∙ + ∙ +⋯ ∙ +∙ = ∙</m:t>
          </m:r>
        </m:oMath>
      </m:oMathPara>
    </w:p>
    <w:p w14:paraId="00000715" w14:textId="77777777" w:rsidR="00F8269C" w:rsidRDefault="002475E0" w:rsidP="009D3DA2">
      <w:pPr>
        <w:pBdr>
          <w:top w:val="nil"/>
          <w:left w:val="nil"/>
          <w:bottom w:val="nil"/>
          <w:right w:val="nil"/>
          <w:between w:val="nil"/>
        </w:pBdr>
        <w:tabs>
          <w:tab w:val="left" w:pos="7371"/>
        </w:tabs>
        <w:spacing w:before="120" w:after="120" w:line="276" w:lineRule="auto"/>
        <w:ind w:left="720"/>
        <w:rPr>
          <w:color w:val="44546A"/>
          <w:sz w:val="18"/>
          <w:szCs w:val="18"/>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n1</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n2</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nn</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n</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Y</m:t>
            </m:r>
          </m:e>
          <m:sub>
            <m:r>
              <w:rPr>
                <w:rFonts w:ascii="Cambria Math" w:eastAsia="Cambria Math" w:hAnsi="Cambria Math" w:cs="Cambria Math"/>
                <w:color w:val="000000"/>
              </w:rPr>
              <m:t>n</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n</m:t>
            </m:r>
          </m:sub>
        </m:sSub>
      </m:oMath>
      <w:r w:rsidR="00450D2D">
        <w:rPr>
          <w:color w:val="000000"/>
          <w:sz w:val="28"/>
          <w:szCs w:val="28"/>
        </w:rPr>
        <w:t xml:space="preserve"> </w:t>
      </w:r>
      <w:r w:rsidR="00450D2D">
        <w:rPr>
          <w:color w:val="000000"/>
        </w:rPr>
        <w:tab/>
      </w:r>
      <w:r w:rsidR="00450D2D" w:rsidRPr="009D3DA2">
        <w:rPr>
          <w:i/>
          <w:iCs/>
          <w:color w:val="44546A"/>
          <w:sz w:val="18"/>
          <w:szCs w:val="18"/>
        </w:rPr>
        <w:t>Equation 3</w:t>
      </w:r>
    </w:p>
    <w:p w14:paraId="00000716" w14:textId="7C54E418" w:rsidR="00F8269C" w:rsidRDefault="00450D2D">
      <w:pPr>
        <w:pBdr>
          <w:top w:val="nil"/>
          <w:left w:val="nil"/>
          <w:bottom w:val="nil"/>
          <w:right w:val="nil"/>
          <w:between w:val="nil"/>
        </w:pBdr>
        <w:spacing w:before="120" w:after="120" w:line="276" w:lineRule="auto"/>
        <w:jc w:val="both"/>
        <w:rPr>
          <w:color w:val="000000"/>
        </w:rPr>
      </w:pPr>
      <w:r>
        <w:rPr>
          <w:color w:val="000000"/>
        </w:rPr>
        <w:t xml:space="preserve">In matrix form, this is </w:t>
      </w:r>
      <w:r w:rsidR="003727E6">
        <w:rPr>
          <w:color w:val="000000"/>
        </w:rPr>
        <w:t xml:space="preserve">denoted </w:t>
      </w:r>
      <w:r>
        <w:rPr>
          <w:color w:val="000000"/>
        </w:rPr>
        <w:t>as:</w:t>
      </w:r>
    </w:p>
    <w:p w14:paraId="00000717" w14:textId="5DDE0D17" w:rsidR="00F8269C" w:rsidRDefault="002475E0" w:rsidP="009D3DA2">
      <w:pPr>
        <w:pBdr>
          <w:top w:val="nil"/>
          <w:left w:val="nil"/>
          <w:bottom w:val="nil"/>
          <w:right w:val="nil"/>
          <w:between w:val="nil"/>
        </w:pBdr>
        <w:tabs>
          <w:tab w:val="left" w:pos="7371"/>
        </w:tabs>
        <w:spacing w:before="120"/>
        <w:ind w:left="720"/>
        <w:jc w:val="both"/>
        <w:rPr>
          <w:i/>
          <w:color w:val="44546A"/>
          <w:sz w:val="18"/>
          <w:szCs w:val="18"/>
        </w:rPr>
      </w:pPr>
      <w:sdt>
        <w:sdtPr>
          <w:tag w:val="goog_rdk_74"/>
          <w:id w:val="-182213174"/>
          <w:showingPlcHdr/>
        </w:sdtPr>
        <w:sdtEndPr/>
        <w:sdtContent>
          <w:r w:rsidR="003727E6">
            <w:t xml:space="preserve">     </w:t>
          </w:r>
        </w:sdtContent>
      </w:sdt>
      <m:oMath>
        <m:d>
          <m:dPr>
            <m:begChr m:val="["/>
            <m:endChr m:val="]"/>
            <m:ctrlPr>
              <w:rPr>
                <w:rFonts w:ascii="Cambria Math" w:hAnsi="Cambria Math"/>
                <w:color w:val="000000"/>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11</m:t>
                </m:r>
              </m:sub>
            </m:sSub>
            <m:r>
              <w:rPr>
                <w:rFonts w:ascii="Cambria Math" w:hAnsi="Cambria Math"/>
                <w:color w:val="000000"/>
              </w:rPr>
              <m:t xml:space="preserve"> ⋯ </m:t>
            </m:r>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1n</m:t>
                </m:r>
              </m:sub>
            </m:sSub>
            <m:r>
              <w:rPr>
                <w:rFonts w:ascii="Cambria Math" w:hAnsi="Cambria Math"/>
                <w:color w:val="000000"/>
              </w:rPr>
              <m:t xml:space="preserve"> ⋮ </m:t>
            </m:r>
            <m:r>
              <w:rPr>
                <w:rFonts w:ascii="Cambria Math" w:eastAsia="Cambria Math" w:hAnsi="Cambria Math" w:cs="Cambria Math"/>
                <w:color w:val="000000"/>
              </w:rPr>
              <m:t>⋱</m:t>
            </m:r>
            <m:r>
              <w:rPr>
                <w:rFonts w:ascii="Cambria Math" w:hAnsi="Cambria Math"/>
                <w:color w:val="000000"/>
              </w:rPr>
              <m:t xml:space="preserve"> ⋮ </m:t>
            </m:r>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n1</m:t>
                </m:r>
              </m:sub>
            </m:sSub>
            <m:r>
              <w:rPr>
                <w:rFonts w:ascii="Cambria Math" w:hAnsi="Cambria Math"/>
                <w:color w:val="000000"/>
              </w:rPr>
              <m:t xml:space="preserve"> ⋯ </m:t>
            </m:r>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nn</m:t>
                </m:r>
              </m:sub>
            </m:sSub>
            <m:r>
              <w:rPr>
                <w:rFonts w:ascii="Cambria Math" w:hAnsi="Cambria Math"/>
                <w:color w:val="000000"/>
              </w:rPr>
              <m:t xml:space="preserve"> </m:t>
            </m:r>
          </m:e>
        </m:d>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1</m:t>
            </m:r>
          </m:sub>
        </m:sSub>
        <m:r>
          <w:rPr>
            <w:rFonts w:ascii="Cambria Math" w:hAnsi="Cambria Math"/>
            <w:color w:val="000000"/>
          </w:rPr>
          <m:t xml:space="preserve"> ⋮ </m:t>
        </m:r>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n</m:t>
            </m:r>
          </m:sub>
        </m:sSub>
        <m:r>
          <w:rPr>
            <w:rFonts w:ascii="Cambria Math" w:hAnsi="Cambria Math"/>
            <w:color w:val="000000"/>
          </w:rPr>
          <m:t xml:space="preserve"> </m:t>
        </m:r>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Y</m:t>
            </m:r>
          </m:e>
          <m:sub>
            <m:r>
              <w:rPr>
                <w:rFonts w:ascii="Cambria Math" w:eastAsia="Cambria Math" w:hAnsi="Cambria Math" w:cs="Cambria Math"/>
                <w:color w:val="000000"/>
              </w:rPr>
              <m:t>1</m:t>
            </m:r>
          </m:sub>
        </m:sSub>
        <m:r>
          <w:rPr>
            <w:rFonts w:ascii="Cambria Math" w:hAnsi="Cambria Math"/>
            <w:color w:val="000000"/>
          </w:rPr>
          <m:t xml:space="preserve"> ⋮ </m:t>
        </m:r>
        <m:sSub>
          <m:sSubPr>
            <m:ctrlPr>
              <w:rPr>
                <w:rFonts w:ascii="Cambria Math" w:eastAsia="Cambria Math" w:hAnsi="Cambria Math" w:cs="Cambria Math"/>
                <w:color w:val="000000"/>
              </w:rPr>
            </m:ctrlPr>
          </m:sSubPr>
          <m:e>
            <m:r>
              <w:rPr>
                <w:rFonts w:ascii="Cambria Math" w:eastAsia="Cambria Math" w:hAnsi="Cambria Math" w:cs="Cambria Math"/>
                <w:color w:val="000000"/>
              </w:rPr>
              <m:t>Y</m:t>
            </m:r>
          </m:e>
          <m:sub>
            <m:r>
              <w:rPr>
                <w:rFonts w:ascii="Cambria Math" w:eastAsia="Cambria Math" w:hAnsi="Cambria Math" w:cs="Cambria Math"/>
                <w:color w:val="000000"/>
              </w:rPr>
              <m:t>n</m:t>
            </m:r>
          </m:sub>
        </m:sSub>
        <m:r>
          <w:rPr>
            <w:rFonts w:ascii="Cambria Math" w:hAnsi="Cambria Math"/>
            <w:color w:val="000000"/>
          </w:rPr>
          <m:t xml:space="preserve"> </m:t>
        </m:r>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1</m:t>
            </m:r>
          </m:sub>
        </m:sSub>
        <m:r>
          <w:rPr>
            <w:rFonts w:ascii="Cambria Math" w:hAnsi="Cambria Math"/>
            <w:color w:val="000000"/>
          </w:rPr>
          <m:t xml:space="preserve"> ⋮ </m:t>
        </m:r>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n</m:t>
            </m:r>
          </m:sub>
        </m:sSub>
        <m:r>
          <w:rPr>
            <w:rFonts w:ascii="Cambria Math" w:hAnsi="Cambria Math"/>
            <w:color w:val="000000"/>
          </w:rPr>
          <m:t xml:space="preserve"> </m:t>
        </m:r>
      </m:oMath>
      <w:r w:rsidR="00450D2D">
        <w:rPr>
          <w:color w:val="000000"/>
        </w:rPr>
        <w:t xml:space="preserve"> </w:t>
      </w:r>
      <w:r w:rsidR="00450D2D">
        <w:rPr>
          <w:color w:val="000000"/>
        </w:rPr>
        <w:tab/>
      </w:r>
      <w:r w:rsidR="00450D2D">
        <w:rPr>
          <w:i/>
          <w:color w:val="44546A"/>
          <w:sz w:val="18"/>
          <w:szCs w:val="18"/>
        </w:rPr>
        <w:t>Equation 4</w:t>
      </w:r>
    </w:p>
    <w:p w14:paraId="00000718" w14:textId="77777777" w:rsidR="00F8269C" w:rsidRPr="009D3DA2" w:rsidRDefault="00450D2D" w:rsidP="009D3DA2">
      <w:pPr>
        <w:pBdr>
          <w:top w:val="nil"/>
          <w:left w:val="nil"/>
          <w:bottom w:val="nil"/>
          <w:right w:val="nil"/>
          <w:between w:val="nil"/>
        </w:pBdr>
        <w:tabs>
          <w:tab w:val="left" w:pos="7371"/>
        </w:tabs>
        <w:spacing w:before="240"/>
        <w:jc w:val="both"/>
        <w:rPr>
          <w:i/>
          <w:iCs/>
          <w:color w:val="000000"/>
          <w:sz w:val="18"/>
          <w:szCs w:val="18"/>
        </w:rPr>
      </w:pPr>
      <w:r w:rsidRPr="009D3DA2">
        <w:rPr>
          <w:i/>
          <w:iCs/>
          <w:color w:val="000000"/>
          <w:sz w:val="18"/>
          <w:szCs w:val="18"/>
        </w:rPr>
        <w:t>Table 16: Technical coefficients of an IO table (Matrix A)</w:t>
      </w:r>
    </w:p>
    <w:tbl>
      <w:tblPr>
        <w:tblStyle w:val="af3"/>
        <w:tblW w:w="9019" w:type="dxa"/>
        <w:tblInd w:w="-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795"/>
        <w:gridCol w:w="537"/>
        <w:gridCol w:w="1297"/>
        <w:gridCol w:w="250"/>
        <w:gridCol w:w="250"/>
        <w:gridCol w:w="250"/>
        <w:gridCol w:w="5640"/>
      </w:tblGrid>
      <w:tr w:rsidR="00F8269C" w14:paraId="23CD473C" w14:textId="77777777" w:rsidTr="009D3D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gridSpan w:val="2"/>
            <w:vMerge w:val="restart"/>
          </w:tcPr>
          <w:p w14:paraId="00000719" w14:textId="77777777" w:rsidR="00F8269C" w:rsidRDefault="00F8269C">
            <w:pPr>
              <w:pBdr>
                <w:top w:val="nil"/>
                <w:left w:val="nil"/>
                <w:bottom w:val="nil"/>
                <w:right w:val="nil"/>
                <w:between w:val="nil"/>
              </w:pBdr>
              <w:spacing w:before="120" w:after="120" w:line="276" w:lineRule="auto"/>
              <w:jc w:val="both"/>
              <w:rPr>
                <w:color w:val="000000"/>
              </w:rPr>
            </w:pPr>
          </w:p>
        </w:tc>
        <w:tc>
          <w:tcPr>
            <w:tcW w:w="7601" w:type="dxa"/>
            <w:gridSpan w:val="5"/>
          </w:tcPr>
          <w:p w14:paraId="0000071B" w14:textId="77777777" w:rsidR="00F8269C" w:rsidRDefault="00450D2D">
            <w:pPr>
              <w:pBdr>
                <w:top w:val="nil"/>
                <w:left w:val="nil"/>
                <w:bottom w:val="nil"/>
                <w:right w:val="nil"/>
                <w:between w:val="nil"/>
              </w:pBdr>
              <w:spacing w:before="120" w:after="120" w:line="276" w:lineRule="auto"/>
              <w:jc w:val="both"/>
              <w:cnfStyle w:val="100000000000" w:firstRow="1" w:lastRow="0" w:firstColumn="0" w:lastColumn="0" w:oddVBand="0" w:evenVBand="0" w:oddHBand="0" w:evenHBand="0" w:firstRowFirstColumn="0" w:firstRowLastColumn="0" w:lastRowFirstColumn="0" w:lastRowLastColumn="0"/>
              <w:rPr>
                <w:color w:val="000000"/>
              </w:rPr>
            </w:pPr>
            <w:r>
              <w:rPr>
                <w:b w:val="0"/>
                <w:color w:val="000000"/>
              </w:rPr>
              <w:t>Buying sector</w:t>
            </w:r>
          </w:p>
        </w:tc>
      </w:tr>
      <w:tr w:rsidR="00F8269C" w14:paraId="15327B74" w14:textId="77777777" w:rsidTr="009D3D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gridSpan w:val="2"/>
            <w:vMerge/>
          </w:tcPr>
          <w:p w14:paraId="00000720" w14:textId="77777777" w:rsidR="00F8269C" w:rsidRDefault="00F8269C">
            <w:pPr>
              <w:widowControl w:val="0"/>
              <w:pBdr>
                <w:top w:val="nil"/>
                <w:left w:val="nil"/>
                <w:bottom w:val="nil"/>
                <w:right w:val="nil"/>
                <w:between w:val="nil"/>
              </w:pBdr>
              <w:spacing w:line="276" w:lineRule="auto"/>
              <w:rPr>
                <w:color w:val="000000"/>
              </w:rPr>
            </w:pPr>
          </w:p>
        </w:tc>
        <w:tc>
          <w:tcPr>
            <w:tcW w:w="1405" w:type="dxa"/>
          </w:tcPr>
          <w:p w14:paraId="00000722" w14:textId="77777777" w:rsidR="00F8269C" w:rsidRDefault="00450D2D">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0" w:type="dxa"/>
          </w:tcPr>
          <w:p w14:paraId="00000723" w14:textId="77777777" w:rsidR="00F8269C" w:rsidRDefault="00450D2D">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r>
              <w:rPr>
                <w:rFonts w:ascii="Cambria Math" w:eastAsia="Cambria Math" w:hAnsi="Cambria Math" w:cs="Cambria Math"/>
                <w:color w:val="000000"/>
              </w:rPr>
              <w:t>⃛</w:t>
            </w:r>
          </w:p>
        </w:tc>
        <w:tc>
          <w:tcPr>
            <w:tcW w:w="0" w:type="dxa"/>
          </w:tcPr>
          <w:p w14:paraId="00000724" w14:textId="77777777" w:rsidR="00F8269C" w:rsidRDefault="00450D2D">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r>
              <w:rPr>
                <w:color w:val="000000"/>
              </w:rPr>
              <w:t>j</w:t>
            </w:r>
          </w:p>
        </w:tc>
        <w:tc>
          <w:tcPr>
            <w:tcW w:w="0" w:type="dxa"/>
          </w:tcPr>
          <w:p w14:paraId="00000725" w14:textId="77777777" w:rsidR="00F8269C" w:rsidRDefault="00450D2D">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r>
              <w:rPr>
                <w:rFonts w:ascii="Cambria Math" w:eastAsia="Cambria Math" w:hAnsi="Cambria Math" w:cs="Cambria Math"/>
                <w:color w:val="000000"/>
              </w:rPr>
              <w:t>⃛</w:t>
            </w:r>
          </w:p>
        </w:tc>
        <w:tc>
          <w:tcPr>
            <w:tcW w:w="0" w:type="dxa"/>
          </w:tcPr>
          <w:p w14:paraId="00000726" w14:textId="77777777" w:rsidR="00F8269C" w:rsidRDefault="00450D2D">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r>
              <w:rPr>
                <w:color w:val="000000"/>
              </w:rPr>
              <w:t>n</w:t>
            </w:r>
          </w:p>
        </w:tc>
      </w:tr>
      <w:tr w:rsidR="00F8269C" w14:paraId="4CB6BC86" w14:textId="77777777" w:rsidTr="009D3DA2">
        <w:tc>
          <w:tcPr>
            <w:cnfStyle w:val="001000000000" w:firstRow="0" w:lastRow="0" w:firstColumn="1" w:lastColumn="0" w:oddVBand="0" w:evenVBand="0" w:oddHBand="0" w:evenHBand="0" w:firstRowFirstColumn="0" w:firstRowLastColumn="0" w:lastRowFirstColumn="0" w:lastRowLastColumn="0"/>
            <w:tcW w:w="851" w:type="dxa"/>
            <w:vMerge w:val="restart"/>
          </w:tcPr>
          <w:p w14:paraId="00000727" w14:textId="77777777" w:rsidR="00F8269C" w:rsidRDefault="00450D2D">
            <w:pPr>
              <w:pBdr>
                <w:top w:val="nil"/>
                <w:left w:val="nil"/>
                <w:bottom w:val="nil"/>
                <w:right w:val="nil"/>
                <w:between w:val="nil"/>
              </w:pBdr>
              <w:spacing w:before="120" w:after="120" w:line="276" w:lineRule="auto"/>
              <w:jc w:val="both"/>
              <w:rPr>
                <w:color w:val="000000"/>
              </w:rPr>
            </w:pPr>
            <w:r>
              <w:rPr>
                <w:b w:val="0"/>
                <w:color w:val="000000"/>
              </w:rPr>
              <w:t>Selling sector</w:t>
            </w:r>
          </w:p>
        </w:tc>
        <w:tc>
          <w:tcPr>
            <w:tcW w:w="567" w:type="dxa"/>
          </w:tcPr>
          <w:p w14:paraId="00000728"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1405" w:type="dxa"/>
          </w:tcPr>
          <w:p w14:paraId="00000729"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vertAlign w:val="subscript"/>
              </w:rPr>
            </w:pPr>
            <w:r>
              <w:rPr>
                <w:color w:val="000000"/>
              </w:rPr>
              <w:t>a</w:t>
            </w:r>
            <w:r>
              <w:rPr>
                <w:color w:val="000000"/>
                <w:vertAlign w:val="subscript"/>
              </w:rPr>
              <w:t>11</w:t>
            </w:r>
          </w:p>
        </w:tc>
        <w:tc>
          <w:tcPr>
            <w:tcW w:w="0" w:type="dxa"/>
          </w:tcPr>
          <w:p w14:paraId="0000072A"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rFonts w:ascii="Cambria Math" w:eastAsia="Cambria Math" w:hAnsi="Cambria Math" w:cs="Cambria Math"/>
                <w:color w:val="000000"/>
              </w:rPr>
              <w:t>⃛</w:t>
            </w:r>
          </w:p>
        </w:tc>
        <w:tc>
          <w:tcPr>
            <w:tcW w:w="0" w:type="dxa"/>
          </w:tcPr>
          <w:p w14:paraId="0000072B"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a</w:t>
            </w:r>
            <w:r>
              <w:rPr>
                <w:color w:val="000000"/>
                <w:vertAlign w:val="subscript"/>
              </w:rPr>
              <w:t>1j</w:t>
            </w:r>
          </w:p>
        </w:tc>
        <w:tc>
          <w:tcPr>
            <w:tcW w:w="0" w:type="dxa"/>
          </w:tcPr>
          <w:p w14:paraId="0000072C"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rFonts w:ascii="Cambria Math" w:eastAsia="Cambria Math" w:hAnsi="Cambria Math" w:cs="Cambria Math"/>
                <w:color w:val="000000"/>
              </w:rPr>
              <w:t>⃛</w:t>
            </w:r>
          </w:p>
        </w:tc>
        <w:tc>
          <w:tcPr>
            <w:tcW w:w="0" w:type="dxa"/>
          </w:tcPr>
          <w:p w14:paraId="0000072D"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a</w:t>
            </w:r>
            <w:r>
              <w:rPr>
                <w:color w:val="000000"/>
                <w:vertAlign w:val="subscript"/>
              </w:rPr>
              <w:t>11</w:t>
            </w:r>
          </w:p>
        </w:tc>
      </w:tr>
      <w:tr w:rsidR="00F8269C" w14:paraId="196B410A" w14:textId="77777777" w:rsidTr="009D3D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Pr>
          <w:p w14:paraId="0000072E" w14:textId="77777777" w:rsidR="00F8269C" w:rsidRDefault="00F8269C">
            <w:pPr>
              <w:widowControl w:val="0"/>
              <w:pBdr>
                <w:top w:val="nil"/>
                <w:left w:val="nil"/>
                <w:bottom w:val="nil"/>
                <w:right w:val="nil"/>
                <w:between w:val="nil"/>
              </w:pBdr>
              <w:spacing w:line="276" w:lineRule="auto"/>
              <w:rPr>
                <w:color w:val="000000"/>
              </w:rPr>
            </w:pPr>
          </w:p>
        </w:tc>
        <w:tc>
          <w:tcPr>
            <w:tcW w:w="567" w:type="dxa"/>
          </w:tcPr>
          <w:p w14:paraId="0000072F" w14:textId="77777777" w:rsidR="00F8269C" w:rsidRDefault="00F8269C">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p>
        </w:tc>
        <w:tc>
          <w:tcPr>
            <w:tcW w:w="1405" w:type="dxa"/>
          </w:tcPr>
          <w:p w14:paraId="00000730" w14:textId="77777777" w:rsidR="00F8269C" w:rsidRDefault="00450D2D">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r>
              <w:rPr>
                <w:rFonts w:ascii="Cambria Math" w:eastAsia="Cambria Math" w:hAnsi="Cambria Math" w:cs="Cambria Math"/>
                <w:color w:val="000000"/>
              </w:rPr>
              <w:t>⋮</w:t>
            </w:r>
          </w:p>
        </w:tc>
        <w:tc>
          <w:tcPr>
            <w:tcW w:w="0" w:type="dxa"/>
          </w:tcPr>
          <w:p w14:paraId="00000731" w14:textId="77777777" w:rsidR="00F8269C" w:rsidRDefault="00F8269C">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p>
        </w:tc>
        <w:tc>
          <w:tcPr>
            <w:tcW w:w="0" w:type="dxa"/>
          </w:tcPr>
          <w:p w14:paraId="00000732" w14:textId="77777777" w:rsidR="00F8269C" w:rsidRDefault="00450D2D">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r>
              <w:rPr>
                <w:rFonts w:ascii="Cambria Math" w:eastAsia="Cambria Math" w:hAnsi="Cambria Math" w:cs="Cambria Math"/>
                <w:color w:val="000000"/>
              </w:rPr>
              <w:t>⋮</w:t>
            </w:r>
          </w:p>
        </w:tc>
        <w:tc>
          <w:tcPr>
            <w:tcW w:w="0" w:type="dxa"/>
          </w:tcPr>
          <w:p w14:paraId="00000733" w14:textId="77777777" w:rsidR="00F8269C" w:rsidRDefault="00F8269C">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p>
        </w:tc>
        <w:tc>
          <w:tcPr>
            <w:tcW w:w="0" w:type="dxa"/>
          </w:tcPr>
          <w:p w14:paraId="00000734" w14:textId="77777777" w:rsidR="00F8269C" w:rsidRDefault="00450D2D">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r>
              <w:rPr>
                <w:rFonts w:ascii="Cambria Math" w:eastAsia="Cambria Math" w:hAnsi="Cambria Math" w:cs="Cambria Math"/>
                <w:color w:val="000000"/>
              </w:rPr>
              <w:t>⋮</w:t>
            </w:r>
          </w:p>
        </w:tc>
      </w:tr>
      <w:tr w:rsidR="00F8269C" w14:paraId="42AAE6BD" w14:textId="77777777" w:rsidTr="009D3DA2">
        <w:tc>
          <w:tcPr>
            <w:cnfStyle w:val="001000000000" w:firstRow="0" w:lastRow="0" w:firstColumn="1" w:lastColumn="0" w:oddVBand="0" w:evenVBand="0" w:oddHBand="0" w:evenHBand="0" w:firstRowFirstColumn="0" w:firstRowLastColumn="0" w:lastRowFirstColumn="0" w:lastRowLastColumn="0"/>
            <w:tcW w:w="851" w:type="dxa"/>
            <w:vMerge/>
          </w:tcPr>
          <w:p w14:paraId="00000735" w14:textId="77777777" w:rsidR="00F8269C" w:rsidRDefault="00F8269C">
            <w:pPr>
              <w:widowControl w:val="0"/>
              <w:pBdr>
                <w:top w:val="nil"/>
                <w:left w:val="nil"/>
                <w:bottom w:val="nil"/>
                <w:right w:val="nil"/>
                <w:between w:val="nil"/>
              </w:pBdr>
              <w:spacing w:line="276" w:lineRule="auto"/>
              <w:rPr>
                <w:color w:val="000000"/>
              </w:rPr>
            </w:pPr>
          </w:p>
        </w:tc>
        <w:tc>
          <w:tcPr>
            <w:tcW w:w="567" w:type="dxa"/>
          </w:tcPr>
          <w:p w14:paraId="00000736"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i</w:t>
            </w:r>
          </w:p>
        </w:tc>
        <w:tc>
          <w:tcPr>
            <w:tcW w:w="1405" w:type="dxa"/>
          </w:tcPr>
          <w:p w14:paraId="00000737"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a</w:t>
            </w:r>
            <w:r>
              <w:rPr>
                <w:color w:val="000000"/>
                <w:vertAlign w:val="subscript"/>
              </w:rPr>
              <w:t>i1</w:t>
            </w:r>
          </w:p>
        </w:tc>
        <w:tc>
          <w:tcPr>
            <w:tcW w:w="0" w:type="dxa"/>
          </w:tcPr>
          <w:p w14:paraId="00000738"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rFonts w:ascii="Cambria Math" w:eastAsia="Cambria Math" w:hAnsi="Cambria Math" w:cs="Cambria Math"/>
                <w:color w:val="000000"/>
              </w:rPr>
              <w:t>⃛</w:t>
            </w:r>
          </w:p>
        </w:tc>
        <w:tc>
          <w:tcPr>
            <w:tcW w:w="0" w:type="dxa"/>
          </w:tcPr>
          <w:p w14:paraId="00000739"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a</w:t>
            </w:r>
            <w:r>
              <w:rPr>
                <w:color w:val="000000"/>
                <w:vertAlign w:val="subscript"/>
              </w:rPr>
              <w:t>ij</w:t>
            </w:r>
          </w:p>
        </w:tc>
        <w:tc>
          <w:tcPr>
            <w:tcW w:w="0" w:type="dxa"/>
          </w:tcPr>
          <w:p w14:paraId="0000073A"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rFonts w:ascii="Cambria Math" w:eastAsia="Cambria Math" w:hAnsi="Cambria Math" w:cs="Cambria Math"/>
                <w:color w:val="000000"/>
              </w:rPr>
              <w:t>⃛</w:t>
            </w:r>
          </w:p>
        </w:tc>
        <w:tc>
          <w:tcPr>
            <w:tcW w:w="0" w:type="dxa"/>
          </w:tcPr>
          <w:p w14:paraId="0000073B"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a</w:t>
            </w:r>
            <w:r>
              <w:rPr>
                <w:color w:val="000000"/>
                <w:vertAlign w:val="subscript"/>
              </w:rPr>
              <w:t>in</w:t>
            </w:r>
          </w:p>
        </w:tc>
      </w:tr>
      <w:tr w:rsidR="00F8269C" w14:paraId="3162ACCA" w14:textId="77777777" w:rsidTr="009D3D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Pr>
          <w:p w14:paraId="0000073C" w14:textId="77777777" w:rsidR="00F8269C" w:rsidRDefault="00F8269C">
            <w:pPr>
              <w:widowControl w:val="0"/>
              <w:pBdr>
                <w:top w:val="nil"/>
                <w:left w:val="nil"/>
                <w:bottom w:val="nil"/>
                <w:right w:val="nil"/>
                <w:between w:val="nil"/>
              </w:pBdr>
              <w:spacing w:line="276" w:lineRule="auto"/>
              <w:rPr>
                <w:color w:val="000000"/>
              </w:rPr>
            </w:pPr>
          </w:p>
        </w:tc>
        <w:tc>
          <w:tcPr>
            <w:tcW w:w="567" w:type="dxa"/>
          </w:tcPr>
          <w:p w14:paraId="0000073D" w14:textId="77777777" w:rsidR="00F8269C" w:rsidRDefault="00F8269C">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p>
        </w:tc>
        <w:tc>
          <w:tcPr>
            <w:tcW w:w="1405" w:type="dxa"/>
          </w:tcPr>
          <w:p w14:paraId="0000073E" w14:textId="77777777" w:rsidR="00F8269C" w:rsidRDefault="00450D2D">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r>
              <w:rPr>
                <w:rFonts w:ascii="Cambria Math" w:eastAsia="Cambria Math" w:hAnsi="Cambria Math" w:cs="Cambria Math"/>
                <w:color w:val="000000"/>
              </w:rPr>
              <w:t>⋮</w:t>
            </w:r>
          </w:p>
        </w:tc>
        <w:tc>
          <w:tcPr>
            <w:tcW w:w="0" w:type="dxa"/>
          </w:tcPr>
          <w:p w14:paraId="0000073F" w14:textId="77777777" w:rsidR="00F8269C" w:rsidRDefault="00F8269C">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p>
        </w:tc>
        <w:tc>
          <w:tcPr>
            <w:tcW w:w="0" w:type="dxa"/>
          </w:tcPr>
          <w:p w14:paraId="00000740" w14:textId="77777777" w:rsidR="00F8269C" w:rsidRDefault="00450D2D">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r>
              <w:rPr>
                <w:rFonts w:ascii="Cambria Math" w:eastAsia="Cambria Math" w:hAnsi="Cambria Math" w:cs="Cambria Math"/>
                <w:color w:val="000000"/>
              </w:rPr>
              <w:t>⋮</w:t>
            </w:r>
          </w:p>
        </w:tc>
        <w:tc>
          <w:tcPr>
            <w:tcW w:w="0" w:type="dxa"/>
          </w:tcPr>
          <w:p w14:paraId="00000741" w14:textId="77777777" w:rsidR="00F8269C" w:rsidRDefault="00F8269C">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p>
        </w:tc>
        <w:tc>
          <w:tcPr>
            <w:tcW w:w="0" w:type="dxa"/>
          </w:tcPr>
          <w:p w14:paraId="00000742" w14:textId="77777777" w:rsidR="00F8269C" w:rsidRDefault="00450D2D">
            <w:pPr>
              <w:pBdr>
                <w:top w:val="nil"/>
                <w:left w:val="nil"/>
                <w:bottom w:val="nil"/>
                <w:right w:val="nil"/>
                <w:between w:val="nil"/>
              </w:pBdr>
              <w:spacing w:before="120" w:after="120" w:line="276" w:lineRule="auto"/>
              <w:jc w:val="both"/>
              <w:cnfStyle w:val="000000100000" w:firstRow="0" w:lastRow="0" w:firstColumn="0" w:lastColumn="0" w:oddVBand="0" w:evenVBand="0" w:oddHBand="1" w:evenHBand="0" w:firstRowFirstColumn="0" w:firstRowLastColumn="0" w:lastRowFirstColumn="0" w:lastRowLastColumn="0"/>
              <w:rPr>
                <w:color w:val="000000"/>
              </w:rPr>
            </w:pPr>
            <w:r>
              <w:rPr>
                <w:rFonts w:ascii="Cambria Math" w:eastAsia="Cambria Math" w:hAnsi="Cambria Math" w:cs="Cambria Math"/>
                <w:color w:val="000000"/>
              </w:rPr>
              <w:t>⋮</w:t>
            </w:r>
          </w:p>
        </w:tc>
      </w:tr>
      <w:tr w:rsidR="00F8269C" w14:paraId="318B89D7" w14:textId="77777777" w:rsidTr="009D3DA2">
        <w:tc>
          <w:tcPr>
            <w:cnfStyle w:val="001000000000" w:firstRow="0" w:lastRow="0" w:firstColumn="1" w:lastColumn="0" w:oddVBand="0" w:evenVBand="0" w:oddHBand="0" w:evenHBand="0" w:firstRowFirstColumn="0" w:firstRowLastColumn="0" w:lastRowFirstColumn="0" w:lastRowLastColumn="0"/>
            <w:tcW w:w="851" w:type="dxa"/>
            <w:vMerge/>
          </w:tcPr>
          <w:p w14:paraId="00000743" w14:textId="77777777" w:rsidR="00F8269C" w:rsidRDefault="00F8269C">
            <w:pPr>
              <w:widowControl w:val="0"/>
              <w:pBdr>
                <w:top w:val="nil"/>
                <w:left w:val="nil"/>
                <w:bottom w:val="nil"/>
                <w:right w:val="nil"/>
                <w:between w:val="nil"/>
              </w:pBdr>
              <w:spacing w:line="276" w:lineRule="auto"/>
              <w:rPr>
                <w:color w:val="000000"/>
              </w:rPr>
            </w:pPr>
          </w:p>
        </w:tc>
        <w:tc>
          <w:tcPr>
            <w:tcW w:w="567" w:type="dxa"/>
          </w:tcPr>
          <w:p w14:paraId="00000744"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n</w:t>
            </w:r>
          </w:p>
        </w:tc>
        <w:tc>
          <w:tcPr>
            <w:tcW w:w="1405" w:type="dxa"/>
          </w:tcPr>
          <w:p w14:paraId="00000745"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a</w:t>
            </w:r>
            <w:r>
              <w:rPr>
                <w:color w:val="000000"/>
                <w:vertAlign w:val="subscript"/>
              </w:rPr>
              <w:t>n1</w:t>
            </w:r>
          </w:p>
        </w:tc>
        <w:tc>
          <w:tcPr>
            <w:tcW w:w="0" w:type="dxa"/>
          </w:tcPr>
          <w:p w14:paraId="00000746"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rFonts w:ascii="Cambria Math" w:eastAsia="Cambria Math" w:hAnsi="Cambria Math" w:cs="Cambria Math"/>
                <w:color w:val="000000"/>
              </w:rPr>
              <w:t>⃛</w:t>
            </w:r>
          </w:p>
        </w:tc>
        <w:tc>
          <w:tcPr>
            <w:tcW w:w="0" w:type="dxa"/>
          </w:tcPr>
          <w:p w14:paraId="00000747"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a</w:t>
            </w:r>
            <w:r>
              <w:rPr>
                <w:color w:val="000000"/>
                <w:vertAlign w:val="subscript"/>
              </w:rPr>
              <w:t>nj</w:t>
            </w:r>
          </w:p>
        </w:tc>
        <w:tc>
          <w:tcPr>
            <w:tcW w:w="0" w:type="dxa"/>
          </w:tcPr>
          <w:p w14:paraId="00000748"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rFonts w:ascii="Cambria Math" w:eastAsia="Cambria Math" w:hAnsi="Cambria Math" w:cs="Cambria Math"/>
                <w:color w:val="000000"/>
              </w:rPr>
              <w:t>⃛</w:t>
            </w:r>
          </w:p>
        </w:tc>
        <w:tc>
          <w:tcPr>
            <w:tcW w:w="0" w:type="dxa"/>
          </w:tcPr>
          <w:p w14:paraId="00000749" w14:textId="77777777" w:rsidR="00F8269C" w:rsidRDefault="00450D2D">
            <w:pPr>
              <w:pBdr>
                <w:top w:val="nil"/>
                <w:left w:val="nil"/>
                <w:bottom w:val="nil"/>
                <w:right w:val="nil"/>
                <w:between w:val="nil"/>
              </w:pBd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a</w:t>
            </w:r>
            <w:r>
              <w:rPr>
                <w:color w:val="000000"/>
                <w:vertAlign w:val="subscript"/>
              </w:rPr>
              <w:t>nn</w:t>
            </w:r>
          </w:p>
        </w:tc>
      </w:tr>
    </w:tbl>
    <w:p w14:paraId="0000074A" w14:textId="77777777" w:rsidR="00F8269C" w:rsidRDefault="00F8269C">
      <w:pPr>
        <w:pBdr>
          <w:top w:val="nil"/>
          <w:left w:val="nil"/>
          <w:bottom w:val="nil"/>
          <w:right w:val="nil"/>
          <w:between w:val="nil"/>
        </w:pBdr>
        <w:spacing w:before="120" w:after="120" w:line="276" w:lineRule="auto"/>
        <w:jc w:val="both"/>
        <w:rPr>
          <w:color w:val="000000"/>
        </w:rPr>
      </w:pPr>
    </w:p>
    <w:p w14:paraId="0000074B" w14:textId="77777777" w:rsidR="00F8269C" w:rsidRDefault="00450D2D">
      <w:pPr>
        <w:pBdr>
          <w:top w:val="nil"/>
          <w:left w:val="nil"/>
          <w:bottom w:val="nil"/>
          <w:right w:val="nil"/>
          <w:between w:val="nil"/>
        </w:pBdr>
        <w:spacing w:before="120" w:after="120" w:line="276" w:lineRule="auto"/>
        <w:jc w:val="both"/>
        <w:rPr>
          <w:color w:val="000000"/>
        </w:rPr>
      </w:pPr>
      <w:r>
        <w:rPr>
          <w:color w:val="000000"/>
        </w:rPr>
        <w:t>Using matrix notation, it is usually written as:</w:t>
      </w:r>
    </w:p>
    <w:p w14:paraId="0000074C" w14:textId="77777777" w:rsidR="00F8269C" w:rsidRDefault="00450D2D" w:rsidP="009D3DA2">
      <w:pPr>
        <w:pBdr>
          <w:top w:val="nil"/>
          <w:left w:val="nil"/>
          <w:bottom w:val="nil"/>
          <w:right w:val="nil"/>
          <w:between w:val="nil"/>
        </w:pBdr>
        <w:tabs>
          <w:tab w:val="left" w:pos="7371"/>
        </w:tabs>
        <w:spacing w:before="120" w:after="120" w:line="276" w:lineRule="auto"/>
        <w:ind w:left="720"/>
        <w:jc w:val="both"/>
        <w:rPr>
          <w:rFonts w:ascii="Cambria Math" w:eastAsia="Cambria Math" w:hAnsi="Cambria Math" w:cs="Cambria Math"/>
          <w:color w:val="000000"/>
          <w:sz w:val="18"/>
          <w:szCs w:val="18"/>
        </w:rPr>
      </w:pPr>
      <m:oMath>
        <m:r>
          <w:rPr>
            <w:rFonts w:ascii="Cambria Math" w:eastAsia="Cambria Math" w:hAnsi="Cambria Math" w:cs="Cambria Math"/>
            <w:color w:val="000000"/>
          </w:rPr>
          <m:t>AX+Y=X</m:t>
        </m:r>
      </m:oMath>
      <w:r>
        <w:rPr>
          <w:rFonts w:ascii="Cambria Math" w:eastAsia="Cambria Math" w:hAnsi="Cambria Math" w:cs="Cambria Math"/>
          <w:color w:val="000000"/>
          <w:sz w:val="18"/>
          <w:szCs w:val="18"/>
        </w:rPr>
        <w:tab/>
      </w:r>
      <w:r>
        <w:rPr>
          <w:i/>
          <w:color w:val="44546A"/>
          <w:sz w:val="18"/>
          <w:szCs w:val="18"/>
        </w:rPr>
        <w:t>Equation 5</w:t>
      </w:r>
    </w:p>
    <w:p w14:paraId="0000074D" w14:textId="77777777" w:rsidR="00F8269C" w:rsidRDefault="00450D2D">
      <w:r>
        <w:t xml:space="preserve">This relationship is the basic </w:t>
      </w:r>
      <w:r>
        <w:rPr>
          <w:b/>
        </w:rPr>
        <w:t>IO</w:t>
      </w:r>
      <w:r>
        <w:t xml:space="preserve"> system of equations, where:</w:t>
      </w:r>
    </w:p>
    <w:p w14:paraId="0000074E" w14:textId="77777777" w:rsidR="00F8269C" w:rsidRDefault="00450D2D">
      <w:pPr>
        <w:numPr>
          <w:ilvl w:val="0"/>
          <w:numId w:val="17"/>
        </w:numPr>
        <w:pBdr>
          <w:top w:val="nil"/>
          <w:left w:val="nil"/>
          <w:bottom w:val="nil"/>
          <w:right w:val="nil"/>
          <w:between w:val="nil"/>
        </w:pBdr>
        <w:spacing w:after="0"/>
      </w:pPr>
      <w:r>
        <w:rPr>
          <w:color w:val="000000"/>
        </w:rPr>
        <w:t xml:space="preserve">Matrix A is the </w:t>
      </w:r>
      <w:r>
        <w:rPr>
          <w:b/>
          <w:color w:val="000000"/>
        </w:rPr>
        <w:t>IO</w:t>
      </w:r>
      <w:r>
        <w:rPr>
          <w:color w:val="000000"/>
        </w:rPr>
        <w:t xml:space="preserve"> coefficient matrix;</w:t>
      </w:r>
    </w:p>
    <w:p w14:paraId="0000074F" w14:textId="77777777" w:rsidR="00F8269C" w:rsidRDefault="00450D2D">
      <w:pPr>
        <w:numPr>
          <w:ilvl w:val="0"/>
          <w:numId w:val="17"/>
        </w:numPr>
        <w:pBdr>
          <w:top w:val="nil"/>
          <w:left w:val="nil"/>
          <w:bottom w:val="nil"/>
          <w:right w:val="nil"/>
          <w:between w:val="nil"/>
        </w:pBdr>
        <w:spacing w:after="0"/>
      </w:pPr>
      <w:r>
        <w:rPr>
          <w:color w:val="000000"/>
        </w:rPr>
        <w:t>Matrix X is the output vector; and</w:t>
      </w:r>
    </w:p>
    <w:p w14:paraId="00000750" w14:textId="77777777" w:rsidR="00F8269C" w:rsidRDefault="00450D2D">
      <w:pPr>
        <w:numPr>
          <w:ilvl w:val="0"/>
          <w:numId w:val="17"/>
        </w:numPr>
        <w:pBdr>
          <w:top w:val="nil"/>
          <w:left w:val="nil"/>
          <w:bottom w:val="nil"/>
          <w:right w:val="nil"/>
          <w:between w:val="nil"/>
        </w:pBdr>
      </w:pPr>
      <w:r>
        <w:rPr>
          <w:color w:val="000000"/>
        </w:rPr>
        <w:t>Matrix Y is the net final demand vector.</w:t>
      </w:r>
    </w:p>
    <w:p w14:paraId="00000751" w14:textId="0E934B51" w:rsidR="00F8269C" w:rsidRDefault="00450D2D">
      <w:r>
        <w:lastRenderedPageBreak/>
        <w:t xml:space="preserve">The solution of an </w:t>
      </w:r>
      <w:r>
        <w:rPr>
          <w:b/>
        </w:rPr>
        <w:t>IO</w:t>
      </w:r>
      <w:r>
        <w:t xml:space="preserve"> model is described</w:t>
      </w:r>
      <w:sdt>
        <w:sdtPr>
          <w:tag w:val="goog_rdk_75"/>
          <w:id w:val="-1570335358"/>
        </w:sdtPr>
        <w:sdtEndPr/>
        <w:sdtContent/>
      </w:sdt>
      <w:r>
        <w:t xml:space="preserve"> below.</w:t>
      </w:r>
    </w:p>
    <w:p w14:paraId="00000752" w14:textId="77777777" w:rsidR="00F8269C" w:rsidRDefault="00450D2D" w:rsidP="009D3DA2">
      <w:pPr>
        <w:jc w:val="both"/>
      </w:pPr>
      <w:r>
        <w:t>Final demand (Y) consists of the household, government and rest of the world sectors. Value added (V) to the producing sector consists of the returns to factors of production (capital and labour) that receive interest and wages.</w:t>
      </w:r>
    </w:p>
    <w:p w14:paraId="00000753" w14:textId="71964EFA" w:rsidR="00F8269C" w:rsidRDefault="00450D2D" w:rsidP="009D3DA2">
      <w:pPr>
        <w:jc w:val="both"/>
      </w:pPr>
      <w:r>
        <w:rPr>
          <w:b/>
        </w:rPr>
        <w:t>IO</w:t>
      </w:r>
      <w:r>
        <w:t xml:space="preserve"> table</w:t>
      </w:r>
      <w:r w:rsidR="00243DEC">
        <w:t>s</w:t>
      </w:r>
      <w:r>
        <w:t xml:space="preserve"> and associated model</w:t>
      </w:r>
      <w:r w:rsidR="00243DEC">
        <w:t>s</w:t>
      </w:r>
      <w:r>
        <w:t xml:space="preserve"> </w:t>
      </w:r>
      <w:r w:rsidR="00163C1E">
        <w:t>are</w:t>
      </w:r>
      <w:r>
        <w:t xml:space="preserve"> generally constructed from observed data for a particular area. Most often this area refers to a nation</w:t>
      </w:r>
      <w:r w:rsidR="003727E6">
        <w:t>:</w:t>
      </w:r>
      <w:r>
        <w:t xml:space="preserve"> </w:t>
      </w:r>
      <w:r w:rsidR="003727E6">
        <w:t xml:space="preserve">it </w:t>
      </w:r>
      <w:r>
        <w:t>could however also refer to sub</w:t>
      </w:r>
      <w:r w:rsidR="00AD4DFC">
        <w:t>-national</w:t>
      </w:r>
      <w:r>
        <w:t xml:space="preserve"> areas. The data are also collected for a given period of time, usually a year. Although theoretically, the </w:t>
      </w:r>
      <w:r>
        <w:rPr>
          <w:b/>
        </w:rPr>
        <w:t>IO</w:t>
      </w:r>
      <w:r>
        <w:t xml:space="preserve"> table applies to units of production, this is impractical, and it is generally presented in monetary terms.</w:t>
      </w:r>
    </w:p>
    <w:p w14:paraId="00000754" w14:textId="77777777" w:rsidR="00F8269C" w:rsidRDefault="00450D2D" w:rsidP="009D3DA2">
      <w:pPr>
        <w:jc w:val="both"/>
      </w:pPr>
      <w:r>
        <w:t>The discussion above referred to a closed economy and therefore did not include international trade (imports and exports). This is necessary because very few industries produce goods or services without using some imported components.</w:t>
      </w:r>
    </w:p>
    <w:p w14:paraId="00000755" w14:textId="6EFEDA26" w:rsidR="00F8269C" w:rsidRDefault="00450D2D" w:rsidP="003727E6">
      <w:pPr>
        <w:pStyle w:val="Heading4"/>
      </w:pPr>
      <w:bookmarkStart w:id="574" w:name="_Toc90192024"/>
      <w:bookmarkStart w:id="575" w:name="_Toc93842944"/>
      <w:bookmarkStart w:id="576" w:name="_Toc93843130"/>
      <w:r>
        <w:t xml:space="preserve">Splitting the </w:t>
      </w:r>
      <w:r w:rsidR="00DA4D0D">
        <w:t>S</w:t>
      </w:r>
      <w:r>
        <w:t>ectors</w:t>
      </w:r>
      <w:bookmarkEnd w:id="574"/>
      <w:bookmarkEnd w:id="575"/>
      <w:bookmarkEnd w:id="576"/>
    </w:p>
    <w:p w14:paraId="00000756" w14:textId="12DCCFED" w:rsidR="00F8269C" w:rsidRDefault="00450D2D" w:rsidP="009D3DA2">
      <w:pPr>
        <w:jc w:val="both"/>
      </w:pPr>
      <w:r>
        <w:t>In this study, sectors and subsectors</w:t>
      </w:r>
      <w:r w:rsidR="00163C1E">
        <w:t xml:space="preserve"> were</w:t>
      </w:r>
      <w:r>
        <w:t xml:space="preserve"> </w:t>
      </w:r>
      <w:sdt>
        <w:sdtPr>
          <w:tag w:val="goog_rdk_77"/>
          <w:id w:val="1236819320"/>
        </w:sdtPr>
        <w:sdtEndPr/>
        <w:sdtContent/>
      </w:sdt>
      <w:r>
        <w:t>assigned to domains using information from the guidelines provided by the UNESCO Framework for Cultural Statistics (2009), sector</w:t>
      </w:r>
      <w:r w:rsidR="00FC72D8">
        <w:t>-</w:t>
      </w:r>
      <w:r>
        <w:t xml:space="preserve">specific research and information, and previous SACO mapping studies. Where specific sectors contained CCI components, but not entirely, use was made of other documents including Stats SA’s AFS, surveys and other research to determine </w:t>
      </w:r>
      <w:r w:rsidR="002772A2">
        <w:t xml:space="preserve">ratios </w:t>
      </w:r>
      <w:r>
        <w:t xml:space="preserve">that were used to split these sectors into the specific CCI domains and non-CCI sectors. A conservative approach was used to ensure that the CCI were not overestimated. The original </w:t>
      </w:r>
      <w:sdt>
        <w:sdtPr>
          <w:tag w:val="goog_rdk_78"/>
          <w:id w:val="-1737389726"/>
        </w:sdtPr>
        <w:sdtEndPr/>
        <w:sdtContent/>
      </w:sdt>
      <w:r>
        <w:t>total</w:t>
      </w:r>
      <w:r w:rsidR="00163C1E">
        <w:t>s</w:t>
      </w:r>
      <w:r>
        <w:t xml:space="preserve"> were compared to the new total to ensure that there was no double counting or inadvertent exclusions.</w:t>
      </w:r>
    </w:p>
    <w:p w14:paraId="00000757" w14:textId="2D753E90" w:rsidR="00F8269C" w:rsidRDefault="00450D2D" w:rsidP="009D3DA2">
      <w:pPr>
        <w:jc w:val="both"/>
      </w:pPr>
      <w:r>
        <w:t>In principle, the F-matrix should be split according to the turnover of CCI sub-industries. The value-added matrix, or V-matrix, should be divided according to the returns of the factors of production (compensation or GVA). The Y-matrix, representing final demand, can be divided using either the total turnover or output or the proportion of CCI products and services purchased by households, government or exports.</w:t>
      </w:r>
    </w:p>
    <w:p w14:paraId="00000758" w14:textId="77777777" w:rsidR="00F8269C" w:rsidRDefault="00450D2D">
      <w:pPr>
        <w:rPr>
          <w:color w:val="2F5496"/>
          <w:sz w:val="24"/>
          <w:szCs w:val="24"/>
        </w:rPr>
      </w:pPr>
      <w:r>
        <w:br w:type="page"/>
      </w:r>
    </w:p>
    <w:p w14:paraId="00000759" w14:textId="0BCEF15E" w:rsidR="00F8269C" w:rsidRDefault="00804F2D" w:rsidP="00023227">
      <w:pPr>
        <w:pStyle w:val="Heading1"/>
        <w:numPr>
          <w:ilvl w:val="0"/>
          <w:numId w:val="0"/>
        </w:numPr>
      </w:pPr>
      <w:bookmarkStart w:id="577" w:name="_Toc93842945"/>
      <w:bookmarkStart w:id="578" w:name="_Toc93843131"/>
      <w:bookmarkStart w:id="579" w:name="_Toc93843363"/>
      <w:r>
        <w:lastRenderedPageBreak/>
        <w:t xml:space="preserve">Appendix 3. </w:t>
      </w:r>
      <w:r w:rsidR="00450D2D">
        <w:t>Available Data in South Africa</w:t>
      </w:r>
      <w:bookmarkEnd w:id="577"/>
      <w:bookmarkEnd w:id="578"/>
      <w:bookmarkEnd w:id="579"/>
    </w:p>
    <w:p w14:paraId="0000075A" w14:textId="77777777" w:rsidR="00F8269C" w:rsidRDefault="00F8269C"/>
    <w:p w14:paraId="0000075B" w14:textId="77777777" w:rsidR="00F8269C" w:rsidRDefault="00450D2D" w:rsidP="009D3DA2">
      <w:pPr>
        <w:jc w:val="both"/>
      </w:pPr>
      <w:r>
        <w:t>This section discusses available data sources that already exist that can be utilised to produce the South African CSAs. The table below provides an overview of the data followed by a brief description of the data source. Typical sectors are provided as an example for each source that can (depending on the definition of CSAs), be considered.</w:t>
      </w:r>
    </w:p>
    <w:p w14:paraId="0000075C" w14:textId="05EDDFED" w:rsidR="00F8269C" w:rsidRDefault="00450D2D" w:rsidP="009D3DA2">
      <w:pPr>
        <w:spacing w:after="200" w:line="240" w:lineRule="auto"/>
        <w:rPr>
          <w:i/>
          <w:color w:val="44546A"/>
          <w:sz w:val="18"/>
          <w:szCs w:val="18"/>
        </w:rPr>
      </w:pPr>
      <w:bookmarkStart w:id="580" w:name="_heading=h.39kk8xu" w:colFirst="0" w:colLast="0"/>
      <w:bookmarkEnd w:id="580"/>
      <w:r>
        <w:rPr>
          <w:i/>
          <w:color w:val="44546A"/>
          <w:sz w:val="18"/>
          <w:szCs w:val="18"/>
        </w:rPr>
        <w:t xml:space="preserve">Table </w:t>
      </w:r>
      <w:r w:rsidR="00DE13B5">
        <w:rPr>
          <w:i/>
          <w:color w:val="44546A"/>
          <w:sz w:val="18"/>
          <w:szCs w:val="18"/>
        </w:rPr>
        <w:t>17</w:t>
      </w:r>
      <w:r>
        <w:rPr>
          <w:i/>
          <w:color w:val="44546A"/>
          <w:sz w:val="18"/>
          <w:szCs w:val="18"/>
        </w:rPr>
        <w:t>: Potential data sources that can be used in the CSA</w:t>
      </w:r>
    </w:p>
    <w:tbl>
      <w:tblPr>
        <w:tblStyle w:val="af4"/>
        <w:tblW w:w="932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2258"/>
        <w:gridCol w:w="1528"/>
        <w:gridCol w:w="1395"/>
        <w:gridCol w:w="1417"/>
        <w:gridCol w:w="1290"/>
        <w:gridCol w:w="1434"/>
      </w:tblGrid>
      <w:tr w:rsidR="00F8269C" w14:paraId="53A4C8CB" w14:textId="77777777" w:rsidTr="00F826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8" w:type="dxa"/>
          </w:tcPr>
          <w:p w14:paraId="0000075D" w14:textId="77777777" w:rsidR="00F8269C" w:rsidRDefault="00450D2D">
            <w:pPr>
              <w:rPr>
                <w:sz w:val="18"/>
                <w:szCs w:val="18"/>
              </w:rPr>
            </w:pPr>
            <w:r>
              <w:rPr>
                <w:sz w:val="18"/>
                <w:szCs w:val="18"/>
              </w:rPr>
              <w:t>Survey/administrative data</w:t>
            </w:r>
          </w:p>
        </w:tc>
        <w:tc>
          <w:tcPr>
            <w:tcW w:w="1528" w:type="dxa"/>
          </w:tcPr>
          <w:p w14:paraId="0000075E" w14:textId="77777777" w:rsidR="00F8269C" w:rsidRDefault="00450D2D">
            <w:pP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Coverage</w:t>
            </w:r>
          </w:p>
        </w:tc>
        <w:tc>
          <w:tcPr>
            <w:tcW w:w="1395" w:type="dxa"/>
          </w:tcPr>
          <w:p w14:paraId="0000075F" w14:textId="77777777" w:rsidR="00F8269C" w:rsidRDefault="00450D2D">
            <w:pP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Frequency</w:t>
            </w:r>
          </w:p>
        </w:tc>
        <w:tc>
          <w:tcPr>
            <w:tcW w:w="1417" w:type="dxa"/>
          </w:tcPr>
          <w:p w14:paraId="00000760" w14:textId="77777777" w:rsidR="00F8269C" w:rsidRDefault="00450D2D">
            <w:pP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Demand or supply side data</w:t>
            </w:r>
          </w:p>
        </w:tc>
        <w:tc>
          <w:tcPr>
            <w:tcW w:w="1290" w:type="dxa"/>
          </w:tcPr>
          <w:p w14:paraId="00000761" w14:textId="77777777" w:rsidR="00F8269C" w:rsidRDefault="00450D2D">
            <w:pP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Conducted by whom</w:t>
            </w:r>
          </w:p>
        </w:tc>
        <w:tc>
          <w:tcPr>
            <w:tcW w:w="1434" w:type="dxa"/>
          </w:tcPr>
          <w:p w14:paraId="00000762" w14:textId="77777777" w:rsidR="00F8269C" w:rsidRDefault="00450D2D">
            <w:pP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Classification</w:t>
            </w:r>
          </w:p>
        </w:tc>
      </w:tr>
      <w:tr w:rsidR="00F8269C" w14:paraId="73B7EA49" w14:textId="77777777" w:rsidTr="00F826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8" w:type="dxa"/>
          </w:tcPr>
          <w:p w14:paraId="00000763" w14:textId="77777777" w:rsidR="00F8269C" w:rsidRDefault="00450D2D">
            <w:pPr>
              <w:rPr>
                <w:sz w:val="18"/>
                <w:szCs w:val="18"/>
              </w:rPr>
            </w:pPr>
            <w:r>
              <w:rPr>
                <w:sz w:val="18"/>
                <w:szCs w:val="18"/>
              </w:rPr>
              <w:t>Annual Financial Statistics</w:t>
            </w:r>
          </w:p>
        </w:tc>
        <w:tc>
          <w:tcPr>
            <w:tcW w:w="1528" w:type="dxa"/>
          </w:tcPr>
          <w:p w14:paraId="00000764" w14:textId="78F78DAB"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12 922 (2014 A</w:t>
            </w:r>
            <w:r w:rsidR="00195565">
              <w:rPr>
                <w:sz w:val="18"/>
                <w:szCs w:val="18"/>
              </w:rPr>
              <w:t>FS</w:t>
            </w:r>
            <w:r>
              <w:rPr>
                <w:sz w:val="18"/>
                <w:szCs w:val="18"/>
              </w:rPr>
              <w:t>)</w:t>
            </w:r>
          </w:p>
        </w:tc>
        <w:tc>
          <w:tcPr>
            <w:tcW w:w="1395" w:type="dxa"/>
          </w:tcPr>
          <w:p w14:paraId="00000765"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Annually</w:t>
            </w:r>
          </w:p>
        </w:tc>
        <w:tc>
          <w:tcPr>
            <w:tcW w:w="1417" w:type="dxa"/>
          </w:tcPr>
          <w:p w14:paraId="00000766"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Supply side</w:t>
            </w:r>
          </w:p>
        </w:tc>
        <w:tc>
          <w:tcPr>
            <w:tcW w:w="1290" w:type="dxa"/>
          </w:tcPr>
          <w:p w14:paraId="00000767" w14:textId="255FE6A0"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Stats</w:t>
            </w:r>
            <w:r w:rsidR="003649AD">
              <w:rPr>
                <w:sz w:val="18"/>
                <w:szCs w:val="18"/>
              </w:rPr>
              <w:t> </w:t>
            </w:r>
            <w:r>
              <w:rPr>
                <w:sz w:val="18"/>
                <w:szCs w:val="18"/>
              </w:rPr>
              <w:t>SA</w:t>
            </w:r>
          </w:p>
        </w:tc>
        <w:tc>
          <w:tcPr>
            <w:tcW w:w="1434" w:type="dxa"/>
          </w:tcPr>
          <w:p w14:paraId="00000768"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SIC</w:t>
            </w:r>
          </w:p>
        </w:tc>
      </w:tr>
      <w:tr w:rsidR="00F8269C" w14:paraId="71A3EADA" w14:textId="77777777" w:rsidTr="00F8269C">
        <w:tc>
          <w:tcPr>
            <w:cnfStyle w:val="001000000000" w:firstRow="0" w:lastRow="0" w:firstColumn="1" w:lastColumn="0" w:oddVBand="0" w:evenVBand="0" w:oddHBand="0" w:evenHBand="0" w:firstRowFirstColumn="0" w:firstRowLastColumn="0" w:lastRowFirstColumn="0" w:lastRowLastColumn="0"/>
            <w:tcW w:w="2258" w:type="dxa"/>
          </w:tcPr>
          <w:p w14:paraId="00000769" w14:textId="77777777" w:rsidR="00F8269C" w:rsidRDefault="00450D2D">
            <w:pPr>
              <w:rPr>
                <w:sz w:val="18"/>
                <w:szCs w:val="18"/>
              </w:rPr>
            </w:pPr>
            <w:r>
              <w:rPr>
                <w:sz w:val="18"/>
                <w:szCs w:val="18"/>
              </w:rPr>
              <w:t>Large sample surveys</w:t>
            </w:r>
          </w:p>
        </w:tc>
        <w:tc>
          <w:tcPr>
            <w:tcW w:w="1528" w:type="dxa"/>
          </w:tcPr>
          <w:p w14:paraId="0000076A"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c>
          <w:tcPr>
            <w:tcW w:w="1395" w:type="dxa"/>
          </w:tcPr>
          <w:p w14:paraId="0000076B"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Periodically</w:t>
            </w:r>
          </w:p>
        </w:tc>
        <w:tc>
          <w:tcPr>
            <w:tcW w:w="1417" w:type="dxa"/>
          </w:tcPr>
          <w:p w14:paraId="0000076C"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Supply side</w:t>
            </w:r>
          </w:p>
        </w:tc>
        <w:tc>
          <w:tcPr>
            <w:tcW w:w="1290" w:type="dxa"/>
          </w:tcPr>
          <w:p w14:paraId="0000076D"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Stats SA</w:t>
            </w:r>
          </w:p>
        </w:tc>
        <w:tc>
          <w:tcPr>
            <w:tcW w:w="1434" w:type="dxa"/>
          </w:tcPr>
          <w:p w14:paraId="0000076E"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SIC</w:t>
            </w:r>
          </w:p>
        </w:tc>
      </w:tr>
      <w:tr w:rsidR="00F8269C" w14:paraId="3875A29C" w14:textId="77777777" w:rsidTr="00DD2587">
        <w:trPr>
          <w:cnfStyle w:val="000000100000" w:firstRow="0" w:lastRow="0" w:firstColumn="0" w:lastColumn="0" w:oddVBand="0" w:evenVBand="0" w:oddHBand="1" w:evenHBand="0" w:firstRowFirstColumn="0" w:firstRowLastColumn="0" w:lastRowFirstColumn="0" w:lastRowLastColumn="0"/>
          <w:trHeight w:val="694"/>
        </w:trPr>
        <w:tc>
          <w:tcPr>
            <w:cnfStyle w:val="001000000000" w:firstRow="0" w:lastRow="0" w:firstColumn="1" w:lastColumn="0" w:oddVBand="0" w:evenVBand="0" w:oddHBand="0" w:evenHBand="0" w:firstRowFirstColumn="0" w:firstRowLastColumn="0" w:lastRowFirstColumn="0" w:lastRowLastColumn="0"/>
            <w:tcW w:w="2258" w:type="dxa"/>
          </w:tcPr>
          <w:p w14:paraId="0000076F" w14:textId="77777777" w:rsidR="00F8269C" w:rsidRDefault="00450D2D">
            <w:pPr>
              <w:rPr>
                <w:sz w:val="18"/>
                <w:szCs w:val="18"/>
              </w:rPr>
            </w:pPr>
            <w:r>
              <w:rPr>
                <w:sz w:val="18"/>
                <w:szCs w:val="18"/>
              </w:rPr>
              <w:t>Income and expenditure of households survey</w:t>
            </w:r>
          </w:p>
        </w:tc>
        <w:tc>
          <w:tcPr>
            <w:tcW w:w="1528" w:type="dxa"/>
          </w:tcPr>
          <w:p w14:paraId="00000770"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31 419 dwelling units (2010/11 IES)</w:t>
            </w:r>
          </w:p>
        </w:tc>
        <w:tc>
          <w:tcPr>
            <w:tcW w:w="1395" w:type="dxa"/>
          </w:tcPr>
          <w:p w14:paraId="00000771"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Every 5 to 6 years</w:t>
            </w:r>
          </w:p>
        </w:tc>
        <w:tc>
          <w:tcPr>
            <w:tcW w:w="1417" w:type="dxa"/>
          </w:tcPr>
          <w:p w14:paraId="00000772"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Demand side (expenditure data)</w:t>
            </w:r>
          </w:p>
        </w:tc>
        <w:tc>
          <w:tcPr>
            <w:tcW w:w="1290" w:type="dxa"/>
          </w:tcPr>
          <w:p w14:paraId="00000773"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Stats SA</w:t>
            </w:r>
          </w:p>
        </w:tc>
        <w:tc>
          <w:tcPr>
            <w:tcW w:w="1434" w:type="dxa"/>
          </w:tcPr>
          <w:p w14:paraId="00000774"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COICOP</w:t>
            </w:r>
          </w:p>
        </w:tc>
      </w:tr>
      <w:tr w:rsidR="00F8269C" w14:paraId="13EC066D" w14:textId="77777777" w:rsidTr="00F8269C">
        <w:tc>
          <w:tcPr>
            <w:cnfStyle w:val="001000000000" w:firstRow="0" w:lastRow="0" w:firstColumn="1" w:lastColumn="0" w:oddVBand="0" w:evenVBand="0" w:oddHBand="0" w:evenHBand="0" w:firstRowFirstColumn="0" w:firstRowLastColumn="0" w:lastRowFirstColumn="0" w:lastRowLastColumn="0"/>
            <w:tcW w:w="2258" w:type="dxa"/>
          </w:tcPr>
          <w:p w14:paraId="00000775" w14:textId="77777777" w:rsidR="00F8269C" w:rsidRDefault="00450D2D">
            <w:pPr>
              <w:rPr>
                <w:sz w:val="18"/>
                <w:szCs w:val="18"/>
              </w:rPr>
            </w:pPr>
            <w:r>
              <w:rPr>
                <w:sz w:val="18"/>
                <w:szCs w:val="18"/>
              </w:rPr>
              <w:t>Living conditions of households</w:t>
            </w:r>
          </w:p>
          <w:p w14:paraId="00000776" w14:textId="77777777" w:rsidR="00F8269C" w:rsidRDefault="00F8269C">
            <w:pPr>
              <w:rPr>
                <w:sz w:val="18"/>
                <w:szCs w:val="18"/>
              </w:rPr>
            </w:pPr>
          </w:p>
        </w:tc>
        <w:tc>
          <w:tcPr>
            <w:tcW w:w="1528" w:type="dxa"/>
          </w:tcPr>
          <w:p w14:paraId="00000777" w14:textId="77777777" w:rsidR="00F8269C" w:rsidRDefault="00F8269C">
            <w:pPr>
              <w:cnfStyle w:val="000000000000" w:firstRow="0" w:lastRow="0" w:firstColumn="0" w:lastColumn="0" w:oddVBand="0" w:evenVBand="0" w:oddHBand="0" w:evenHBand="0" w:firstRowFirstColumn="0" w:firstRowLastColumn="0" w:lastRowFirstColumn="0" w:lastRowLastColumn="0"/>
              <w:rPr>
                <w:sz w:val="18"/>
                <w:szCs w:val="18"/>
              </w:rPr>
            </w:pPr>
          </w:p>
        </w:tc>
        <w:tc>
          <w:tcPr>
            <w:tcW w:w="1395" w:type="dxa"/>
          </w:tcPr>
          <w:p w14:paraId="00000778"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Every 5 to 6 years</w:t>
            </w:r>
          </w:p>
        </w:tc>
        <w:tc>
          <w:tcPr>
            <w:tcW w:w="1417" w:type="dxa"/>
          </w:tcPr>
          <w:p w14:paraId="00000779"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Demand side (expenditure data)</w:t>
            </w:r>
          </w:p>
        </w:tc>
        <w:tc>
          <w:tcPr>
            <w:tcW w:w="1290" w:type="dxa"/>
          </w:tcPr>
          <w:p w14:paraId="0000077A"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Stats SA</w:t>
            </w:r>
          </w:p>
        </w:tc>
        <w:tc>
          <w:tcPr>
            <w:tcW w:w="1434" w:type="dxa"/>
          </w:tcPr>
          <w:p w14:paraId="0000077B"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COICOP</w:t>
            </w:r>
          </w:p>
        </w:tc>
      </w:tr>
      <w:tr w:rsidR="00F8269C" w14:paraId="60BF4F93" w14:textId="77777777" w:rsidTr="00F826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8" w:type="dxa"/>
          </w:tcPr>
          <w:p w14:paraId="0000077C" w14:textId="77777777" w:rsidR="00F8269C" w:rsidRDefault="00450D2D">
            <w:pPr>
              <w:rPr>
                <w:sz w:val="18"/>
                <w:szCs w:val="18"/>
              </w:rPr>
            </w:pPr>
            <w:r>
              <w:rPr>
                <w:sz w:val="18"/>
                <w:szCs w:val="18"/>
              </w:rPr>
              <w:t>Quarterly Labour Force Survey (QLFS)</w:t>
            </w:r>
          </w:p>
          <w:p w14:paraId="0000077D" w14:textId="77777777" w:rsidR="00F8269C" w:rsidRDefault="00F8269C">
            <w:pPr>
              <w:rPr>
                <w:sz w:val="18"/>
                <w:szCs w:val="18"/>
              </w:rPr>
            </w:pPr>
          </w:p>
        </w:tc>
        <w:tc>
          <w:tcPr>
            <w:tcW w:w="1528" w:type="dxa"/>
          </w:tcPr>
          <w:p w14:paraId="0000077E"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Approximately 30 000 dwellings</w:t>
            </w:r>
          </w:p>
        </w:tc>
        <w:tc>
          <w:tcPr>
            <w:tcW w:w="1395" w:type="dxa"/>
          </w:tcPr>
          <w:p w14:paraId="0000077F"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Quarterly</w:t>
            </w:r>
          </w:p>
        </w:tc>
        <w:tc>
          <w:tcPr>
            <w:tcW w:w="1417" w:type="dxa"/>
          </w:tcPr>
          <w:p w14:paraId="00000780"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Employment demand</w:t>
            </w:r>
          </w:p>
        </w:tc>
        <w:tc>
          <w:tcPr>
            <w:tcW w:w="1290" w:type="dxa"/>
          </w:tcPr>
          <w:p w14:paraId="00000781"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Stats SA</w:t>
            </w:r>
          </w:p>
        </w:tc>
        <w:tc>
          <w:tcPr>
            <w:tcW w:w="1434" w:type="dxa"/>
          </w:tcPr>
          <w:p w14:paraId="00000782"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w:t>
            </w:r>
          </w:p>
        </w:tc>
      </w:tr>
      <w:tr w:rsidR="00F8269C" w14:paraId="265C9B49" w14:textId="77777777" w:rsidTr="00F8269C">
        <w:tc>
          <w:tcPr>
            <w:cnfStyle w:val="001000000000" w:firstRow="0" w:lastRow="0" w:firstColumn="1" w:lastColumn="0" w:oddVBand="0" w:evenVBand="0" w:oddHBand="0" w:evenHBand="0" w:firstRowFirstColumn="0" w:firstRowLastColumn="0" w:lastRowFirstColumn="0" w:lastRowLastColumn="0"/>
            <w:tcW w:w="2258" w:type="dxa"/>
          </w:tcPr>
          <w:p w14:paraId="00000783" w14:textId="77777777" w:rsidR="00F8269C" w:rsidRDefault="00450D2D">
            <w:pPr>
              <w:rPr>
                <w:sz w:val="18"/>
                <w:szCs w:val="18"/>
              </w:rPr>
            </w:pPr>
            <w:r>
              <w:rPr>
                <w:sz w:val="18"/>
                <w:szCs w:val="18"/>
              </w:rPr>
              <w:t>TSA</w:t>
            </w:r>
          </w:p>
          <w:p w14:paraId="00000784" w14:textId="77777777" w:rsidR="00F8269C" w:rsidRDefault="00F8269C">
            <w:pPr>
              <w:rPr>
                <w:sz w:val="18"/>
                <w:szCs w:val="18"/>
              </w:rPr>
            </w:pPr>
          </w:p>
        </w:tc>
        <w:tc>
          <w:tcPr>
            <w:tcW w:w="1528" w:type="dxa"/>
          </w:tcPr>
          <w:p w14:paraId="00000785"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c>
          <w:tcPr>
            <w:tcW w:w="1395" w:type="dxa"/>
          </w:tcPr>
          <w:p w14:paraId="00000786"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Annually</w:t>
            </w:r>
          </w:p>
        </w:tc>
        <w:tc>
          <w:tcPr>
            <w:tcW w:w="1417" w:type="dxa"/>
          </w:tcPr>
          <w:p w14:paraId="00000787"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Supply and demand</w:t>
            </w:r>
          </w:p>
        </w:tc>
        <w:tc>
          <w:tcPr>
            <w:tcW w:w="1290" w:type="dxa"/>
          </w:tcPr>
          <w:p w14:paraId="00000788"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Stats SA</w:t>
            </w:r>
          </w:p>
        </w:tc>
        <w:tc>
          <w:tcPr>
            <w:tcW w:w="1434" w:type="dxa"/>
          </w:tcPr>
          <w:p w14:paraId="00000789"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CPC</w:t>
            </w:r>
          </w:p>
        </w:tc>
      </w:tr>
      <w:tr w:rsidR="00F8269C" w14:paraId="49BE140A" w14:textId="77777777" w:rsidTr="00F826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8" w:type="dxa"/>
          </w:tcPr>
          <w:p w14:paraId="0000078A" w14:textId="77777777" w:rsidR="00F8269C" w:rsidRDefault="00450D2D">
            <w:pPr>
              <w:rPr>
                <w:sz w:val="18"/>
                <w:szCs w:val="18"/>
              </w:rPr>
            </w:pPr>
            <w:r>
              <w:rPr>
                <w:sz w:val="18"/>
                <w:szCs w:val="18"/>
              </w:rPr>
              <w:t>Non-profit Institutions Satellite Account</w:t>
            </w:r>
          </w:p>
        </w:tc>
        <w:tc>
          <w:tcPr>
            <w:tcW w:w="1528" w:type="dxa"/>
          </w:tcPr>
          <w:p w14:paraId="0000078B"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w:t>
            </w:r>
          </w:p>
        </w:tc>
        <w:tc>
          <w:tcPr>
            <w:tcW w:w="1395" w:type="dxa"/>
          </w:tcPr>
          <w:p w14:paraId="0000078C"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In progress</w:t>
            </w:r>
          </w:p>
        </w:tc>
        <w:tc>
          <w:tcPr>
            <w:tcW w:w="1417" w:type="dxa"/>
          </w:tcPr>
          <w:p w14:paraId="0000078D"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Supply and demand</w:t>
            </w:r>
          </w:p>
        </w:tc>
        <w:tc>
          <w:tcPr>
            <w:tcW w:w="1290" w:type="dxa"/>
          </w:tcPr>
          <w:p w14:paraId="0000078E"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Stats SA</w:t>
            </w:r>
          </w:p>
        </w:tc>
        <w:tc>
          <w:tcPr>
            <w:tcW w:w="1434" w:type="dxa"/>
          </w:tcPr>
          <w:p w14:paraId="0000078F"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w:t>
            </w:r>
          </w:p>
        </w:tc>
      </w:tr>
      <w:tr w:rsidR="00F8269C" w14:paraId="1C139947" w14:textId="77777777" w:rsidTr="00F8269C">
        <w:tc>
          <w:tcPr>
            <w:cnfStyle w:val="001000000000" w:firstRow="0" w:lastRow="0" w:firstColumn="1" w:lastColumn="0" w:oddVBand="0" w:evenVBand="0" w:oddHBand="0" w:evenHBand="0" w:firstRowFirstColumn="0" w:firstRowLastColumn="0" w:lastRowFirstColumn="0" w:lastRowLastColumn="0"/>
            <w:tcW w:w="2258" w:type="dxa"/>
          </w:tcPr>
          <w:p w14:paraId="00000790" w14:textId="77777777" w:rsidR="00F8269C" w:rsidRDefault="00450D2D">
            <w:pPr>
              <w:rPr>
                <w:sz w:val="18"/>
                <w:szCs w:val="18"/>
              </w:rPr>
            </w:pPr>
            <w:r>
              <w:rPr>
                <w:sz w:val="18"/>
                <w:szCs w:val="18"/>
              </w:rPr>
              <w:t>SUT</w:t>
            </w:r>
          </w:p>
          <w:p w14:paraId="00000791" w14:textId="77777777" w:rsidR="00F8269C" w:rsidRDefault="00F8269C">
            <w:pPr>
              <w:rPr>
                <w:sz w:val="18"/>
                <w:szCs w:val="18"/>
              </w:rPr>
            </w:pPr>
          </w:p>
        </w:tc>
        <w:tc>
          <w:tcPr>
            <w:tcW w:w="1528" w:type="dxa"/>
          </w:tcPr>
          <w:p w14:paraId="00000792"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62 industries by 104 products</w:t>
            </w:r>
          </w:p>
          <w:p w14:paraId="00000793"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171 industries by 104 products</w:t>
            </w:r>
          </w:p>
        </w:tc>
        <w:tc>
          <w:tcPr>
            <w:tcW w:w="1395" w:type="dxa"/>
          </w:tcPr>
          <w:p w14:paraId="00000794"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Annually</w:t>
            </w:r>
          </w:p>
          <w:p w14:paraId="00000795"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Periodically</w:t>
            </w:r>
          </w:p>
        </w:tc>
        <w:tc>
          <w:tcPr>
            <w:tcW w:w="1417" w:type="dxa"/>
          </w:tcPr>
          <w:p w14:paraId="00000796"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Industry supply and demand</w:t>
            </w:r>
          </w:p>
        </w:tc>
        <w:tc>
          <w:tcPr>
            <w:tcW w:w="1290" w:type="dxa"/>
          </w:tcPr>
          <w:p w14:paraId="00000797"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Stats SA</w:t>
            </w:r>
          </w:p>
        </w:tc>
        <w:tc>
          <w:tcPr>
            <w:tcW w:w="1434" w:type="dxa"/>
          </w:tcPr>
          <w:p w14:paraId="00000798"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SIC (industries),</w:t>
            </w:r>
          </w:p>
          <w:p w14:paraId="00000799"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CPC (products)</w:t>
            </w:r>
          </w:p>
        </w:tc>
      </w:tr>
      <w:tr w:rsidR="00F8269C" w14:paraId="36EC03DF" w14:textId="77777777" w:rsidTr="00F826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8" w:type="dxa"/>
          </w:tcPr>
          <w:p w14:paraId="0000079A" w14:textId="77777777" w:rsidR="00F8269C" w:rsidRDefault="00450D2D">
            <w:pPr>
              <w:rPr>
                <w:sz w:val="18"/>
                <w:szCs w:val="18"/>
              </w:rPr>
            </w:pPr>
            <w:r>
              <w:rPr>
                <w:sz w:val="18"/>
                <w:szCs w:val="18"/>
              </w:rPr>
              <w:t>Quarterly employment statistics</w:t>
            </w:r>
          </w:p>
        </w:tc>
        <w:tc>
          <w:tcPr>
            <w:tcW w:w="1528" w:type="dxa"/>
          </w:tcPr>
          <w:p w14:paraId="0000079B"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20 000 formal non-agricultural business</w:t>
            </w:r>
          </w:p>
        </w:tc>
        <w:tc>
          <w:tcPr>
            <w:tcW w:w="1395" w:type="dxa"/>
          </w:tcPr>
          <w:p w14:paraId="0000079C"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Quarterly</w:t>
            </w:r>
          </w:p>
        </w:tc>
        <w:tc>
          <w:tcPr>
            <w:tcW w:w="1417" w:type="dxa"/>
          </w:tcPr>
          <w:p w14:paraId="0000079D" w14:textId="77777777" w:rsidR="00F8269C" w:rsidRDefault="00F8269C">
            <w:pPr>
              <w:cnfStyle w:val="000000100000" w:firstRow="0" w:lastRow="0" w:firstColumn="0" w:lastColumn="0" w:oddVBand="0" w:evenVBand="0" w:oddHBand="1" w:evenHBand="0" w:firstRowFirstColumn="0" w:firstRowLastColumn="0" w:lastRowFirstColumn="0" w:lastRowLastColumn="0"/>
              <w:rPr>
                <w:sz w:val="18"/>
                <w:szCs w:val="18"/>
              </w:rPr>
            </w:pPr>
          </w:p>
        </w:tc>
        <w:tc>
          <w:tcPr>
            <w:tcW w:w="1290" w:type="dxa"/>
          </w:tcPr>
          <w:p w14:paraId="0000079E"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Stats SA</w:t>
            </w:r>
          </w:p>
        </w:tc>
        <w:tc>
          <w:tcPr>
            <w:tcW w:w="1434" w:type="dxa"/>
          </w:tcPr>
          <w:p w14:paraId="0000079F"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SIC</w:t>
            </w:r>
          </w:p>
        </w:tc>
      </w:tr>
      <w:tr w:rsidR="00F8269C" w14:paraId="175D5C01" w14:textId="77777777" w:rsidTr="00F8269C">
        <w:trPr>
          <w:trHeight w:val="768"/>
        </w:trPr>
        <w:tc>
          <w:tcPr>
            <w:cnfStyle w:val="001000000000" w:firstRow="0" w:lastRow="0" w:firstColumn="1" w:lastColumn="0" w:oddVBand="0" w:evenVBand="0" w:oddHBand="0" w:evenHBand="0" w:firstRowFirstColumn="0" w:firstRowLastColumn="0" w:lastRowFirstColumn="0" w:lastRowLastColumn="0"/>
            <w:tcW w:w="2258" w:type="dxa"/>
          </w:tcPr>
          <w:p w14:paraId="000007A0" w14:textId="77777777" w:rsidR="00F8269C" w:rsidRDefault="00450D2D">
            <w:pPr>
              <w:rPr>
                <w:sz w:val="18"/>
                <w:szCs w:val="18"/>
              </w:rPr>
            </w:pPr>
            <w:r>
              <w:rPr>
                <w:sz w:val="18"/>
                <w:szCs w:val="18"/>
              </w:rPr>
              <w:t>Volunteer Activity Survey</w:t>
            </w:r>
          </w:p>
        </w:tc>
        <w:tc>
          <w:tcPr>
            <w:tcW w:w="1528" w:type="dxa"/>
          </w:tcPr>
          <w:p w14:paraId="000007A1"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Approximately 2 909 individuals</w:t>
            </w:r>
          </w:p>
        </w:tc>
        <w:tc>
          <w:tcPr>
            <w:tcW w:w="1395" w:type="dxa"/>
          </w:tcPr>
          <w:p w14:paraId="000007A2"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Periodically</w:t>
            </w:r>
          </w:p>
        </w:tc>
        <w:tc>
          <w:tcPr>
            <w:tcW w:w="1417" w:type="dxa"/>
          </w:tcPr>
          <w:p w14:paraId="000007A3"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Supply</w:t>
            </w:r>
          </w:p>
        </w:tc>
        <w:tc>
          <w:tcPr>
            <w:tcW w:w="1290" w:type="dxa"/>
          </w:tcPr>
          <w:p w14:paraId="000007A4"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Stats SA</w:t>
            </w:r>
          </w:p>
        </w:tc>
        <w:tc>
          <w:tcPr>
            <w:tcW w:w="1434" w:type="dxa"/>
          </w:tcPr>
          <w:p w14:paraId="000007A5"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F8269C" w14:paraId="739F4B9B" w14:textId="77777777" w:rsidTr="00DD2587">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2258" w:type="dxa"/>
          </w:tcPr>
          <w:p w14:paraId="000007A6" w14:textId="77777777" w:rsidR="00F8269C" w:rsidRDefault="00450D2D">
            <w:pPr>
              <w:rPr>
                <w:sz w:val="18"/>
                <w:szCs w:val="18"/>
              </w:rPr>
            </w:pPr>
            <w:r>
              <w:rPr>
                <w:sz w:val="18"/>
                <w:szCs w:val="18"/>
              </w:rPr>
              <w:t>Financial statistics of consolidated general government</w:t>
            </w:r>
          </w:p>
        </w:tc>
        <w:tc>
          <w:tcPr>
            <w:tcW w:w="1528" w:type="dxa"/>
          </w:tcPr>
          <w:p w14:paraId="000007A7"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w:t>
            </w:r>
          </w:p>
        </w:tc>
        <w:tc>
          <w:tcPr>
            <w:tcW w:w="1395" w:type="dxa"/>
          </w:tcPr>
          <w:p w14:paraId="000007A8"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Annually</w:t>
            </w:r>
          </w:p>
        </w:tc>
        <w:tc>
          <w:tcPr>
            <w:tcW w:w="1417" w:type="dxa"/>
          </w:tcPr>
          <w:p w14:paraId="000007A9"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Supply</w:t>
            </w:r>
          </w:p>
        </w:tc>
        <w:tc>
          <w:tcPr>
            <w:tcW w:w="1290" w:type="dxa"/>
          </w:tcPr>
          <w:p w14:paraId="000007AA"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Stats SA</w:t>
            </w:r>
          </w:p>
        </w:tc>
        <w:tc>
          <w:tcPr>
            <w:tcW w:w="1434" w:type="dxa"/>
          </w:tcPr>
          <w:p w14:paraId="000007AB"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w:t>
            </w:r>
          </w:p>
        </w:tc>
      </w:tr>
      <w:tr w:rsidR="00F8269C" w14:paraId="412470D2" w14:textId="77777777" w:rsidTr="00F8269C">
        <w:tc>
          <w:tcPr>
            <w:cnfStyle w:val="001000000000" w:firstRow="0" w:lastRow="0" w:firstColumn="1" w:lastColumn="0" w:oddVBand="0" w:evenVBand="0" w:oddHBand="0" w:evenHBand="0" w:firstRowFirstColumn="0" w:firstRowLastColumn="0" w:lastRowFirstColumn="0" w:lastRowLastColumn="0"/>
            <w:tcW w:w="2258" w:type="dxa"/>
          </w:tcPr>
          <w:p w14:paraId="000007AC" w14:textId="77777777" w:rsidR="00F8269C" w:rsidRDefault="00450D2D">
            <w:pPr>
              <w:rPr>
                <w:sz w:val="18"/>
                <w:szCs w:val="18"/>
              </w:rPr>
            </w:pPr>
            <w:r>
              <w:rPr>
                <w:sz w:val="18"/>
                <w:szCs w:val="18"/>
              </w:rPr>
              <w:t>National Treasury, Budget Vote data</w:t>
            </w:r>
          </w:p>
        </w:tc>
        <w:tc>
          <w:tcPr>
            <w:tcW w:w="1528" w:type="dxa"/>
          </w:tcPr>
          <w:p w14:paraId="000007AD"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Budgeted and actual expenditure data</w:t>
            </w:r>
          </w:p>
        </w:tc>
        <w:tc>
          <w:tcPr>
            <w:tcW w:w="1395" w:type="dxa"/>
          </w:tcPr>
          <w:p w14:paraId="000007AE"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Annually</w:t>
            </w:r>
          </w:p>
        </w:tc>
        <w:tc>
          <w:tcPr>
            <w:tcW w:w="1417" w:type="dxa"/>
          </w:tcPr>
          <w:p w14:paraId="000007AF"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Supply</w:t>
            </w:r>
          </w:p>
        </w:tc>
        <w:tc>
          <w:tcPr>
            <w:tcW w:w="1290" w:type="dxa"/>
          </w:tcPr>
          <w:p w14:paraId="000007B0"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National Treasury</w:t>
            </w:r>
          </w:p>
        </w:tc>
        <w:tc>
          <w:tcPr>
            <w:tcW w:w="1434" w:type="dxa"/>
          </w:tcPr>
          <w:p w14:paraId="000007B1" w14:textId="77777777" w:rsidR="00F8269C" w:rsidRDefault="00450D2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F8269C" w14:paraId="2E08F757" w14:textId="77777777" w:rsidTr="00F826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8" w:type="dxa"/>
          </w:tcPr>
          <w:p w14:paraId="000007B2" w14:textId="77777777" w:rsidR="00F8269C" w:rsidRDefault="00450D2D">
            <w:pPr>
              <w:rPr>
                <w:sz w:val="18"/>
                <w:szCs w:val="18"/>
              </w:rPr>
            </w:pPr>
            <w:r>
              <w:rPr>
                <w:sz w:val="18"/>
                <w:szCs w:val="18"/>
              </w:rPr>
              <w:t>Trade data</w:t>
            </w:r>
          </w:p>
        </w:tc>
        <w:tc>
          <w:tcPr>
            <w:tcW w:w="1528" w:type="dxa"/>
          </w:tcPr>
          <w:p w14:paraId="000007B3"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Approximately 5300 at six-digit level</w:t>
            </w:r>
          </w:p>
        </w:tc>
        <w:tc>
          <w:tcPr>
            <w:tcW w:w="1395" w:type="dxa"/>
          </w:tcPr>
          <w:p w14:paraId="000007B4"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Monthly</w:t>
            </w:r>
          </w:p>
        </w:tc>
        <w:tc>
          <w:tcPr>
            <w:tcW w:w="1417" w:type="dxa"/>
          </w:tcPr>
          <w:p w14:paraId="000007B5"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Import (demand)</w:t>
            </w:r>
          </w:p>
          <w:p w14:paraId="000007B6"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Export (supply)</w:t>
            </w:r>
          </w:p>
        </w:tc>
        <w:tc>
          <w:tcPr>
            <w:tcW w:w="1290" w:type="dxa"/>
          </w:tcPr>
          <w:p w14:paraId="000007B7"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SARS</w:t>
            </w:r>
          </w:p>
        </w:tc>
        <w:tc>
          <w:tcPr>
            <w:tcW w:w="1434" w:type="dxa"/>
          </w:tcPr>
          <w:p w14:paraId="000007B8" w14:textId="77777777" w:rsidR="00F8269C" w:rsidRDefault="00450D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HS</w:t>
            </w:r>
          </w:p>
        </w:tc>
      </w:tr>
    </w:tbl>
    <w:p w14:paraId="000007B9" w14:textId="77777777" w:rsidR="00F8269C" w:rsidRDefault="00F8269C" w:rsidP="009D3DA2">
      <w:pPr>
        <w:spacing w:after="120" w:line="276" w:lineRule="auto"/>
        <w:rPr>
          <w:rFonts w:ascii="Palatino Linotype" w:eastAsia="Palatino Linotype" w:hAnsi="Palatino Linotype" w:cs="Palatino Linotype"/>
        </w:rPr>
      </w:pPr>
    </w:p>
    <w:p w14:paraId="000007BA" w14:textId="77777777" w:rsidR="00F8269C" w:rsidRDefault="00450D2D">
      <w:pPr>
        <w:keepNext/>
        <w:keepLines/>
        <w:spacing w:before="40" w:after="0" w:line="240" w:lineRule="auto"/>
        <w:jc w:val="both"/>
        <w:rPr>
          <w:rFonts w:ascii="Calibri" w:eastAsia="Calibri" w:hAnsi="Calibri" w:cs="Calibri"/>
          <w:i/>
          <w:color w:val="2F5496"/>
        </w:rPr>
      </w:pPr>
      <w:bookmarkStart w:id="581" w:name="_heading=h.1opuj5n" w:colFirst="0" w:colLast="0"/>
      <w:bookmarkEnd w:id="581"/>
      <w:r>
        <w:rPr>
          <w:rFonts w:ascii="Calibri" w:eastAsia="Calibri" w:hAnsi="Calibri" w:cs="Calibri"/>
          <w:i/>
          <w:color w:val="2F5496"/>
        </w:rPr>
        <w:t>Large Sample Surveys</w:t>
      </w:r>
    </w:p>
    <w:p w14:paraId="000007BB" w14:textId="7289EA3A" w:rsidR="00F8269C" w:rsidRDefault="00450D2D" w:rsidP="009D3DA2">
      <w:pPr>
        <w:jc w:val="both"/>
      </w:pPr>
      <w:r>
        <w:t>The large sample surveys are periodic surveys done by Stats</w:t>
      </w:r>
      <w:r w:rsidR="003649AD">
        <w:t> </w:t>
      </w:r>
      <w:r>
        <w:t xml:space="preserve">SA. The personal services industry survey covers Divisions 92 (Educational services) to Division 99 (Other service activities). Division 96 covers recreational, cultural and sporting activities. The sample for the surveys is drawn from Stats SA’s Business Register that is based on units registered for </w:t>
      </w:r>
      <w:r w:rsidR="002A7DDB">
        <w:t>VAT</w:t>
      </w:r>
      <w:r>
        <w:t xml:space="preserve"> and income tax (IT) at SARS. Results from these surveys are sued for compiling SA’s National Accounts including GDP and gross fixed capital formation. The 1993 edition of the Standard Industrial Classification of all Economic Activities (SIC), Fifth Edition, is used to classify the statistical units in these surveys. The SIC is based on the 1990 </w:t>
      </w:r>
      <w:r>
        <w:lastRenderedPageBreak/>
        <w:t>International Standard Industrial Classification of All Economic Activities (ISIC) with suitable adaptations for local conditions</w:t>
      </w:r>
      <w:r>
        <w:rPr>
          <w:vertAlign w:val="superscript"/>
        </w:rPr>
        <w:footnoteReference w:id="15"/>
      </w:r>
      <w:r>
        <w:t>.</w:t>
      </w:r>
    </w:p>
    <w:p w14:paraId="000007BC" w14:textId="77777777" w:rsidR="00F8269C" w:rsidRDefault="00450D2D">
      <w:pPr>
        <w:keepNext/>
        <w:keepLines/>
        <w:spacing w:before="40" w:after="0" w:line="240" w:lineRule="auto"/>
        <w:jc w:val="both"/>
        <w:rPr>
          <w:rFonts w:ascii="Calibri" w:eastAsia="Calibri" w:hAnsi="Calibri" w:cs="Calibri"/>
          <w:i/>
          <w:color w:val="2F5496"/>
        </w:rPr>
      </w:pPr>
      <w:bookmarkStart w:id="582" w:name="_heading=h.48pi1tg" w:colFirst="0" w:colLast="0"/>
      <w:bookmarkEnd w:id="582"/>
      <w:r>
        <w:rPr>
          <w:rFonts w:ascii="Calibri" w:eastAsia="Calibri" w:hAnsi="Calibri" w:cs="Calibri"/>
          <w:i/>
          <w:color w:val="2F5496"/>
        </w:rPr>
        <w:t>Income and Expenditure of Households Survey and Living Conditions Survey</w:t>
      </w:r>
    </w:p>
    <w:p w14:paraId="000007BD" w14:textId="2B85AEDB" w:rsidR="00F8269C" w:rsidRDefault="00450D2D" w:rsidP="009D3DA2">
      <w:pPr>
        <w:jc w:val="both"/>
      </w:pPr>
      <w:r>
        <w:t>The Income and Expenditure</w:t>
      </w:r>
      <w:r>
        <w:rPr>
          <w:vertAlign w:val="superscript"/>
        </w:rPr>
        <w:footnoteReference w:id="16"/>
      </w:r>
      <w:r>
        <w:t xml:space="preserve"> Survey and Living Conditions Survey provides household income information and household expenditure (demand). These survey data are collected by Stats</w:t>
      </w:r>
      <w:r w:rsidR="003649AD">
        <w:t> </w:t>
      </w:r>
      <w:r>
        <w:t>SA using the Classification of Individual Consumption According to Purpose (COICOP). The 2010/11 IES has a sample size of 31 419 dwelling units. The 2005/06 IES has a sample size of 22 617 dwelling units that were covered during the 12 months of data collection. The COICOP for the 2010/11 IES covered 755 consumption categories, 36 in-kind consumption categories, and 15 non-CPI consumption categories. It also covers income, in-kind income, savings taxes, transfers, and debts. Typical items that can be considered include:</w:t>
      </w:r>
    </w:p>
    <w:p w14:paraId="000007BE" w14:textId="77777777" w:rsidR="00F8269C" w:rsidRDefault="00450D2D">
      <w:pPr>
        <w:numPr>
          <w:ilvl w:val="0"/>
          <w:numId w:val="17"/>
        </w:numPr>
        <w:spacing w:after="0"/>
      </w:pPr>
      <w:r>
        <w:t>Traditional herbs, medicine in private sector (06111210);</w:t>
      </w:r>
    </w:p>
    <w:p w14:paraId="000007BF" w14:textId="77777777" w:rsidR="00F8269C" w:rsidRDefault="00450D2D">
      <w:pPr>
        <w:numPr>
          <w:ilvl w:val="0"/>
          <w:numId w:val="17"/>
        </w:numPr>
        <w:spacing w:after="0"/>
      </w:pPr>
      <w:r>
        <w:t>Traditional herbs, medicine in public sector (06111211);</w:t>
      </w:r>
    </w:p>
    <w:p w14:paraId="000007C0" w14:textId="77777777" w:rsidR="00F8269C" w:rsidRDefault="00450D2D">
      <w:pPr>
        <w:numPr>
          <w:ilvl w:val="0"/>
          <w:numId w:val="17"/>
        </w:numPr>
        <w:spacing w:after="0"/>
      </w:pPr>
      <w:r>
        <w:t>Cinema, theatres, concerts, festivals (09421000);</w:t>
      </w:r>
    </w:p>
    <w:p w14:paraId="000007C1" w14:textId="77777777" w:rsidR="00F8269C" w:rsidRDefault="00450D2D">
      <w:pPr>
        <w:numPr>
          <w:ilvl w:val="0"/>
          <w:numId w:val="17"/>
        </w:numPr>
        <w:spacing w:after="0"/>
      </w:pPr>
      <w:r>
        <w:t>Museums and zoos etc (09422100);</w:t>
      </w:r>
    </w:p>
    <w:p w14:paraId="000007C2" w14:textId="77777777" w:rsidR="00F8269C" w:rsidRDefault="00450D2D">
      <w:pPr>
        <w:numPr>
          <w:ilvl w:val="0"/>
          <w:numId w:val="17"/>
        </w:numPr>
        <w:spacing w:after="0"/>
      </w:pPr>
      <w:r>
        <w:t>Film development and photo prints (09424300);</w:t>
      </w:r>
    </w:p>
    <w:p w14:paraId="000007C3" w14:textId="77777777" w:rsidR="00F8269C" w:rsidRDefault="00450D2D">
      <w:pPr>
        <w:numPr>
          <w:ilvl w:val="0"/>
          <w:numId w:val="17"/>
        </w:numPr>
        <w:spacing w:after="0"/>
      </w:pPr>
      <w:r>
        <w:t>Textbooks for public institutions (09511100);</w:t>
      </w:r>
    </w:p>
    <w:p w14:paraId="000007C4" w14:textId="77777777" w:rsidR="00F8269C" w:rsidRDefault="00450D2D">
      <w:pPr>
        <w:numPr>
          <w:ilvl w:val="0"/>
          <w:numId w:val="17"/>
        </w:numPr>
        <w:spacing w:after="0"/>
      </w:pPr>
      <w:r>
        <w:t>Textbooks for private institutions (09511101);</w:t>
      </w:r>
    </w:p>
    <w:p w14:paraId="000007C5" w14:textId="77777777" w:rsidR="00F8269C" w:rsidRDefault="00450D2D">
      <w:pPr>
        <w:numPr>
          <w:ilvl w:val="0"/>
          <w:numId w:val="17"/>
        </w:numPr>
        <w:spacing w:after="0"/>
      </w:pPr>
      <w:r>
        <w:t>Books (excluding those in 1614) (09511200);</w:t>
      </w:r>
    </w:p>
    <w:p w14:paraId="000007C6" w14:textId="77777777" w:rsidR="00F8269C" w:rsidRDefault="00450D2D">
      <w:pPr>
        <w:numPr>
          <w:ilvl w:val="0"/>
          <w:numId w:val="17"/>
        </w:numPr>
        <w:spacing w:after="0"/>
      </w:pPr>
      <w:r>
        <w:t>Newspapers - daily weekly (09521100);</w:t>
      </w:r>
    </w:p>
    <w:p w14:paraId="000007C7" w14:textId="77777777" w:rsidR="00F8269C" w:rsidRDefault="00450D2D">
      <w:pPr>
        <w:numPr>
          <w:ilvl w:val="0"/>
          <w:numId w:val="17"/>
        </w:numPr>
        <w:spacing w:after="0"/>
      </w:pPr>
      <w:r>
        <w:t>Magazines and periodicals (09521200); and</w:t>
      </w:r>
    </w:p>
    <w:p w14:paraId="000007C8" w14:textId="77777777" w:rsidR="00F8269C" w:rsidRDefault="00450D2D" w:rsidP="009D3DA2">
      <w:pPr>
        <w:numPr>
          <w:ilvl w:val="0"/>
          <w:numId w:val="17"/>
        </w:numPr>
        <w:ind w:left="714" w:hanging="357"/>
      </w:pPr>
      <w:r>
        <w:t>Sorghum beer (traditional) from a food service place (11111333).</w:t>
      </w:r>
    </w:p>
    <w:p w14:paraId="000007C9" w14:textId="77777777" w:rsidR="00F8269C" w:rsidRDefault="00450D2D">
      <w:pPr>
        <w:keepNext/>
        <w:keepLines/>
        <w:spacing w:after="0" w:line="240" w:lineRule="auto"/>
        <w:jc w:val="both"/>
        <w:rPr>
          <w:rFonts w:ascii="Calibri" w:eastAsia="Calibri" w:hAnsi="Calibri" w:cs="Calibri"/>
          <w:i/>
          <w:color w:val="2F5496"/>
        </w:rPr>
      </w:pPr>
      <w:bookmarkStart w:id="583" w:name="_heading=h.2nusc19" w:colFirst="0" w:colLast="0"/>
      <w:bookmarkEnd w:id="583"/>
      <w:r>
        <w:rPr>
          <w:rFonts w:ascii="Calibri" w:eastAsia="Calibri" w:hAnsi="Calibri" w:cs="Calibri"/>
          <w:i/>
          <w:color w:val="2F5496"/>
        </w:rPr>
        <w:t>Living Conditions of Households</w:t>
      </w:r>
    </w:p>
    <w:p w14:paraId="000007CA" w14:textId="1B277F4C" w:rsidR="00F8269C" w:rsidRDefault="00450D2D" w:rsidP="009D3DA2">
      <w:pPr>
        <w:jc w:val="both"/>
      </w:pPr>
      <w:r>
        <w:t>Stats</w:t>
      </w:r>
      <w:r w:rsidR="003649AD">
        <w:t> </w:t>
      </w:r>
      <w:r>
        <w:t xml:space="preserve">SA conducts the Living Conditions of Households Survey that aims to provide data that will contribute to </w:t>
      </w:r>
      <w:r w:rsidR="002772A2">
        <w:t xml:space="preserve">a </w:t>
      </w:r>
      <w:r>
        <w:t>better understanding of living conditions and poverty in South Africa. Data for the 2008/2009 survey (Stats</w:t>
      </w:r>
      <w:r w:rsidR="003649AD">
        <w:t> </w:t>
      </w:r>
      <w:r>
        <w:t>SA, 2011) was collected from 25 075 households across the country over a period of 12 months using a combination of the diary and recall methods. Data is collected using the COICOP classification.</w:t>
      </w:r>
    </w:p>
    <w:p w14:paraId="000007CB" w14:textId="77777777" w:rsidR="00F8269C" w:rsidRDefault="00450D2D" w:rsidP="002772A2">
      <w:pPr>
        <w:keepNext/>
        <w:keepLines/>
        <w:spacing w:before="40" w:after="0" w:line="240" w:lineRule="auto"/>
        <w:jc w:val="both"/>
        <w:rPr>
          <w:rFonts w:ascii="Calibri" w:eastAsia="Calibri" w:hAnsi="Calibri" w:cs="Calibri"/>
          <w:i/>
          <w:color w:val="2F5496"/>
        </w:rPr>
      </w:pPr>
      <w:bookmarkStart w:id="584" w:name="_heading=h.1302m92" w:colFirst="0" w:colLast="0"/>
      <w:bookmarkEnd w:id="584"/>
      <w:r>
        <w:rPr>
          <w:rFonts w:ascii="Calibri" w:eastAsia="Calibri" w:hAnsi="Calibri" w:cs="Calibri"/>
          <w:i/>
          <w:color w:val="2F5496"/>
        </w:rPr>
        <w:t>The General Household Survey (GHS)</w:t>
      </w:r>
    </w:p>
    <w:p w14:paraId="000007CC" w14:textId="6F58F08E" w:rsidR="00F8269C" w:rsidRDefault="00450D2D" w:rsidP="009D3DA2">
      <w:pPr>
        <w:jc w:val="both"/>
      </w:pPr>
      <w:r>
        <w:t>The GHS presents the results of the survey conducted annually by Stats</w:t>
      </w:r>
      <w:r w:rsidR="003649AD">
        <w:t> </w:t>
      </w:r>
      <w:r>
        <w:t>SA since 2002 of South African households. The survey collects information on a variety of subjects including education, health, the labour market, dwellings, access to services and facilities, transport, and quality of life. The survey replaced the October Household Survey which was introduced in 1993 and was terminated in 1999.</w:t>
      </w:r>
    </w:p>
    <w:p w14:paraId="000007CD" w14:textId="60B60F85" w:rsidR="00F8269C" w:rsidRDefault="002D44CB" w:rsidP="002772A2">
      <w:pPr>
        <w:keepNext/>
        <w:keepLines/>
        <w:spacing w:before="40" w:after="0" w:line="240" w:lineRule="auto"/>
        <w:jc w:val="both"/>
        <w:rPr>
          <w:rFonts w:ascii="Calibri" w:eastAsia="Calibri" w:hAnsi="Calibri" w:cs="Calibri"/>
          <w:i/>
          <w:color w:val="2F5496"/>
        </w:rPr>
      </w:pPr>
      <w:bookmarkStart w:id="585" w:name="_heading=h.3mzq4wv" w:colFirst="0" w:colLast="0"/>
      <w:bookmarkEnd w:id="585"/>
      <w:r>
        <w:rPr>
          <w:rFonts w:ascii="Calibri" w:eastAsia="Calibri" w:hAnsi="Calibri" w:cs="Calibri"/>
          <w:i/>
          <w:color w:val="2F5496"/>
        </w:rPr>
        <w:t>Quarterly Labour Force Survey (</w:t>
      </w:r>
      <w:r w:rsidR="00450D2D">
        <w:rPr>
          <w:rFonts w:ascii="Calibri" w:eastAsia="Calibri" w:hAnsi="Calibri" w:cs="Calibri"/>
          <w:i/>
          <w:color w:val="2F5496"/>
        </w:rPr>
        <w:t>QLFS</w:t>
      </w:r>
      <w:r>
        <w:rPr>
          <w:rFonts w:ascii="Calibri" w:eastAsia="Calibri" w:hAnsi="Calibri" w:cs="Calibri"/>
          <w:i/>
          <w:color w:val="2F5496"/>
        </w:rPr>
        <w:t>)</w:t>
      </w:r>
    </w:p>
    <w:p w14:paraId="000007CE" w14:textId="78A13961" w:rsidR="00F8269C" w:rsidRDefault="00450D2D" w:rsidP="009D3DA2">
      <w:pPr>
        <w:jc w:val="both"/>
      </w:pPr>
      <w:r>
        <w:t>The QLFS is a household-based sample survey conducted by Stats SA. It collects data on the labour market activities of individuals aged 15 years and above who live in South Africa. The survey sample is of approximately 30 000 dwellings in which households reside. This data can provide insight into employment (Stats</w:t>
      </w:r>
      <w:r w:rsidR="003649AD">
        <w:t> </w:t>
      </w:r>
      <w:r>
        <w:t>SA, 2016</w:t>
      </w:r>
      <w:r w:rsidR="00B77B6B">
        <w:t> a</w:t>
      </w:r>
      <w:r>
        <w:t>). Typical industries that can be considered include for example:</w:t>
      </w:r>
    </w:p>
    <w:p w14:paraId="000007CF" w14:textId="77777777" w:rsidR="00F8269C" w:rsidRDefault="00450D2D" w:rsidP="009D3DA2">
      <w:pPr>
        <w:numPr>
          <w:ilvl w:val="0"/>
          <w:numId w:val="17"/>
        </w:numPr>
        <w:spacing w:after="0"/>
        <w:jc w:val="both"/>
      </w:pPr>
      <w:r>
        <w:t>Motion picture, radio, television and other entertainment activities</w:t>
      </w:r>
    </w:p>
    <w:p w14:paraId="000007D0" w14:textId="77777777" w:rsidR="00F8269C" w:rsidRDefault="00450D2D" w:rsidP="009D3DA2">
      <w:pPr>
        <w:numPr>
          <w:ilvl w:val="0"/>
          <w:numId w:val="17"/>
        </w:numPr>
        <w:spacing w:after="0"/>
        <w:jc w:val="both"/>
      </w:pPr>
      <w:r>
        <w:t>Library, archives, museums and other cultural activities</w:t>
      </w:r>
    </w:p>
    <w:p w14:paraId="000007D1" w14:textId="77777777" w:rsidR="00F8269C" w:rsidRDefault="00450D2D" w:rsidP="009D3DA2">
      <w:pPr>
        <w:numPr>
          <w:ilvl w:val="0"/>
          <w:numId w:val="17"/>
        </w:numPr>
        <w:ind w:left="714" w:hanging="357"/>
        <w:jc w:val="both"/>
      </w:pPr>
      <w:r>
        <w:t>Sporting and other recreational activities</w:t>
      </w:r>
    </w:p>
    <w:p w14:paraId="000007D2" w14:textId="6C002405" w:rsidR="00F8269C" w:rsidRDefault="00450D2D" w:rsidP="002772A2">
      <w:pPr>
        <w:keepNext/>
        <w:keepLines/>
        <w:spacing w:after="0" w:line="240" w:lineRule="auto"/>
        <w:jc w:val="both"/>
        <w:rPr>
          <w:rFonts w:ascii="Calibri" w:eastAsia="Calibri" w:hAnsi="Calibri" w:cs="Calibri"/>
          <w:i/>
          <w:color w:val="2F5496"/>
        </w:rPr>
      </w:pPr>
      <w:bookmarkStart w:id="586" w:name="_heading=h.2250f4o" w:colFirst="0" w:colLast="0"/>
      <w:bookmarkEnd w:id="586"/>
      <w:r>
        <w:rPr>
          <w:rFonts w:ascii="Calibri" w:eastAsia="Calibri" w:hAnsi="Calibri" w:cs="Calibri"/>
          <w:i/>
          <w:color w:val="2F5496"/>
        </w:rPr>
        <w:t>T</w:t>
      </w:r>
      <w:r w:rsidR="0016096E">
        <w:rPr>
          <w:rFonts w:ascii="Calibri" w:eastAsia="Calibri" w:hAnsi="Calibri" w:cs="Calibri"/>
          <w:i/>
          <w:color w:val="2F5496"/>
        </w:rPr>
        <w:t>ourism Satellite Account</w:t>
      </w:r>
    </w:p>
    <w:p w14:paraId="000007D3" w14:textId="30F42BBD" w:rsidR="00F8269C" w:rsidRDefault="00450D2D" w:rsidP="009D3DA2">
      <w:pPr>
        <w:jc w:val="both"/>
      </w:pPr>
      <w:r>
        <w:t>The TSA (Stats</w:t>
      </w:r>
      <w:r w:rsidR="003649AD">
        <w:t> </w:t>
      </w:r>
      <w:r>
        <w:t>SA, 2016b) quantify cultural services as one of its “characteristics products”</w:t>
      </w:r>
      <w:r w:rsidR="00EE7F46">
        <w:t>.</w:t>
      </w:r>
      <w:r>
        <w:t xml:space="preserve"> This is expressed in terms of domestic demand, international demand (exports), total domestic supply and </w:t>
      </w:r>
      <w:r>
        <w:lastRenderedPageBreak/>
        <w:t>tourism spending abroad (imports). The first five digits correspond to the CPC</w:t>
      </w:r>
      <w:r>
        <w:rPr>
          <w:vertAlign w:val="superscript"/>
        </w:rPr>
        <w:footnoteReference w:id="17"/>
      </w:r>
      <w:r>
        <w:t>, Version 2.0 code, and the sixth digit is used exclusively for the TSA. Cultural services include:</w:t>
      </w:r>
    </w:p>
    <w:p w14:paraId="000007D4" w14:textId="77777777" w:rsidR="00F8269C" w:rsidRDefault="00450D2D">
      <w:pPr>
        <w:numPr>
          <w:ilvl w:val="0"/>
          <w:numId w:val="17"/>
        </w:numPr>
        <w:spacing w:after="0"/>
      </w:pPr>
      <w:r>
        <w:t>Performing arts</w:t>
      </w:r>
    </w:p>
    <w:p w14:paraId="000007D5" w14:textId="77777777" w:rsidR="00F8269C" w:rsidRDefault="00450D2D">
      <w:pPr>
        <w:numPr>
          <w:ilvl w:val="0"/>
          <w:numId w:val="17"/>
        </w:numPr>
        <w:spacing w:after="0"/>
      </w:pPr>
      <w:r>
        <w:t>Performing arts facility operation services (96230.0)</w:t>
      </w:r>
    </w:p>
    <w:p w14:paraId="000007D6" w14:textId="77777777" w:rsidR="00F8269C" w:rsidRDefault="00450D2D">
      <w:pPr>
        <w:numPr>
          <w:ilvl w:val="0"/>
          <w:numId w:val="17"/>
        </w:numPr>
        <w:spacing w:after="0"/>
      </w:pPr>
      <w:r>
        <w:t>Services of performing artists (96310.0)</w:t>
      </w:r>
    </w:p>
    <w:p w14:paraId="000007D7" w14:textId="77777777" w:rsidR="00F8269C" w:rsidRDefault="00450D2D">
      <w:pPr>
        <w:numPr>
          <w:ilvl w:val="0"/>
          <w:numId w:val="17"/>
        </w:numPr>
        <w:spacing w:after="0"/>
      </w:pPr>
      <w:r>
        <w:t>Museum and other cultural services</w:t>
      </w:r>
    </w:p>
    <w:p w14:paraId="000007D8" w14:textId="77777777" w:rsidR="00F8269C" w:rsidRDefault="00450D2D">
      <w:pPr>
        <w:numPr>
          <w:ilvl w:val="0"/>
          <w:numId w:val="17"/>
        </w:numPr>
        <w:spacing w:after="0"/>
      </w:pPr>
      <w:r>
        <w:t>Museum services except for historical sites and buildings (96411.0)</w:t>
      </w:r>
    </w:p>
    <w:p w14:paraId="000007D9" w14:textId="77777777" w:rsidR="00F8269C" w:rsidRDefault="00450D2D">
      <w:pPr>
        <w:numPr>
          <w:ilvl w:val="0"/>
          <w:numId w:val="17"/>
        </w:numPr>
        <w:spacing w:after="0"/>
      </w:pPr>
      <w:r>
        <w:t>Preservation services of historical sites and buildings (96412.0)</w:t>
      </w:r>
    </w:p>
    <w:p w14:paraId="000007DA" w14:textId="77777777" w:rsidR="00F8269C" w:rsidRDefault="00450D2D">
      <w:pPr>
        <w:numPr>
          <w:ilvl w:val="0"/>
          <w:numId w:val="17"/>
        </w:numPr>
        <w:spacing w:after="0"/>
      </w:pPr>
      <w:r>
        <w:t>Botanical and zoological garden services (96421.0)</w:t>
      </w:r>
    </w:p>
    <w:p w14:paraId="000007DB" w14:textId="77777777" w:rsidR="00F8269C" w:rsidRDefault="00450D2D" w:rsidP="009D3DA2">
      <w:pPr>
        <w:numPr>
          <w:ilvl w:val="0"/>
          <w:numId w:val="17"/>
        </w:numPr>
        <w:ind w:left="714" w:hanging="357"/>
      </w:pPr>
      <w:r>
        <w:t>Nature reserve services including wildlife preservation services (96422.0)</w:t>
      </w:r>
    </w:p>
    <w:p w14:paraId="000007DC" w14:textId="2AE22A74" w:rsidR="00F8269C" w:rsidRDefault="00450D2D">
      <w:pPr>
        <w:keepNext/>
        <w:keepLines/>
        <w:spacing w:after="0" w:line="240" w:lineRule="auto"/>
        <w:jc w:val="both"/>
        <w:rPr>
          <w:rFonts w:ascii="Calibri" w:eastAsia="Calibri" w:hAnsi="Calibri" w:cs="Calibri"/>
          <w:i/>
          <w:color w:val="2F5496"/>
        </w:rPr>
      </w:pPr>
      <w:bookmarkStart w:id="587" w:name="_heading=h.haapch" w:colFirst="0" w:colLast="0"/>
      <w:bookmarkEnd w:id="587"/>
      <w:r>
        <w:rPr>
          <w:rFonts w:ascii="Calibri" w:eastAsia="Calibri" w:hAnsi="Calibri" w:cs="Calibri"/>
          <w:i/>
          <w:color w:val="2F5496"/>
        </w:rPr>
        <w:t>Volunteer Activity Survey</w:t>
      </w:r>
      <w:r w:rsidR="00EE7F46">
        <w:rPr>
          <w:rFonts w:ascii="Calibri" w:eastAsia="Calibri" w:hAnsi="Calibri" w:cs="Calibri"/>
          <w:i/>
          <w:color w:val="2F5496"/>
        </w:rPr>
        <w:t xml:space="preserve"> (VAS)</w:t>
      </w:r>
    </w:p>
    <w:p w14:paraId="000007DD" w14:textId="604CFAAE" w:rsidR="00F8269C" w:rsidRDefault="00450D2D" w:rsidP="009D3DA2">
      <w:pPr>
        <w:jc w:val="both"/>
      </w:pPr>
      <w:r>
        <w:t>The V</w:t>
      </w:r>
      <w:r w:rsidR="00711449">
        <w:t>AS</w:t>
      </w:r>
      <w:r>
        <w:t xml:space="preserve"> collects detailed information on volunteer activities. Stats</w:t>
      </w:r>
      <w:r w:rsidR="003649AD">
        <w:t> </w:t>
      </w:r>
      <w:r>
        <w:t xml:space="preserve">SA conducted its second VAS in the second quarter of 2014, after the first one had been carried out in 2010. The survey </w:t>
      </w:r>
      <w:r w:rsidR="00EE7F46">
        <w:t xml:space="preserve">was </w:t>
      </w:r>
      <w:r>
        <w:t xml:space="preserve">household-based and collected information on the volunteer activities (a maximum of three activities) of individuals aged 15 years and older in South Africa. The respondents were selected from the households enumerated during the QLFS. It </w:t>
      </w:r>
      <w:r w:rsidR="00EE7F46">
        <w:t xml:space="preserve">covered </w:t>
      </w:r>
      <w:r>
        <w:t xml:space="preserve">unpaid non-compulsory work; that is, the time individuals give without pay to activities performed either through an organisation or directly for others outside their household in the four weeks preceding the survey interview. The survey </w:t>
      </w:r>
      <w:r w:rsidR="00EE7F46">
        <w:t xml:space="preserve">covered </w:t>
      </w:r>
      <w:r>
        <w:t>three of the main volunteer activities in which respondents were involved. The volunteer activities could be conducted directly, through an organisation, or through both (direct and organisation-based volunteering). Approximately 2 909 individuals eligible for VAS were followed up to conduct detailed interviews about their volunteer activities during the reference period.</w:t>
      </w:r>
    </w:p>
    <w:p w14:paraId="000007DE" w14:textId="18554AE9" w:rsidR="00F8269C" w:rsidRDefault="00450D2D" w:rsidP="009D3DA2">
      <w:pPr>
        <w:jc w:val="both"/>
      </w:pPr>
      <w:r>
        <w:t xml:space="preserve">The 2014 survey </w:t>
      </w:r>
      <w:sdt>
        <w:sdtPr>
          <w:tag w:val="goog_rdk_79"/>
          <w:id w:val="258106966"/>
        </w:sdtPr>
        <w:sdtEndPr/>
        <w:sdtContent/>
      </w:sdt>
      <w:r>
        <w:t>include</w:t>
      </w:r>
      <w:r w:rsidR="00163C1E">
        <w:t>d</w:t>
      </w:r>
      <w:r>
        <w:t xml:space="preserve"> estimates on the </w:t>
      </w:r>
      <w:sdt>
        <w:sdtPr>
          <w:tag w:val="goog_rdk_80"/>
          <w:id w:val="302516081"/>
        </w:sdtPr>
        <w:sdtEndPr/>
        <w:sdtContent/>
      </w:sdt>
      <w:r>
        <w:t xml:space="preserve">number </w:t>
      </w:r>
      <w:r w:rsidR="00EE7F46">
        <w:t xml:space="preserve">of </w:t>
      </w:r>
      <w:r>
        <w:t>hours</w:t>
      </w:r>
      <w:r w:rsidR="00163C1E">
        <w:t>,</w:t>
      </w:r>
      <w:r>
        <w:t xml:space="preserve"> and value of volunteer </w:t>
      </w:r>
      <w:sdt>
        <w:sdtPr>
          <w:tag w:val="goog_rdk_81"/>
          <w:id w:val="-1096863200"/>
        </w:sdtPr>
        <w:sdtEndPr/>
        <w:sdtContent/>
      </w:sdt>
      <w:r>
        <w:t>wor</w:t>
      </w:r>
      <w:r w:rsidR="00163C1E">
        <w:t>k</w:t>
      </w:r>
      <w:r>
        <w:t xml:space="preserve"> for different organisations including and culture and recreation (Stats</w:t>
      </w:r>
      <w:r w:rsidR="003649AD">
        <w:t> </w:t>
      </w:r>
      <w:r>
        <w:t>SA, 2015).</w:t>
      </w:r>
    </w:p>
    <w:p w14:paraId="000007DF" w14:textId="77777777" w:rsidR="00F8269C" w:rsidRDefault="00450D2D" w:rsidP="00EE7F46">
      <w:pPr>
        <w:keepNext/>
        <w:keepLines/>
        <w:spacing w:before="40" w:after="0" w:line="240" w:lineRule="auto"/>
        <w:jc w:val="both"/>
        <w:rPr>
          <w:rFonts w:ascii="Calibri" w:eastAsia="Calibri" w:hAnsi="Calibri" w:cs="Calibri"/>
          <w:i/>
          <w:color w:val="2F5496"/>
        </w:rPr>
      </w:pPr>
      <w:bookmarkStart w:id="588" w:name="_heading=h.319y80a" w:colFirst="0" w:colLast="0"/>
      <w:bookmarkEnd w:id="588"/>
      <w:r>
        <w:rPr>
          <w:rFonts w:ascii="Calibri" w:eastAsia="Calibri" w:hAnsi="Calibri" w:cs="Calibri"/>
          <w:i/>
          <w:color w:val="2F5496"/>
        </w:rPr>
        <w:t>Non-profit Institutions Satellite Account</w:t>
      </w:r>
    </w:p>
    <w:p w14:paraId="000007E0" w14:textId="1D0E6490" w:rsidR="00F8269C" w:rsidRDefault="00450D2D" w:rsidP="009D3DA2">
      <w:pPr>
        <w:jc w:val="both"/>
      </w:pPr>
      <w:r w:rsidRPr="00EE7F46">
        <w:t>Stats</w:t>
      </w:r>
      <w:r w:rsidR="003649AD">
        <w:t> </w:t>
      </w:r>
      <w:r w:rsidRPr="00EE7F46">
        <w:t xml:space="preserve">SA </w:t>
      </w:r>
      <w:r w:rsidRPr="009D3DA2">
        <w:rPr>
          <w:rFonts w:eastAsia="Calibri"/>
        </w:rPr>
        <w:t>(2012)</w:t>
      </w:r>
      <w:r w:rsidRPr="00EE7F46">
        <w:t xml:space="preserve"> is</w:t>
      </w:r>
      <w:r>
        <w:t xml:space="preserve"> in the process of developing a Non-Profit Institutions Satellite Account and published the first working paper in 2012. They started</w:t>
      </w:r>
      <w:r w:rsidR="00EE7F46" w:rsidRPr="00EE7F46">
        <w:t xml:space="preserve"> </w:t>
      </w:r>
      <w:r w:rsidR="00EE7F46">
        <w:t>gradually</w:t>
      </w:r>
      <w:r>
        <w:t>, begin</w:t>
      </w:r>
      <w:r w:rsidR="00EE7F46">
        <w:t>ning</w:t>
      </w:r>
      <w:r>
        <w:t xml:space="preserve"> with a consolidated account of the Non-profit Institution (NPI) sector, that is, the short form of NPISA, particularly excluding the details of volunteer labour with the non-market output of market NPIs. Stats SA concluded that it is not currently possible to compile the full elaboration of the NPISA tables to a required standard. As a result, the compilation of the full set of integrated economic </w:t>
      </w:r>
      <w:sdt>
        <w:sdtPr>
          <w:tag w:val="goog_rdk_82"/>
          <w:id w:val="-361439257"/>
        </w:sdtPr>
        <w:sdtEndPr/>
        <w:sdtContent/>
      </w:sdt>
      <w:r>
        <w:t>account</w:t>
      </w:r>
      <w:r w:rsidR="00163C1E">
        <w:t>s</w:t>
      </w:r>
      <w:r>
        <w:t xml:space="preserve"> (IEA) per institutional sector and for the total economy is still in a development phase (the household sector and NPISH are combined, and the balance sheet section is not yet compiled). </w:t>
      </w:r>
      <w:sdt>
        <w:sdtPr>
          <w:tag w:val="goog_rdk_83"/>
          <w:id w:val="1836724104"/>
        </w:sdtPr>
        <w:sdtEndPr/>
        <w:sdtContent>
          <w:r w:rsidR="00163C1E">
            <w:t xml:space="preserve">Unfortunately, </w:t>
          </w:r>
        </w:sdtContent>
      </w:sdt>
      <w:r w:rsidR="008825B3">
        <w:t xml:space="preserve">there </w:t>
      </w:r>
      <w:r w:rsidR="00D0339B">
        <w:t>is in</w:t>
      </w:r>
      <w:r>
        <w:t>sufficient data for the compilation of the full IEA. The proposed NPISA is proposed to consist of six tables, most with multiple parts including:</w:t>
      </w:r>
    </w:p>
    <w:p w14:paraId="000007E1" w14:textId="48D995A2" w:rsidR="00F8269C" w:rsidRDefault="00450D2D">
      <w:pPr>
        <w:numPr>
          <w:ilvl w:val="0"/>
          <w:numId w:val="17"/>
        </w:numPr>
        <w:spacing w:after="0"/>
      </w:pPr>
      <w:r>
        <w:t xml:space="preserve">Aggregated NPI sectors (transactions, flow and stock and other variables </w:t>
      </w:r>
      <w:r w:rsidR="008825B3">
        <w:t xml:space="preserve">such as </w:t>
      </w:r>
      <w:r>
        <w:t>number of volunteers);</w:t>
      </w:r>
    </w:p>
    <w:p w14:paraId="000007E2" w14:textId="77777777" w:rsidR="00F8269C" w:rsidRDefault="00450D2D">
      <w:pPr>
        <w:numPr>
          <w:ilvl w:val="0"/>
          <w:numId w:val="17"/>
        </w:numPr>
        <w:spacing w:after="0"/>
      </w:pPr>
      <w:r>
        <w:t>Categories of expenses (operating expenses, intermediate consumption, compensation of employees), sources of revenue, transfer payments, paid and volunteer employment and compensation and asset accumulation and position;</w:t>
      </w:r>
    </w:p>
    <w:p w14:paraId="000007E3" w14:textId="77777777" w:rsidR="00F8269C" w:rsidRDefault="00450D2D">
      <w:pPr>
        <w:numPr>
          <w:ilvl w:val="0"/>
          <w:numId w:val="17"/>
        </w:numPr>
        <w:spacing w:after="0"/>
      </w:pPr>
      <w:r>
        <w:t>IEAs by sector and type of institution;</w:t>
      </w:r>
    </w:p>
    <w:p w14:paraId="000007E4" w14:textId="77777777" w:rsidR="00F8269C" w:rsidRDefault="00450D2D">
      <w:pPr>
        <w:numPr>
          <w:ilvl w:val="0"/>
          <w:numId w:val="17"/>
        </w:numPr>
        <w:spacing w:after="0"/>
      </w:pPr>
      <w:r>
        <w:t>Output, value added, employment and final consumption expenditure by sector and type of institution; and</w:t>
      </w:r>
    </w:p>
    <w:p w14:paraId="000007E5" w14:textId="77777777" w:rsidR="00F8269C" w:rsidRDefault="00450D2D" w:rsidP="009D3DA2">
      <w:pPr>
        <w:numPr>
          <w:ilvl w:val="0"/>
          <w:numId w:val="17"/>
        </w:numPr>
        <w:ind w:left="714" w:hanging="357"/>
      </w:pPr>
      <w:r>
        <w:t>Non-profit entities, members, and membership.</w:t>
      </w:r>
    </w:p>
    <w:p w14:paraId="000007E6" w14:textId="77777777" w:rsidR="00F8269C" w:rsidRDefault="00450D2D">
      <w:r>
        <w:t>The International Classification of Non-profit Organisations (ICNPO) includes 12 groups of which one is:</w:t>
      </w:r>
    </w:p>
    <w:p w14:paraId="000007E7" w14:textId="77777777" w:rsidR="00F8269C" w:rsidRDefault="00450D2D">
      <w:pPr>
        <w:numPr>
          <w:ilvl w:val="0"/>
          <w:numId w:val="17"/>
        </w:numPr>
        <w:spacing w:after="0"/>
      </w:pPr>
      <w:r>
        <w:t>Culture and recreation (Group 1) with subdivisions:</w:t>
      </w:r>
      <w:r>
        <w:tab/>
      </w:r>
    </w:p>
    <w:p w14:paraId="000007E8" w14:textId="77777777" w:rsidR="00F8269C" w:rsidRDefault="00450D2D" w:rsidP="009D3DA2">
      <w:pPr>
        <w:numPr>
          <w:ilvl w:val="1"/>
          <w:numId w:val="41"/>
        </w:numPr>
        <w:spacing w:after="0"/>
        <w:ind w:left="1077" w:hanging="357"/>
      </w:pPr>
      <w:r>
        <w:t>Culture and arts (1100)</w:t>
      </w:r>
    </w:p>
    <w:p w14:paraId="000007E9" w14:textId="77777777" w:rsidR="00F8269C" w:rsidRDefault="00450D2D" w:rsidP="009D3DA2">
      <w:pPr>
        <w:numPr>
          <w:ilvl w:val="1"/>
          <w:numId w:val="41"/>
        </w:numPr>
        <w:spacing w:after="0"/>
        <w:ind w:left="1077" w:hanging="357"/>
      </w:pPr>
      <w:r>
        <w:t>Sport (1200)</w:t>
      </w:r>
    </w:p>
    <w:p w14:paraId="000007EA" w14:textId="77777777" w:rsidR="00F8269C" w:rsidRDefault="00450D2D" w:rsidP="009D3DA2">
      <w:pPr>
        <w:numPr>
          <w:ilvl w:val="1"/>
          <w:numId w:val="41"/>
        </w:numPr>
        <w:ind w:left="1077" w:hanging="357"/>
      </w:pPr>
      <w:r>
        <w:lastRenderedPageBreak/>
        <w:t>Other recreation and social clubs (1300)</w:t>
      </w:r>
    </w:p>
    <w:p w14:paraId="000007EB" w14:textId="5E4E32EE" w:rsidR="00F8269C" w:rsidRDefault="00C815B6">
      <w:r>
        <w:t>T</w:t>
      </w:r>
      <w:r w:rsidR="00450D2D">
        <w:t xml:space="preserve">able </w:t>
      </w:r>
      <w:r>
        <w:t xml:space="preserve">18 </w:t>
      </w:r>
      <w:r w:rsidR="00450D2D">
        <w:t>below shows the differences in coding between SIC, ICNPO and ISIC for culture and arts.</w:t>
      </w:r>
    </w:p>
    <w:p w14:paraId="000007EC" w14:textId="43A55163" w:rsidR="00F8269C" w:rsidRDefault="00450D2D" w:rsidP="009D3DA2">
      <w:pPr>
        <w:spacing w:after="200" w:line="240" w:lineRule="auto"/>
        <w:rPr>
          <w:i/>
          <w:color w:val="44546A"/>
          <w:sz w:val="18"/>
          <w:szCs w:val="18"/>
        </w:rPr>
      </w:pPr>
      <w:bookmarkStart w:id="589" w:name="_heading=h.1gf8i83" w:colFirst="0" w:colLast="0"/>
      <w:bookmarkEnd w:id="589"/>
      <w:r>
        <w:rPr>
          <w:i/>
          <w:color w:val="44546A"/>
          <w:sz w:val="18"/>
          <w:szCs w:val="18"/>
        </w:rPr>
        <w:t xml:space="preserve">Table </w:t>
      </w:r>
      <w:r w:rsidR="00C815B6">
        <w:rPr>
          <w:i/>
          <w:color w:val="44546A"/>
          <w:sz w:val="18"/>
          <w:szCs w:val="18"/>
        </w:rPr>
        <w:t>18</w:t>
      </w:r>
      <w:r>
        <w:rPr>
          <w:i/>
          <w:color w:val="44546A"/>
          <w:sz w:val="18"/>
          <w:szCs w:val="18"/>
        </w:rPr>
        <w:t>: Difference</w:t>
      </w:r>
      <w:r w:rsidR="00C815B6">
        <w:rPr>
          <w:i/>
          <w:color w:val="44546A"/>
          <w:sz w:val="18"/>
          <w:szCs w:val="18"/>
        </w:rPr>
        <w:t>s</w:t>
      </w:r>
      <w:r>
        <w:rPr>
          <w:i/>
          <w:color w:val="44546A"/>
          <w:sz w:val="18"/>
          <w:szCs w:val="18"/>
        </w:rPr>
        <w:t xml:space="preserve"> in coding between SIC, ICNPO and ISIC</w:t>
      </w:r>
    </w:p>
    <w:tbl>
      <w:tblPr>
        <w:tblStyle w:val="af5"/>
        <w:tblW w:w="901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129"/>
        <w:gridCol w:w="851"/>
        <w:gridCol w:w="1417"/>
        <w:gridCol w:w="3177"/>
        <w:gridCol w:w="934"/>
        <w:gridCol w:w="789"/>
        <w:gridCol w:w="718"/>
      </w:tblGrid>
      <w:tr w:rsidR="00F8269C" w14:paraId="799DEDBA" w14:textId="77777777" w:rsidTr="009D3D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000007ED" w14:textId="77777777" w:rsidR="00F8269C" w:rsidRPr="009D3DA2" w:rsidRDefault="00450D2D" w:rsidP="009D3DA2">
            <w:pPr>
              <w:spacing w:before="60" w:after="60"/>
              <w:rPr>
                <w:sz w:val="16"/>
                <w:szCs w:val="16"/>
              </w:rPr>
            </w:pPr>
            <w:r w:rsidRPr="009D3DA2">
              <w:rPr>
                <w:sz w:val="16"/>
                <w:szCs w:val="16"/>
              </w:rPr>
              <w:t>Major group</w:t>
            </w:r>
          </w:p>
        </w:tc>
        <w:tc>
          <w:tcPr>
            <w:tcW w:w="851" w:type="dxa"/>
          </w:tcPr>
          <w:p w14:paraId="000007EE" w14:textId="77777777" w:rsidR="00F8269C" w:rsidRPr="009D3DA2" w:rsidRDefault="00450D2D" w:rsidP="009D3DA2">
            <w:pPr>
              <w:spacing w:before="60" w:after="60"/>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Sub-group</w:t>
            </w:r>
          </w:p>
        </w:tc>
        <w:tc>
          <w:tcPr>
            <w:tcW w:w="1417" w:type="dxa"/>
          </w:tcPr>
          <w:p w14:paraId="000007EF" w14:textId="77777777" w:rsidR="00F8269C" w:rsidRPr="009D3DA2" w:rsidRDefault="00450D2D" w:rsidP="009D3DA2">
            <w:pPr>
              <w:spacing w:before="60" w:after="60"/>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Theme</w:t>
            </w:r>
          </w:p>
        </w:tc>
        <w:tc>
          <w:tcPr>
            <w:tcW w:w="3177" w:type="dxa"/>
          </w:tcPr>
          <w:p w14:paraId="000007F0" w14:textId="77777777" w:rsidR="00F8269C" w:rsidRPr="009D3DA2" w:rsidRDefault="00450D2D" w:rsidP="009D3DA2">
            <w:pPr>
              <w:spacing w:before="60" w:after="60"/>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Description</w:t>
            </w:r>
          </w:p>
        </w:tc>
        <w:tc>
          <w:tcPr>
            <w:tcW w:w="934" w:type="dxa"/>
          </w:tcPr>
          <w:p w14:paraId="000007F1" w14:textId="77777777" w:rsidR="00F8269C" w:rsidRPr="009D3DA2" w:rsidRDefault="00450D2D" w:rsidP="009D3DA2">
            <w:pPr>
              <w:spacing w:before="60" w:after="60"/>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SIC</w:t>
            </w:r>
          </w:p>
        </w:tc>
        <w:tc>
          <w:tcPr>
            <w:tcW w:w="789" w:type="dxa"/>
          </w:tcPr>
          <w:p w14:paraId="000007F2" w14:textId="77777777" w:rsidR="00F8269C" w:rsidRPr="009D3DA2" w:rsidRDefault="00450D2D" w:rsidP="009D3DA2">
            <w:pPr>
              <w:spacing w:before="60" w:after="60"/>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ICNPO</w:t>
            </w:r>
          </w:p>
        </w:tc>
        <w:tc>
          <w:tcPr>
            <w:tcW w:w="718" w:type="dxa"/>
          </w:tcPr>
          <w:p w14:paraId="000007F3" w14:textId="77777777" w:rsidR="00F8269C" w:rsidRPr="009D3DA2" w:rsidRDefault="00450D2D" w:rsidP="009D3DA2">
            <w:pPr>
              <w:spacing w:before="60" w:after="60"/>
              <w:cnfStyle w:val="100000000000" w:firstRow="1" w:lastRow="0" w:firstColumn="0" w:lastColumn="0" w:oddVBand="0" w:evenVBand="0" w:oddHBand="0" w:evenHBand="0" w:firstRowFirstColumn="0" w:firstRowLastColumn="0" w:lastRowFirstColumn="0" w:lastRowLastColumn="0"/>
              <w:rPr>
                <w:sz w:val="16"/>
                <w:szCs w:val="16"/>
              </w:rPr>
            </w:pPr>
            <w:r w:rsidRPr="009D3DA2">
              <w:rPr>
                <w:sz w:val="16"/>
                <w:szCs w:val="16"/>
              </w:rPr>
              <w:t>ISIC</w:t>
            </w:r>
          </w:p>
        </w:tc>
      </w:tr>
      <w:tr w:rsidR="00F8269C" w14:paraId="3AB5F8EC" w14:textId="77777777" w:rsidTr="009D3D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29" w:type="dxa"/>
            <w:vMerge w:val="restart"/>
          </w:tcPr>
          <w:p w14:paraId="000007F4" w14:textId="77777777" w:rsidR="00F8269C" w:rsidRPr="009D3DA2" w:rsidRDefault="00450D2D" w:rsidP="009D3DA2">
            <w:pPr>
              <w:spacing w:before="60" w:after="60"/>
              <w:rPr>
                <w:sz w:val="16"/>
                <w:szCs w:val="16"/>
              </w:rPr>
            </w:pPr>
            <w:r w:rsidRPr="009D3DA2">
              <w:rPr>
                <w:sz w:val="16"/>
                <w:szCs w:val="16"/>
              </w:rPr>
              <w:t>Culture and Recreation</w:t>
            </w:r>
          </w:p>
        </w:tc>
        <w:tc>
          <w:tcPr>
            <w:tcW w:w="851" w:type="dxa"/>
            <w:vMerge w:val="restart"/>
          </w:tcPr>
          <w:p w14:paraId="000007F5"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Culture and Arts</w:t>
            </w:r>
          </w:p>
        </w:tc>
        <w:tc>
          <w:tcPr>
            <w:tcW w:w="1417" w:type="dxa"/>
          </w:tcPr>
          <w:p w14:paraId="000007F6"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Museums</w:t>
            </w:r>
          </w:p>
        </w:tc>
        <w:tc>
          <w:tcPr>
            <w:tcW w:w="3177" w:type="dxa"/>
          </w:tcPr>
          <w:p w14:paraId="000007F7"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General and specialised museums covering art, history, sciences, technology, culture.</w:t>
            </w:r>
          </w:p>
        </w:tc>
        <w:tc>
          <w:tcPr>
            <w:tcW w:w="934" w:type="dxa"/>
          </w:tcPr>
          <w:p w14:paraId="000007F8"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96320</w:t>
            </w:r>
          </w:p>
        </w:tc>
        <w:tc>
          <w:tcPr>
            <w:tcW w:w="789" w:type="dxa"/>
          </w:tcPr>
          <w:p w14:paraId="000007F9"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1100</w:t>
            </w:r>
          </w:p>
        </w:tc>
        <w:tc>
          <w:tcPr>
            <w:tcW w:w="718" w:type="dxa"/>
          </w:tcPr>
          <w:p w14:paraId="000007FA"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9102</w:t>
            </w:r>
          </w:p>
        </w:tc>
      </w:tr>
      <w:tr w:rsidR="00F8269C" w14:paraId="721B556A" w14:textId="77777777" w:rsidTr="009D3DA2">
        <w:trPr>
          <w:trHeight w:val="20"/>
        </w:trPr>
        <w:tc>
          <w:tcPr>
            <w:cnfStyle w:val="001000000000" w:firstRow="0" w:lastRow="0" w:firstColumn="1" w:lastColumn="0" w:oddVBand="0" w:evenVBand="0" w:oddHBand="0" w:evenHBand="0" w:firstRowFirstColumn="0" w:firstRowLastColumn="0" w:lastRowFirstColumn="0" w:lastRowLastColumn="0"/>
            <w:tcW w:w="1129" w:type="dxa"/>
            <w:vMerge/>
          </w:tcPr>
          <w:p w14:paraId="000007FB" w14:textId="77777777" w:rsidR="00F8269C" w:rsidRPr="009D3DA2" w:rsidRDefault="00F8269C" w:rsidP="009D3DA2">
            <w:pPr>
              <w:widowControl w:val="0"/>
              <w:pBdr>
                <w:top w:val="nil"/>
                <w:left w:val="nil"/>
                <w:bottom w:val="nil"/>
                <w:right w:val="nil"/>
                <w:between w:val="nil"/>
              </w:pBdr>
              <w:spacing w:before="60" w:after="60"/>
              <w:rPr>
                <w:sz w:val="16"/>
                <w:szCs w:val="16"/>
              </w:rPr>
            </w:pPr>
          </w:p>
        </w:tc>
        <w:tc>
          <w:tcPr>
            <w:tcW w:w="851" w:type="dxa"/>
            <w:vMerge/>
          </w:tcPr>
          <w:p w14:paraId="000007FC" w14:textId="77777777" w:rsidR="00F8269C" w:rsidRPr="009D3DA2" w:rsidRDefault="00F8269C" w:rsidP="009D3DA2">
            <w:pPr>
              <w:widowControl w:val="0"/>
              <w:pBdr>
                <w:top w:val="nil"/>
                <w:left w:val="nil"/>
                <w:bottom w:val="nil"/>
                <w:right w:val="nil"/>
                <w:between w:val="nil"/>
              </w:pBdr>
              <w:spacing w:before="60" w:after="60"/>
              <w:cnfStyle w:val="000000000000" w:firstRow="0" w:lastRow="0" w:firstColumn="0" w:lastColumn="0" w:oddVBand="0" w:evenVBand="0" w:oddHBand="0" w:evenHBand="0" w:firstRowFirstColumn="0" w:firstRowLastColumn="0" w:lastRowFirstColumn="0" w:lastRowLastColumn="0"/>
              <w:rPr>
                <w:sz w:val="16"/>
                <w:szCs w:val="16"/>
              </w:rPr>
            </w:pPr>
          </w:p>
        </w:tc>
        <w:tc>
          <w:tcPr>
            <w:tcW w:w="1417" w:type="dxa"/>
          </w:tcPr>
          <w:p w14:paraId="000007FD"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Services clubs</w:t>
            </w:r>
          </w:p>
        </w:tc>
        <w:tc>
          <w:tcPr>
            <w:tcW w:w="3177" w:type="dxa"/>
          </w:tcPr>
          <w:p w14:paraId="000007FE"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Membership organisations providing services to members and local communities, for e.g., Lions, Zonta International, Rotary clubs, Kiwanis.</w:t>
            </w:r>
          </w:p>
        </w:tc>
        <w:tc>
          <w:tcPr>
            <w:tcW w:w="934" w:type="dxa"/>
          </w:tcPr>
          <w:p w14:paraId="000007FF"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96200</w:t>
            </w:r>
          </w:p>
        </w:tc>
        <w:tc>
          <w:tcPr>
            <w:tcW w:w="789" w:type="dxa"/>
          </w:tcPr>
          <w:p w14:paraId="00000800"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1300</w:t>
            </w:r>
          </w:p>
        </w:tc>
        <w:tc>
          <w:tcPr>
            <w:tcW w:w="718" w:type="dxa"/>
          </w:tcPr>
          <w:p w14:paraId="00000801"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9199</w:t>
            </w:r>
          </w:p>
        </w:tc>
      </w:tr>
      <w:tr w:rsidR="00F8269C" w14:paraId="1DA8C1FD" w14:textId="77777777" w:rsidTr="009D3D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29" w:type="dxa"/>
            <w:vMerge/>
          </w:tcPr>
          <w:p w14:paraId="00000802" w14:textId="77777777" w:rsidR="00F8269C" w:rsidRPr="009D3DA2" w:rsidRDefault="00F8269C" w:rsidP="009D3DA2">
            <w:pPr>
              <w:widowControl w:val="0"/>
              <w:pBdr>
                <w:top w:val="nil"/>
                <w:left w:val="nil"/>
                <w:bottom w:val="nil"/>
                <w:right w:val="nil"/>
                <w:between w:val="nil"/>
              </w:pBdr>
              <w:spacing w:before="60" w:after="60"/>
              <w:rPr>
                <w:sz w:val="16"/>
                <w:szCs w:val="16"/>
              </w:rPr>
            </w:pPr>
          </w:p>
        </w:tc>
        <w:tc>
          <w:tcPr>
            <w:tcW w:w="851" w:type="dxa"/>
            <w:vMerge/>
          </w:tcPr>
          <w:p w14:paraId="00000803" w14:textId="77777777" w:rsidR="00F8269C" w:rsidRPr="009D3DA2" w:rsidRDefault="00F8269C" w:rsidP="009D3DA2">
            <w:pPr>
              <w:widowControl w:val="0"/>
              <w:pBdr>
                <w:top w:val="nil"/>
                <w:left w:val="nil"/>
                <w:bottom w:val="nil"/>
                <w:right w:val="nil"/>
                <w:between w:val="nil"/>
              </w:pBdr>
              <w:spacing w:before="60" w:after="60"/>
              <w:cnfStyle w:val="000000100000" w:firstRow="0" w:lastRow="0" w:firstColumn="0" w:lastColumn="0" w:oddVBand="0" w:evenVBand="0" w:oddHBand="1" w:evenHBand="0" w:firstRowFirstColumn="0" w:firstRowLastColumn="0" w:lastRowFirstColumn="0" w:lastRowLastColumn="0"/>
              <w:rPr>
                <w:sz w:val="16"/>
                <w:szCs w:val="16"/>
              </w:rPr>
            </w:pPr>
          </w:p>
        </w:tc>
        <w:tc>
          <w:tcPr>
            <w:tcW w:w="1417" w:type="dxa"/>
          </w:tcPr>
          <w:p w14:paraId="00000804"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Media and communication</w:t>
            </w:r>
          </w:p>
        </w:tc>
        <w:tc>
          <w:tcPr>
            <w:tcW w:w="3177" w:type="dxa"/>
          </w:tcPr>
          <w:p w14:paraId="00000805" w14:textId="3830141D"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 xml:space="preserve">Production and dissemination of information and communication, </w:t>
            </w:r>
            <w:r w:rsidR="008825B3" w:rsidRPr="009D3DA2">
              <w:rPr>
                <w:sz w:val="16"/>
                <w:szCs w:val="16"/>
              </w:rPr>
              <w:t>includ</w:t>
            </w:r>
            <w:r w:rsidR="008825B3">
              <w:rPr>
                <w:sz w:val="16"/>
                <w:szCs w:val="16"/>
              </w:rPr>
              <w:t>es</w:t>
            </w:r>
            <w:r w:rsidR="008825B3" w:rsidRPr="009D3DA2">
              <w:rPr>
                <w:sz w:val="16"/>
                <w:szCs w:val="16"/>
              </w:rPr>
              <w:t xml:space="preserve"> </w:t>
            </w:r>
            <w:r w:rsidRPr="009D3DA2">
              <w:rPr>
                <w:sz w:val="16"/>
                <w:szCs w:val="16"/>
              </w:rPr>
              <w:t>radio and TV stations, publishing of books, journals, newspapers, and newsletters, film production, libraries.</w:t>
            </w:r>
          </w:p>
        </w:tc>
        <w:tc>
          <w:tcPr>
            <w:tcW w:w="934" w:type="dxa"/>
          </w:tcPr>
          <w:p w14:paraId="00000806"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96200</w:t>
            </w:r>
          </w:p>
        </w:tc>
        <w:tc>
          <w:tcPr>
            <w:tcW w:w="789" w:type="dxa"/>
          </w:tcPr>
          <w:p w14:paraId="00000807"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1300</w:t>
            </w:r>
          </w:p>
        </w:tc>
        <w:tc>
          <w:tcPr>
            <w:tcW w:w="718" w:type="dxa"/>
          </w:tcPr>
          <w:p w14:paraId="00000808"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9199</w:t>
            </w:r>
          </w:p>
        </w:tc>
      </w:tr>
      <w:tr w:rsidR="00F8269C" w14:paraId="6E26D1C3" w14:textId="77777777" w:rsidTr="009D3DA2">
        <w:trPr>
          <w:trHeight w:val="20"/>
        </w:trPr>
        <w:tc>
          <w:tcPr>
            <w:cnfStyle w:val="001000000000" w:firstRow="0" w:lastRow="0" w:firstColumn="1" w:lastColumn="0" w:oddVBand="0" w:evenVBand="0" w:oddHBand="0" w:evenHBand="0" w:firstRowFirstColumn="0" w:firstRowLastColumn="0" w:lastRowFirstColumn="0" w:lastRowLastColumn="0"/>
            <w:tcW w:w="1129" w:type="dxa"/>
            <w:vMerge/>
          </w:tcPr>
          <w:p w14:paraId="00000809" w14:textId="77777777" w:rsidR="00F8269C" w:rsidRPr="009D3DA2" w:rsidRDefault="00F8269C" w:rsidP="009D3DA2">
            <w:pPr>
              <w:widowControl w:val="0"/>
              <w:pBdr>
                <w:top w:val="nil"/>
                <w:left w:val="nil"/>
                <w:bottom w:val="nil"/>
                <w:right w:val="nil"/>
                <w:between w:val="nil"/>
              </w:pBdr>
              <w:spacing w:before="60" w:after="60"/>
              <w:rPr>
                <w:sz w:val="16"/>
                <w:szCs w:val="16"/>
              </w:rPr>
            </w:pPr>
          </w:p>
        </w:tc>
        <w:tc>
          <w:tcPr>
            <w:tcW w:w="851" w:type="dxa"/>
            <w:vMerge/>
          </w:tcPr>
          <w:p w14:paraId="0000080A" w14:textId="77777777" w:rsidR="00F8269C" w:rsidRPr="009D3DA2" w:rsidRDefault="00F8269C" w:rsidP="009D3DA2">
            <w:pPr>
              <w:widowControl w:val="0"/>
              <w:pBdr>
                <w:top w:val="nil"/>
                <w:left w:val="nil"/>
                <w:bottom w:val="nil"/>
                <w:right w:val="nil"/>
                <w:between w:val="nil"/>
              </w:pBdr>
              <w:spacing w:before="60" w:after="60"/>
              <w:cnfStyle w:val="000000000000" w:firstRow="0" w:lastRow="0" w:firstColumn="0" w:lastColumn="0" w:oddVBand="0" w:evenVBand="0" w:oddHBand="0" w:evenHBand="0" w:firstRowFirstColumn="0" w:firstRowLastColumn="0" w:lastRowFirstColumn="0" w:lastRowLastColumn="0"/>
              <w:rPr>
                <w:sz w:val="16"/>
                <w:szCs w:val="16"/>
              </w:rPr>
            </w:pPr>
          </w:p>
        </w:tc>
        <w:tc>
          <w:tcPr>
            <w:tcW w:w="1417" w:type="dxa"/>
          </w:tcPr>
          <w:p w14:paraId="0000080B"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Performing arts</w:t>
            </w:r>
          </w:p>
        </w:tc>
        <w:tc>
          <w:tcPr>
            <w:tcW w:w="3177" w:type="dxa"/>
          </w:tcPr>
          <w:p w14:paraId="0000080C"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Performing arts centres, companies, and associations; includes theatres, dance, ballet, opera, orchestras, chorales and music ensembles.</w:t>
            </w:r>
          </w:p>
        </w:tc>
        <w:tc>
          <w:tcPr>
            <w:tcW w:w="934" w:type="dxa"/>
          </w:tcPr>
          <w:p w14:paraId="0000080D"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96121-30</w:t>
            </w:r>
          </w:p>
        </w:tc>
        <w:tc>
          <w:tcPr>
            <w:tcW w:w="789" w:type="dxa"/>
          </w:tcPr>
          <w:p w14:paraId="0000080E"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1300</w:t>
            </w:r>
          </w:p>
        </w:tc>
        <w:tc>
          <w:tcPr>
            <w:tcW w:w="718" w:type="dxa"/>
          </w:tcPr>
          <w:p w14:paraId="0000080F"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9210</w:t>
            </w:r>
          </w:p>
        </w:tc>
      </w:tr>
      <w:tr w:rsidR="00F8269C" w14:paraId="624A1149" w14:textId="77777777" w:rsidTr="009D3D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29" w:type="dxa"/>
            <w:vMerge/>
          </w:tcPr>
          <w:p w14:paraId="00000810" w14:textId="77777777" w:rsidR="00F8269C" w:rsidRPr="009D3DA2" w:rsidRDefault="00F8269C" w:rsidP="009D3DA2">
            <w:pPr>
              <w:widowControl w:val="0"/>
              <w:pBdr>
                <w:top w:val="nil"/>
                <w:left w:val="nil"/>
                <w:bottom w:val="nil"/>
                <w:right w:val="nil"/>
                <w:between w:val="nil"/>
              </w:pBdr>
              <w:spacing w:before="60" w:after="60"/>
              <w:rPr>
                <w:sz w:val="16"/>
                <w:szCs w:val="16"/>
              </w:rPr>
            </w:pPr>
          </w:p>
        </w:tc>
        <w:tc>
          <w:tcPr>
            <w:tcW w:w="851" w:type="dxa"/>
            <w:vMerge/>
          </w:tcPr>
          <w:p w14:paraId="00000811" w14:textId="77777777" w:rsidR="00F8269C" w:rsidRPr="009D3DA2" w:rsidRDefault="00F8269C" w:rsidP="009D3DA2">
            <w:pPr>
              <w:widowControl w:val="0"/>
              <w:pBdr>
                <w:top w:val="nil"/>
                <w:left w:val="nil"/>
                <w:bottom w:val="nil"/>
                <w:right w:val="nil"/>
                <w:between w:val="nil"/>
              </w:pBdr>
              <w:spacing w:before="60" w:after="60"/>
              <w:cnfStyle w:val="000000100000" w:firstRow="0" w:lastRow="0" w:firstColumn="0" w:lastColumn="0" w:oddVBand="0" w:evenVBand="0" w:oddHBand="1" w:evenHBand="0" w:firstRowFirstColumn="0" w:firstRowLastColumn="0" w:lastRowFirstColumn="0" w:lastRowLastColumn="0"/>
              <w:rPr>
                <w:sz w:val="16"/>
                <w:szCs w:val="16"/>
              </w:rPr>
            </w:pPr>
          </w:p>
        </w:tc>
        <w:tc>
          <w:tcPr>
            <w:tcW w:w="1417" w:type="dxa"/>
          </w:tcPr>
          <w:p w14:paraId="00000812"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Historical, literacy and humanistic societies</w:t>
            </w:r>
          </w:p>
        </w:tc>
        <w:tc>
          <w:tcPr>
            <w:tcW w:w="3177" w:type="dxa"/>
          </w:tcPr>
          <w:p w14:paraId="00000813"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 xml:space="preserve">Promotion and appreciation of the humanities, preservation of historical and cultural artefacts, commemoration of historical events; includes historical societies, poetry and literary societies, language associations, reading promotion, war memorials. </w:t>
            </w:r>
          </w:p>
        </w:tc>
        <w:tc>
          <w:tcPr>
            <w:tcW w:w="934" w:type="dxa"/>
          </w:tcPr>
          <w:p w14:paraId="00000814"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96310</w:t>
            </w:r>
          </w:p>
        </w:tc>
        <w:tc>
          <w:tcPr>
            <w:tcW w:w="789" w:type="dxa"/>
          </w:tcPr>
          <w:p w14:paraId="00000815"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1100</w:t>
            </w:r>
          </w:p>
        </w:tc>
        <w:tc>
          <w:tcPr>
            <w:tcW w:w="718" w:type="dxa"/>
          </w:tcPr>
          <w:p w14:paraId="00000816" w14:textId="77777777" w:rsidR="00F8269C" w:rsidRPr="009D3DA2" w:rsidRDefault="00450D2D" w:rsidP="009D3DA2">
            <w:pPr>
              <w:spacing w:before="60" w:after="60"/>
              <w:cnfStyle w:val="000000100000" w:firstRow="0" w:lastRow="0" w:firstColumn="0" w:lastColumn="0" w:oddVBand="0" w:evenVBand="0" w:oddHBand="1" w:evenHBand="0" w:firstRowFirstColumn="0" w:firstRowLastColumn="0" w:lastRowFirstColumn="0" w:lastRowLastColumn="0"/>
              <w:rPr>
                <w:sz w:val="16"/>
                <w:szCs w:val="16"/>
              </w:rPr>
            </w:pPr>
            <w:r w:rsidRPr="009D3DA2">
              <w:rPr>
                <w:sz w:val="16"/>
                <w:szCs w:val="16"/>
              </w:rPr>
              <w:t>9103</w:t>
            </w:r>
          </w:p>
        </w:tc>
      </w:tr>
      <w:tr w:rsidR="00F8269C" w14:paraId="4E8609A4" w14:textId="77777777" w:rsidTr="009D3DA2">
        <w:trPr>
          <w:trHeight w:val="20"/>
        </w:trPr>
        <w:tc>
          <w:tcPr>
            <w:cnfStyle w:val="001000000000" w:firstRow="0" w:lastRow="0" w:firstColumn="1" w:lastColumn="0" w:oddVBand="0" w:evenVBand="0" w:oddHBand="0" w:evenHBand="0" w:firstRowFirstColumn="0" w:firstRowLastColumn="0" w:lastRowFirstColumn="0" w:lastRowLastColumn="0"/>
            <w:tcW w:w="1129" w:type="dxa"/>
            <w:vMerge/>
          </w:tcPr>
          <w:p w14:paraId="00000817" w14:textId="77777777" w:rsidR="00F8269C" w:rsidRPr="009D3DA2" w:rsidRDefault="00F8269C" w:rsidP="009D3DA2">
            <w:pPr>
              <w:widowControl w:val="0"/>
              <w:pBdr>
                <w:top w:val="nil"/>
                <w:left w:val="nil"/>
                <w:bottom w:val="nil"/>
                <w:right w:val="nil"/>
                <w:between w:val="nil"/>
              </w:pBdr>
              <w:spacing w:before="60" w:after="60"/>
              <w:rPr>
                <w:sz w:val="16"/>
                <w:szCs w:val="16"/>
              </w:rPr>
            </w:pPr>
          </w:p>
        </w:tc>
        <w:tc>
          <w:tcPr>
            <w:tcW w:w="851" w:type="dxa"/>
            <w:vMerge/>
          </w:tcPr>
          <w:p w14:paraId="00000818" w14:textId="77777777" w:rsidR="00F8269C" w:rsidRPr="009D3DA2" w:rsidRDefault="00F8269C" w:rsidP="009D3DA2">
            <w:pPr>
              <w:widowControl w:val="0"/>
              <w:pBdr>
                <w:top w:val="nil"/>
                <w:left w:val="nil"/>
                <w:bottom w:val="nil"/>
                <w:right w:val="nil"/>
                <w:between w:val="nil"/>
              </w:pBdr>
              <w:spacing w:before="60" w:after="60"/>
              <w:cnfStyle w:val="000000000000" w:firstRow="0" w:lastRow="0" w:firstColumn="0" w:lastColumn="0" w:oddVBand="0" w:evenVBand="0" w:oddHBand="0" w:evenHBand="0" w:firstRowFirstColumn="0" w:firstRowLastColumn="0" w:lastRowFirstColumn="0" w:lastRowLastColumn="0"/>
              <w:rPr>
                <w:sz w:val="16"/>
                <w:szCs w:val="16"/>
              </w:rPr>
            </w:pPr>
          </w:p>
        </w:tc>
        <w:tc>
          <w:tcPr>
            <w:tcW w:w="1417" w:type="dxa"/>
          </w:tcPr>
          <w:p w14:paraId="00000819"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 xml:space="preserve">Zoos and aquariums </w:t>
            </w:r>
          </w:p>
        </w:tc>
        <w:tc>
          <w:tcPr>
            <w:tcW w:w="3177" w:type="dxa"/>
          </w:tcPr>
          <w:p w14:paraId="0000081A"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Botanical and zoological gardens and nature reserve activities.</w:t>
            </w:r>
          </w:p>
        </w:tc>
        <w:tc>
          <w:tcPr>
            <w:tcW w:w="934" w:type="dxa"/>
          </w:tcPr>
          <w:p w14:paraId="0000081B"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96330</w:t>
            </w:r>
          </w:p>
        </w:tc>
        <w:tc>
          <w:tcPr>
            <w:tcW w:w="789" w:type="dxa"/>
          </w:tcPr>
          <w:p w14:paraId="0000081C"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1100</w:t>
            </w:r>
          </w:p>
        </w:tc>
        <w:tc>
          <w:tcPr>
            <w:tcW w:w="718" w:type="dxa"/>
          </w:tcPr>
          <w:p w14:paraId="0000081D" w14:textId="77777777" w:rsidR="00F8269C" w:rsidRPr="009D3DA2" w:rsidRDefault="00450D2D" w:rsidP="009D3DA2">
            <w:pPr>
              <w:spacing w:before="60" w:after="60"/>
              <w:cnfStyle w:val="000000000000" w:firstRow="0" w:lastRow="0" w:firstColumn="0" w:lastColumn="0" w:oddVBand="0" w:evenVBand="0" w:oddHBand="0" w:evenHBand="0" w:firstRowFirstColumn="0" w:firstRowLastColumn="0" w:lastRowFirstColumn="0" w:lastRowLastColumn="0"/>
              <w:rPr>
                <w:sz w:val="16"/>
                <w:szCs w:val="16"/>
              </w:rPr>
            </w:pPr>
            <w:r w:rsidRPr="009D3DA2">
              <w:rPr>
                <w:sz w:val="16"/>
                <w:szCs w:val="16"/>
              </w:rPr>
              <w:t>9103</w:t>
            </w:r>
          </w:p>
        </w:tc>
      </w:tr>
    </w:tbl>
    <w:p w14:paraId="0000081E" w14:textId="48EF1DC1" w:rsidR="00F8269C" w:rsidRPr="008825B3" w:rsidRDefault="00450D2D" w:rsidP="009D3DA2">
      <w:pPr>
        <w:spacing w:before="120"/>
      </w:pPr>
      <w:r w:rsidRPr="008825B3">
        <w:t>Source: Stats</w:t>
      </w:r>
      <w:r w:rsidR="003649AD">
        <w:t> </w:t>
      </w:r>
      <w:r w:rsidRPr="008825B3">
        <w:t xml:space="preserve">SA </w:t>
      </w:r>
      <w:r w:rsidRPr="009D3DA2">
        <w:rPr>
          <w:rFonts w:eastAsia="Calibri"/>
        </w:rPr>
        <w:t>(2012)</w:t>
      </w:r>
    </w:p>
    <w:p w14:paraId="0000081F" w14:textId="77777777" w:rsidR="00F8269C" w:rsidRDefault="00450D2D">
      <w:pPr>
        <w:rPr>
          <w:color w:val="2F5496"/>
          <w:sz w:val="24"/>
          <w:szCs w:val="24"/>
        </w:rPr>
      </w:pPr>
      <w:r>
        <w:br w:type="page"/>
      </w:r>
    </w:p>
    <w:p w14:paraId="00000820" w14:textId="68A7ABE4" w:rsidR="00F8269C" w:rsidRDefault="00804F2D" w:rsidP="00023227">
      <w:pPr>
        <w:pStyle w:val="Heading1"/>
        <w:numPr>
          <w:ilvl w:val="0"/>
          <w:numId w:val="0"/>
        </w:numPr>
      </w:pPr>
      <w:bookmarkStart w:id="590" w:name="_Toc93842946"/>
      <w:bookmarkStart w:id="591" w:name="_Toc93843132"/>
      <w:bookmarkStart w:id="592" w:name="_Toc93843364"/>
      <w:r>
        <w:lastRenderedPageBreak/>
        <w:t xml:space="preserve">Appendix 4. </w:t>
      </w:r>
      <w:r w:rsidR="00450D2D">
        <w:t>Household Income Deciles</w:t>
      </w:r>
      <w:bookmarkEnd w:id="590"/>
      <w:bookmarkEnd w:id="591"/>
      <w:bookmarkEnd w:id="592"/>
    </w:p>
    <w:p w14:paraId="00000821" w14:textId="4DB6ECED" w:rsidR="00F8269C" w:rsidRDefault="00C815B6">
      <w:r>
        <w:t>Table 19: Household Income Deciles</w:t>
      </w:r>
    </w:p>
    <w:tbl>
      <w:tblPr>
        <w:tblStyle w:val="af6"/>
        <w:tblW w:w="9015" w:type="dxa"/>
        <w:tblInd w:w="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266"/>
        <w:gridCol w:w="1405"/>
        <w:gridCol w:w="1489"/>
        <w:gridCol w:w="1196"/>
        <w:gridCol w:w="1196"/>
        <w:gridCol w:w="1267"/>
        <w:gridCol w:w="1196"/>
      </w:tblGrid>
      <w:tr w:rsidR="00F8269C" w14:paraId="072CB68B" w14:textId="77777777" w:rsidTr="009D3DA2">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66" w:type="dxa"/>
          </w:tcPr>
          <w:p w14:paraId="00000822" w14:textId="77777777" w:rsidR="00F8269C" w:rsidRDefault="00450D2D" w:rsidP="009D3DA2">
            <w:pPr>
              <w:spacing w:before="60" w:after="60"/>
              <w:rPr>
                <w:sz w:val="16"/>
                <w:szCs w:val="16"/>
              </w:rPr>
            </w:pPr>
            <w:r>
              <w:rPr>
                <w:sz w:val="16"/>
                <w:szCs w:val="16"/>
              </w:rPr>
              <w:t>Households: deciles</w:t>
            </w:r>
          </w:p>
        </w:tc>
        <w:tc>
          <w:tcPr>
            <w:tcW w:w="1405" w:type="dxa"/>
          </w:tcPr>
          <w:p w14:paraId="00000823" w14:textId="77777777" w:rsidR="00F8269C"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Cultural and natural heritage</w:t>
            </w:r>
          </w:p>
        </w:tc>
        <w:tc>
          <w:tcPr>
            <w:tcW w:w="1489" w:type="dxa"/>
          </w:tcPr>
          <w:p w14:paraId="00000824" w14:textId="77777777" w:rsidR="00F8269C"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Performance and celebration</w:t>
            </w:r>
          </w:p>
        </w:tc>
        <w:tc>
          <w:tcPr>
            <w:tcW w:w="1196" w:type="dxa"/>
          </w:tcPr>
          <w:p w14:paraId="00000825" w14:textId="77777777" w:rsidR="00F8269C"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Visual art and crafts</w:t>
            </w:r>
          </w:p>
        </w:tc>
        <w:tc>
          <w:tcPr>
            <w:tcW w:w="1196" w:type="dxa"/>
          </w:tcPr>
          <w:p w14:paraId="00000826" w14:textId="77777777" w:rsidR="00F8269C"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Books and press</w:t>
            </w:r>
          </w:p>
        </w:tc>
        <w:tc>
          <w:tcPr>
            <w:tcW w:w="1267" w:type="dxa"/>
          </w:tcPr>
          <w:p w14:paraId="00000827" w14:textId="77777777" w:rsidR="00F8269C"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Audio-visual and interactive media</w:t>
            </w:r>
          </w:p>
        </w:tc>
        <w:tc>
          <w:tcPr>
            <w:tcW w:w="1196" w:type="dxa"/>
          </w:tcPr>
          <w:p w14:paraId="00000828" w14:textId="77777777" w:rsidR="00F8269C" w:rsidRDefault="00450D2D" w:rsidP="009D3DA2">
            <w:pPr>
              <w:spacing w:before="60" w:after="60"/>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Design and creative services</w:t>
            </w:r>
          </w:p>
        </w:tc>
      </w:tr>
      <w:tr w:rsidR="00F8269C" w14:paraId="59639D6E" w14:textId="77777777" w:rsidTr="009D3DA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66" w:type="dxa"/>
          </w:tcPr>
          <w:p w14:paraId="00000829" w14:textId="77777777" w:rsidR="00F8269C" w:rsidRDefault="00450D2D" w:rsidP="009D3DA2">
            <w:pPr>
              <w:spacing w:before="60" w:after="60"/>
              <w:jc w:val="center"/>
              <w:rPr>
                <w:color w:val="000000"/>
                <w:sz w:val="16"/>
                <w:szCs w:val="16"/>
              </w:rPr>
            </w:pPr>
            <w:r>
              <w:rPr>
                <w:sz w:val="16"/>
                <w:szCs w:val="16"/>
              </w:rPr>
              <w:t>1</w:t>
            </w:r>
          </w:p>
        </w:tc>
        <w:tc>
          <w:tcPr>
            <w:tcW w:w="1405" w:type="dxa"/>
            <w:tcMar>
              <w:right w:w="454" w:type="dxa"/>
            </w:tcMar>
          </w:tcPr>
          <w:p w14:paraId="0000082A"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11</w:t>
            </w:r>
          </w:p>
        </w:tc>
        <w:tc>
          <w:tcPr>
            <w:tcW w:w="1489" w:type="dxa"/>
            <w:tcMar>
              <w:right w:w="454" w:type="dxa"/>
            </w:tcMar>
          </w:tcPr>
          <w:p w14:paraId="0000082B"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21</w:t>
            </w:r>
          </w:p>
        </w:tc>
        <w:tc>
          <w:tcPr>
            <w:tcW w:w="1196" w:type="dxa"/>
            <w:tcMar>
              <w:right w:w="454" w:type="dxa"/>
            </w:tcMar>
          </w:tcPr>
          <w:p w14:paraId="0000082C"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124</w:t>
            </w:r>
          </w:p>
        </w:tc>
        <w:tc>
          <w:tcPr>
            <w:tcW w:w="1196" w:type="dxa"/>
            <w:tcMar>
              <w:right w:w="454" w:type="dxa"/>
            </w:tcMar>
          </w:tcPr>
          <w:p w14:paraId="0000082D"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81</w:t>
            </w:r>
          </w:p>
        </w:tc>
        <w:tc>
          <w:tcPr>
            <w:tcW w:w="1267" w:type="dxa"/>
            <w:tcMar>
              <w:right w:w="454" w:type="dxa"/>
            </w:tcMar>
          </w:tcPr>
          <w:p w14:paraId="0000082E"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26</w:t>
            </w:r>
          </w:p>
        </w:tc>
        <w:tc>
          <w:tcPr>
            <w:tcW w:w="1196" w:type="dxa"/>
            <w:tcMar>
              <w:right w:w="454" w:type="dxa"/>
            </w:tcMar>
          </w:tcPr>
          <w:p w14:paraId="0000082F"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16</w:t>
            </w:r>
          </w:p>
        </w:tc>
      </w:tr>
      <w:tr w:rsidR="00F8269C" w14:paraId="5D9B61DF" w14:textId="77777777" w:rsidTr="009D3DA2">
        <w:trPr>
          <w:trHeight w:val="315"/>
        </w:trPr>
        <w:tc>
          <w:tcPr>
            <w:cnfStyle w:val="001000000000" w:firstRow="0" w:lastRow="0" w:firstColumn="1" w:lastColumn="0" w:oddVBand="0" w:evenVBand="0" w:oddHBand="0" w:evenHBand="0" w:firstRowFirstColumn="0" w:firstRowLastColumn="0" w:lastRowFirstColumn="0" w:lastRowLastColumn="0"/>
            <w:tcW w:w="1266" w:type="dxa"/>
          </w:tcPr>
          <w:p w14:paraId="00000830" w14:textId="77777777" w:rsidR="00F8269C" w:rsidRDefault="00450D2D" w:rsidP="009D3DA2">
            <w:pPr>
              <w:spacing w:before="60" w:after="60"/>
              <w:jc w:val="center"/>
              <w:rPr>
                <w:color w:val="000000"/>
                <w:sz w:val="16"/>
                <w:szCs w:val="16"/>
              </w:rPr>
            </w:pPr>
            <w:r>
              <w:rPr>
                <w:sz w:val="16"/>
                <w:szCs w:val="16"/>
              </w:rPr>
              <w:t>2</w:t>
            </w:r>
          </w:p>
        </w:tc>
        <w:tc>
          <w:tcPr>
            <w:tcW w:w="1405" w:type="dxa"/>
            <w:tcMar>
              <w:right w:w="454" w:type="dxa"/>
            </w:tcMar>
          </w:tcPr>
          <w:p w14:paraId="00000831"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29</w:t>
            </w:r>
          </w:p>
        </w:tc>
        <w:tc>
          <w:tcPr>
            <w:tcW w:w="1489" w:type="dxa"/>
            <w:tcMar>
              <w:right w:w="454" w:type="dxa"/>
            </w:tcMar>
          </w:tcPr>
          <w:p w14:paraId="00000832"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55</w:t>
            </w:r>
          </w:p>
        </w:tc>
        <w:tc>
          <w:tcPr>
            <w:tcW w:w="1196" w:type="dxa"/>
            <w:tcMar>
              <w:right w:w="454" w:type="dxa"/>
            </w:tcMar>
          </w:tcPr>
          <w:p w14:paraId="00000833"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337</w:t>
            </w:r>
          </w:p>
        </w:tc>
        <w:tc>
          <w:tcPr>
            <w:tcW w:w="1196" w:type="dxa"/>
            <w:tcMar>
              <w:right w:w="454" w:type="dxa"/>
            </w:tcMar>
          </w:tcPr>
          <w:p w14:paraId="00000834"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217</w:t>
            </w:r>
          </w:p>
        </w:tc>
        <w:tc>
          <w:tcPr>
            <w:tcW w:w="1267" w:type="dxa"/>
            <w:tcMar>
              <w:right w:w="454" w:type="dxa"/>
            </w:tcMar>
          </w:tcPr>
          <w:p w14:paraId="00000835"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68</w:t>
            </w:r>
          </w:p>
        </w:tc>
        <w:tc>
          <w:tcPr>
            <w:tcW w:w="1196" w:type="dxa"/>
            <w:tcMar>
              <w:right w:w="454" w:type="dxa"/>
            </w:tcMar>
          </w:tcPr>
          <w:p w14:paraId="00000836"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42</w:t>
            </w:r>
          </w:p>
        </w:tc>
      </w:tr>
      <w:tr w:rsidR="00F8269C" w14:paraId="2D068AD8" w14:textId="77777777" w:rsidTr="009D3DA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66" w:type="dxa"/>
          </w:tcPr>
          <w:p w14:paraId="00000837" w14:textId="77777777" w:rsidR="00F8269C" w:rsidRDefault="00450D2D" w:rsidP="009D3DA2">
            <w:pPr>
              <w:spacing w:before="60" w:after="60"/>
              <w:jc w:val="center"/>
              <w:rPr>
                <w:color w:val="000000"/>
                <w:sz w:val="16"/>
                <w:szCs w:val="16"/>
              </w:rPr>
            </w:pPr>
            <w:r>
              <w:rPr>
                <w:sz w:val="16"/>
                <w:szCs w:val="16"/>
              </w:rPr>
              <w:t>3</w:t>
            </w:r>
          </w:p>
        </w:tc>
        <w:tc>
          <w:tcPr>
            <w:tcW w:w="1405" w:type="dxa"/>
            <w:tcMar>
              <w:right w:w="454" w:type="dxa"/>
            </w:tcMar>
          </w:tcPr>
          <w:p w14:paraId="00000838"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61</w:t>
            </w:r>
          </w:p>
        </w:tc>
        <w:tc>
          <w:tcPr>
            <w:tcW w:w="1489" w:type="dxa"/>
            <w:tcMar>
              <w:right w:w="454" w:type="dxa"/>
            </w:tcMar>
          </w:tcPr>
          <w:p w14:paraId="00000839"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115</w:t>
            </w:r>
          </w:p>
        </w:tc>
        <w:tc>
          <w:tcPr>
            <w:tcW w:w="1196" w:type="dxa"/>
            <w:tcMar>
              <w:right w:w="454" w:type="dxa"/>
            </w:tcMar>
          </w:tcPr>
          <w:p w14:paraId="0000083A"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641</w:t>
            </w:r>
          </w:p>
        </w:tc>
        <w:tc>
          <w:tcPr>
            <w:tcW w:w="1196" w:type="dxa"/>
            <w:tcMar>
              <w:right w:w="454" w:type="dxa"/>
            </w:tcMar>
          </w:tcPr>
          <w:p w14:paraId="0000083B"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424</w:t>
            </w:r>
          </w:p>
        </w:tc>
        <w:tc>
          <w:tcPr>
            <w:tcW w:w="1267" w:type="dxa"/>
            <w:tcMar>
              <w:right w:w="454" w:type="dxa"/>
            </w:tcMar>
          </w:tcPr>
          <w:p w14:paraId="0000083C"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145</w:t>
            </w:r>
          </w:p>
        </w:tc>
        <w:tc>
          <w:tcPr>
            <w:tcW w:w="1196" w:type="dxa"/>
            <w:tcMar>
              <w:right w:w="454" w:type="dxa"/>
            </w:tcMar>
          </w:tcPr>
          <w:p w14:paraId="0000083D"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82</w:t>
            </w:r>
          </w:p>
        </w:tc>
      </w:tr>
      <w:tr w:rsidR="00F8269C" w14:paraId="6F094A58" w14:textId="77777777" w:rsidTr="009D3DA2">
        <w:trPr>
          <w:trHeight w:val="315"/>
        </w:trPr>
        <w:tc>
          <w:tcPr>
            <w:cnfStyle w:val="001000000000" w:firstRow="0" w:lastRow="0" w:firstColumn="1" w:lastColumn="0" w:oddVBand="0" w:evenVBand="0" w:oddHBand="0" w:evenHBand="0" w:firstRowFirstColumn="0" w:firstRowLastColumn="0" w:lastRowFirstColumn="0" w:lastRowLastColumn="0"/>
            <w:tcW w:w="1266" w:type="dxa"/>
          </w:tcPr>
          <w:p w14:paraId="0000083E" w14:textId="77777777" w:rsidR="00F8269C" w:rsidRDefault="00450D2D" w:rsidP="009D3DA2">
            <w:pPr>
              <w:spacing w:before="60" w:after="60"/>
              <w:jc w:val="center"/>
              <w:rPr>
                <w:color w:val="000000"/>
                <w:sz w:val="16"/>
                <w:szCs w:val="16"/>
              </w:rPr>
            </w:pPr>
            <w:r>
              <w:rPr>
                <w:sz w:val="16"/>
                <w:szCs w:val="16"/>
              </w:rPr>
              <w:t>4</w:t>
            </w:r>
          </w:p>
        </w:tc>
        <w:tc>
          <w:tcPr>
            <w:tcW w:w="1405" w:type="dxa"/>
            <w:tcMar>
              <w:right w:w="454" w:type="dxa"/>
            </w:tcMar>
          </w:tcPr>
          <w:p w14:paraId="0000083F"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115</w:t>
            </w:r>
          </w:p>
        </w:tc>
        <w:tc>
          <w:tcPr>
            <w:tcW w:w="1489" w:type="dxa"/>
            <w:tcMar>
              <w:right w:w="454" w:type="dxa"/>
            </w:tcMar>
          </w:tcPr>
          <w:p w14:paraId="00000840"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213</w:t>
            </w:r>
          </w:p>
        </w:tc>
        <w:tc>
          <w:tcPr>
            <w:tcW w:w="1196" w:type="dxa"/>
            <w:tcMar>
              <w:right w:w="454" w:type="dxa"/>
            </w:tcMar>
          </w:tcPr>
          <w:p w14:paraId="00000841"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1 030</w:t>
            </w:r>
          </w:p>
        </w:tc>
        <w:tc>
          <w:tcPr>
            <w:tcW w:w="1196" w:type="dxa"/>
            <w:tcMar>
              <w:right w:w="454" w:type="dxa"/>
            </w:tcMar>
          </w:tcPr>
          <w:p w14:paraId="00000842"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714</w:t>
            </w:r>
          </w:p>
        </w:tc>
        <w:tc>
          <w:tcPr>
            <w:tcW w:w="1267" w:type="dxa"/>
            <w:tcMar>
              <w:right w:w="454" w:type="dxa"/>
            </w:tcMar>
          </w:tcPr>
          <w:p w14:paraId="00000843"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271</w:t>
            </w:r>
          </w:p>
        </w:tc>
        <w:tc>
          <w:tcPr>
            <w:tcW w:w="1196" w:type="dxa"/>
            <w:tcMar>
              <w:right w:w="454" w:type="dxa"/>
            </w:tcMar>
          </w:tcPr>
          <w:p w14:paraId="00000844"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138</w:t>
            </w:r>
          </w:p>
        </w:tc>
      </w:tr>
      <w:tr w:rsidR="00F8269C" w14:paraId="527615EB" w14:textId="77777777" w:rsidTr="009D3DA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66" w:type="dxa"/>
          </w:tcPr>
          <w:p w14:paraId="00000845" w14:textId="77777777" w:rsidR="00F8269C" w:rsidRDefault="00450D2D" w:rsidP="009D3DA2">
            <w:pPr>
              <w:spacing w:before="60" w:after="60"/>
              <w:jc w:val="center"/>
              <w:rPr>
                <w:color w:val="000000"/>
                <w:sz w:val="16"/>
                <w:szCs w:val="16"/>
              </w:rPr>
            </w:pPr>
            <w:r>
              <w:rPr>
                <w:sz w:val="16"/>
                <w:szCs w:val="16"/>
              </w:rPr>
              <w:t>5</w:t>
            </w:r>
          </w:p>
        </w:tc>
        <w:tc>
          <w:tcPr>
            <w:tcW w:w="1405" w:type="dxa"/>
            <w:tcMar>
              <w:right w:w="454" w:type="dxa"/>
            </w:tcMar>
          </w:tcPr>
          <w:p w14:paraId="00000846"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191</w:t>
            </w:r>
          </w:p>
        </w:tc>
        <w:tc>
          <w:tcPr>
            <w:tcW w:w="1489" w:type="dxa"/>
            <w:tcMar>
              <w:right w:w="454" w:type="dxa"/>
            </w:tcMar>
          </w:tcPr>
          <w:p w14:paraId="00000847"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353</w:t>
            </w:r>
          </w:p>
        </w:tc>
        <w:tc>
          <w:tcPr>
            <w:tcW w:w="1196" w:type="dxa"/>
            <w:tcMar>
              <w:right w:w="454" w:type="dxa"/>
            </w:tcMar>
          </w:tcPr>
          <w:p w14:paraId="00000848"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1 502</w:t>
            </w:r>
          </w:p>
        </w:tc>
        <w:tc>
          <w:tcPr>
            <w:tcW w:w="1196" w:type="dxa"/>
            <w:tcMar>
              <w:right w:w="454" w:type="dxa"/>
            </w:tcMar>
          </w:tcPr>
          <w:p w14:paraId="00000849"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1 096</w:t>
            </w:r>
          </w:p>
        </w:tc>
        <w:tc>
          <w:tcPr>
            <w:tcW w:w="1267" w:type="dxa"/>
            <w:tcMar>
              <w:right w:w="454" w:type="dxa"/>
            </w:tcMar>
          </w:tcPr>
          <w:p w14:paraId="0000084A"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452</w:t>
            </w:r>
          </w:p>
        </w:tc>
        <w:tc>
          <w:tcPr>
            <w:tcW w:w="1196" w:type="dxa"/>
            <w:tcMar>
              <w:right w:w="454" w:type="dxa"/>
            </w:tcMar>
          </w:tcPr>
          <w:p w14:paraId="0000084B"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211</w:t>
            </w:r>
          </w:p>
        </w:tc>
      </w:tr>
      <w:tr w:rsidR="00F8269C" w14:paraId="1733AD45" w14:textId="77777777" w:rsidTr="009D3DA2">
        <w:trPr>
          <w:trHeight w:val="315"/>
        </w:trPr>
        <w:tc>
          <w:tcPr>
            <w:cnfStyle w:val="001000000000" w:firstRow="0" w:lastRow="0" w:firstColumn="1" w:lastColumn="0" w:oddVBand="0" w:evenVBand="0" w:oddHBand="0" w:evenHBand="0" w:firstRowFirstColumn="0" w:firstRowLastColumn="0" w:lastRowFirstColumn="0" w:lastRowLastColumn="0"/>
            <w:tcW w:w="1266" w:type="dxa"/>
          </w:tcPr>
          <w:p w14:paraId="0000084C" w14:textId="77777777" w:rsidR="00F8269C" w:rsidRDefault="00450D2D" w:rsidP="009D3DA2">
            <w:pPr>
              <w:spacing w:before="60" w:after="60"/>
              <w:jc w:val="center"/>
              <w:rPr>
                <w:color w:val="000000"/>
                <w:sz w:val="16"/>
                <w:szCs w:val="16"/>
              </w:rPr>
            </w:pPr>
            <w:r>
              <w:rPr>
                <w:sz w:val="16"/>
                <w:szCs w:val="16"/>
              </w:rPr>
              <w:t>6</w:t>
            </w:r>
          </w:p>
        </w:tc>
        <w:tc>
          <w:tcPr>
            <w:tcW w:w="1405" w:type="dxa"/>
            <w:tcMar>
              <w:right w:w="454" w:type="dxa"/>
            </w:tcMar>
          </w:tcPr>
          <w:p w14:paraId="0000084D"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333</w:t>
            </w:r>
          </w:p>
        </w:tc>
        <w:tc>
          <w:tcPr>
            <w:tcW w:w="1489" w:type="dxa"/>
            <w:tcMar>
              <w:right w:w="454" w:type="dxa"/>
            </w:tcMar>
          </w:tcPr>
          <w:p w14:paraId="0000084E"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609</w:t>
            </w:r>
          </w:p>
        </w:tc>
        <w:tc>
          <w:tcPr>
            <w:tcW w:w="1196" w:type="dxa"/>
            <w:tcMar>
              <w:right w:w="454" w:type="dxa"/>
            </w:tcMar>
          </w:tcPr>
          <w:p w14:paraId="0000084F"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2 195</w:t>
            </w:r>
          </w:p>
        </w:tc>
        <w:tc>
          <w:tcPr>
            <w:tcW w:w="1196" w:type="dxa"/>
            <w:tcMar>
              <w:right w:w="454" w:type="dxa"/>
            </w:tcMar>
          </w:tcPr>
          <w:p w14:paraId="00000850"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1 664</w:t>
            </w:r>
          </w:p>
        </w:tc>
        <w:tc>
          <w:tcPr>
            <w:tcW w:w="1267" w:type="dxa"/>
            <w:tcMar>
              <w:right w:w="454" w:type="dxa"/>
            </w:tcMar>
          </w:tcPr>
          <w:p w14:paraId="00000851"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788</w:t>
            </w:r>
          </w:p>
        </w:tc>
        <w:tc>
          <w:tcPr>
            <w:tcW w:w="1196" w:type="dxa"/>
            <w:tcMar>
              <w:right w:w="454" w:type="dxa"/>
            </w:tcMar>
          </w:tcPr>
          <w:p w14:paraId="00000852"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325</w:t>
            </w:r>
          </w:p>
        </w:tc>
      </w:tr>
      <w:tr w:rsidR="00F8269C" w14:paraId="348ADBD3" w14:textId="77777777" w:rsidTr="009D3DA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66" w:type="dxa"/>
          </w:tcPr>
          <w:p w14:paraId="00000853" w14:textId="77777777" w:rsidR="00F8269C" w:rsidRDefault="00450D2D" w:rsidP="009D3DA2">
            <w:pPr>
              <w:spacing w:before="60" w:after="60"/>
              <w:jc w:val="center"/>
              <w:rPr>
                <w:color w:val="000000"/>
                <w:sz w:val="16"/>
                <w:szCs w:val="16"/>
              </w:rPr>
            </w:pPr>
            <w:r>
              <w:rPr>
                <w:sz w:val="16"/>
                <w:szCs w:val="16"/>
              </w:rPr>
              <w:t>7</w:t>
            </w:r>
          </w:p>
        </w:tc>
        <w:tc>
          <w:tcPr>
            <w:tcW w:w="1405" w:type="dxa"/>
            <w:tcMar>
              <w:right w:w="454" w:type="dxa"/>
            </w:tcMar>
          </w:tcPr>
          <w:p w14:paraId="00000854"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570</w:t>
            </w:r>
          </w:p>
        </w:tc>
        <w:tc>
          <w:tcPr>
            <w:tcW w:w="1489" w:type="dxa"/>
            <w:tcMar>
              <w:right w:w="454" w:type="dxa"/>
            </w:tcMar>
          </w:tcPr>
          <w:p w14:paraId="00000855"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1 036</w:t>
            </w:r>
          </w:p>
        </w:tc>
        <w:tc>
          <w:tcPr>
            <w:tcW w:w="1196" w:type="dxa"/>
            <w:tcMar>
              <w:right w:w="454" w:type="dxa"/>
            </w:tcMar>
          </w:tcPr>
          <w:p w14:paraId="00000856"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3 231</w:t>
            </w:r>
          </w:p>
        </w:tc>
        <w:tc>
          <w:tcPr>
            <w:tcW w:w="1196" w:type="dxa"/>
            <w:tcMar>
              <w:right w:w="454" w:type="dxa"/>
            </w:tcMar>
          </w:tcPr>
          <w:p w14:paraId="00000857"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2 544</w:t>
            </w:r>
          </w:p>
        </w:tc>
        <w:tc>
          <w:tcPr>
            <w:tcW w:w="1267" w:type="dxa"/>
            <w:tcMar>
              <w:right w:w="454" w:type="dxa"/>
            </w:tcMar>
          </w:tcPr>
          <w:p w14:paraId="00000858"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1 351</w:t>
            </w:r>
          </w:p>
        </w:tc>
        <w:tc>
          <w:tcPr>
            <w:tcW w:w="1196" w:type="dxa"/>
            <w:tcMar>
              <w:right w:w="454" w:type="dxa"/>
            </w:tcMar>
          </w:tcPr>
          <w:p w14:paraId="00000859"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498</w:t>
            </w:r>
          </w:p>
        </w:tc>
      </w:tr>
      <w:tr w:rsidR="00F8269C" w14:paraId="4E200A7D" w14:textId="77777777" w:rsidTr="009D3DA2">
        <w:trPr>
          <w:trHeight w:val="315"/>
        </w:trPr>
        <w:tc>
          <w:tcPr>
            <w:cnfStyle w:val="001000000000" w:firstRow="0" w:lastRow="0" w:firstColumn="1" w:lastColumn="0" w:oddVBand="0" w:evenVBand="0" w:oddHBand="0" w:evenHBand="0" w:firstRowFirstColumn="0" w:firstRowLastColumn="0" w:lastRowFirstColumn="0" w:lastRowLastColumn="0"/>
            <w:tcW w:w="1266" w:type="dxa"/>
          </w:tcPr>
          <w:p w14:paraId="0000085A" w14:textId="77777777" w:rsidR="00F8269C" w:rsidRDefault="00450D2D" w:rsidP="009D3DA2">
            <w:pPr>
              <w:spacing w:before="60" w:after="60"/>
              <w:jc w:val="center"/>
              <w:rPr>
                <w:color w:val="000000"/>
                <w:sz w:val="16"/>
                <w:szCs w:val="16"/>
              </w:rPr>
            </w:pPr>
            <w:r>
              <w:rPr>
                <w:sz w:val="16"/>
                <w:szCs w:val="16"/>
              </w:rPr>
              <w:t>8</w:t>
            </w:r>
          </w:p>
        </w:tc>
        <w:tc>
          <w:tcPr>
            <w:tcW w:w="1405" w:type="dxa"/>
            <w:tcMar>
              <w:right w:w="454" w:type="dxa"/>
            </w:tcMar>
          </w:tcPr>
          <w:p w14:paraId="0000085B"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1 179</w:t>
            </w:r>
          </w:p>
        </w:tc>
        <w:tc>
          <w:tcPr>
            <w:tcW w:w="1489" w:type="dxa"/>
            <w:tcMar>
              <w:right w:w="454" w:type="dxa"/>
            </w:tcMar>
          </w:tcPr>
          <w:p w14:paraId="0000085C"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2 122</w:t>
            </w:r>
          </w:p>
        </w:tc>
        <w:tc>
          <w:tcPr>
            <w:tcW w:w="1196" w:type="dxa"/>
            <w:tcMar>
              <w:right w:w="454" w:type="dxa"/>
            </w:tcMar>
          </w:tcPr>
          <w:p w14:paraId="0000085D"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5 062</w:t>
            </w:r>
          </w:p>
        </w:tc>
        <w:tc>
          <w:tcPr>
            <w:tcW w:w="1196" w:type="dxa"/>
            <w:tcMar>
              <w:right w:w="454" w:type="dxa"/>
            </w:tcMar>
          </w:tcPr>
          <w:p w14:paraId="0000085E"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4 089</w:t>
            </w:r>
          </w:p>
        </w:tc>
        <w:tc>
          <w:tcPr>
            <w:tcW w:w="1267" w:type="dxa"/>
            <w:tcMar>
              <w:right w:w="454" w:type="dxa"/>
            </w:tcMar>
          </w:tcPr>
          <w:p w14:paraId="0000085F"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2 795</w:t>
            </w:r>
          </w:p>
        </w:tc>
        <w:tc>
          <w:tcPr>
            <w:tcW w:w="1196" w:type="dxa"/>
            <w:tcMar>
              <w:right w:w="454" w:type="dxa"/>
            </w:tcMar>
          </w:tcPr>
          <w:p w14:paraId="00000860"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848</w:t>
            </w:r>
          </w:p>
        </w:tc>
      </w:tr>
      <w:tr w:rsidR="00F8269C" w14:paraId="3E3F3946" w14:textId="77777777" w:rsidTr="009D3DA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66" w:type="dxa"/>
          </w:tcPr>
          <w:p w14:paraId="00000861" w14:textId="77777777" w:rsidR="00F8269C" w:rsidRDefault="00450D2D" w:rsidP="009D3DA2">
            <w:pPr>
              <w:spacing w:before="60" w:after="60"/>
              <w:jc w:val="center"/>
              <w:rPr>
                <w:color w:val="000000"/>
                <w:sz w:val="16"/>
                <w:szCs w:val="16"/>
              </w:rPr>
            </w:pPr>
            <w:r>
              <w:rPr>
                <w:sz w:val="16"/>
                <w:szCs w:val="16"/>
              </w:rPr>
              <w:t>9</w:t>
            </w:r>
          </w:p>
        </w:tc>
        <w:tc>
          <w:tcPr>
            <w:tcW w:w="1405" w:type="dxa"/>
            <w:tcMar>
              <w:right w:w="454" w:type="dxa"/>
            </w:tcMar>
          </w:tcPr>
          <w:p w14:paraId="00000862"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2 383</w:t>
            </w:r>
          </w:p>
        </w:tc>
        <w:tc>
          <w:tcPr>
            <w:tcW w:w="1489" w:type="dxa"/>
            <w:tcMar>
              <w:right w:w="454" w:type="dxa"/>
            </w:tcMar>
          </w:tcPr>
          <w:p w14:paraId="00000863"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4 264</w:t>
            </w:r>
          </w:p>
        </w:tc>
        <w:tc>
          <w:tcPr>
            <w:tcW w:w="1196" w:type="dxa"/>
            <w:tcMar>
              <w:right w:w="454" w:type="dxa"/>
            </w:tcMar>
          </w:tcPr>
          <w:p w14:paraId="00000864"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8 065</w:t>
            </w:r>
          </w:p>
        </w:tc>
        <w:tc>
          <w:tcPr>
            <w:tcW w:w="1196" w:type="dxa"/>
            <w:tcMar>
              <w:right w:w="454" w:type="dxa"/>
            </w:tcMar>
          </w:tcPr>
          <w:p w14:paraId="00000865"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6 564</w:t>
            </w:r>
          </w:p>
        </w:tc>
        <w:tc>
          <w:tcPr>
            <w:tcW w:w="1267" w:type="dxa"/>
            <w:tcMar>
              <w:right w:w="454" w:type="dxa"/>
            </w:tcMar>
          </w:tcPr>
          <w:p w14:paraId="00000866"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5 653</w:t>
            </w:r>
          </w:p>
        </w:tc>
        <w:tc>
          <w:tcPr>
            <w:tcW w:w="1196" w:type="dxa"/>
            <w:tcMar>
              <w:right w:w="454" w:type="dxa"/>
            </w:tcMar>
          </w:tcPr>
          <w:p w14:paraId="00000867"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1 441</w:t>
            </w:r>
          </w:p>
        </w:tc>
      </w:tr>
      <w:tr w:rsidR="00F8269C" w14:paraId="1A85006F" w14:textId="77777777" w:rsidTr="009D3DA2">
        <w:trPr>
          <w:trHeight w:val="315"/>
        </w:trPr>
        <w:tc>
          <w:tcPr>
            <w:cnfStyle w:val="001000000000" w:firstRow="0" w:lastRow="0" w:firstColumn="1" w:lastColumn="0" w:oddVBand="0" w:evenVBand="0" w:oddHBand="0" w:evenHBand="0" w:firstRowFirstColumn="0" w:firstRowLastColumn="0" w:lastRowFirstColumn="0" w:lastRowLastColumn="0"/>
            <w:tcW w:w="1266" w:type="dxa"/>
          </w:tcPr>
          <w:p w14:paraId="00000868" w14:textId="77777777" w:rsidR="00F8269C" w:rsidRDefault="00450D2D" w:rsidP="009D3DA2">
            <w:pPr>
              <w:spacing w:before="60" w:after="60"/>
              <w:jc w:val="center"/>
              <w:rPr>
                <w:color w:val="000000"/>
                <w:sz w:val="16"/>
                <w:szCs w:val="16"/>
              </w:rPr>
            </w:pPr>
            <w:r>
              <w:rPr>
                <w:sz w:val="16"/>
                <w:szCs w:val="16"/>
              </w:rPr>
              <w:t>101</w:t>
            </w:r>
          </w:p>
        </w:tc>
        <w:tc>
          <w:tcPr>
            <w:tcW w:w="1405" w:type="dxa"/>
            <w:tcMar>
              <w:right w:w="454" w:type="dxa"/>
            </w:tcMar>
          </w:tcPr>
          <w:p w14:paraId="00000869"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2 883</w:t>
            </w:r>
          </w:p>
        </w:tc>
        <w:tc>
          <w:tcPr>
            <w:tcW w:w="1489" w:type="dxa"/>
            <w:tcMar>
              <w:right w:w="454" w:type="dxa"/>
            </w:tcMar>
          </w:tcPr>
          <w:p w14:paraId="0000086A"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5 156</w:t>
            </w:r>
          </w:p>
        </w:tc>
        <w:tc>
          <w:tcPr>
            <w:tcW w:w="1196" w:type="dxa"/>
            <w:tcMar>
              <w:right w:w="454" w:type="dxa"/>
            </w:tcMar>
          </w:tcPr>
          <w:p w14:paraId="0000086B"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9 545</w:t>
            </w:r>
          </w:p>
        </w:tc>
        <w:tc>
          <w:tcPr>
            <w:tcW w:w="1196" w:type="dxa"/>
            <w:tcMar>
              <w:right w:w="454" w:type="dxa"/>
            </w:tcMar>
          </w:tcPr>
          <w:p w14:paraId="0000086C"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7 577</w:t>
            </w:r>
          </w:p>
        </w:tc>
        <w:tc>
          <w:tcPr>
            <w:tcW w:w="1267" w:type="dxa"/>
            <w:tcMar>
              <w:right w:w="454" w:type="dxa"/>
            </w:tcMar>
          </w:tcPr>
          <w:p w14:paraId="0000086D"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6 839</w:t>
            </w:r>
          </w:p>
        </w:tc>
        <w:tc>
          <w:tcPr>
            <w:tcW w:w="1196" w:type="dxa"/>
            <w:tcMar>
              <w:right w:w="454" w:type="dxa"/>
            </w:tcMar>
          </w:tcPr>
          <w:p w14:paraId="0000086E"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1 687</w:t>
            </w:r>
          </w:p>
        </w:tc>
      </w:tr>
      <w:tr w:rsidR="00F8269C" w14:paraId="7B6E592B" w14:textId="77777777" w:rsidTr="009D3DA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66" w:type="dxa"/>
          </w:tcPr>
          <w:p w14:paraId="0000086F" w14:textId="77777777" w:rsidR="00F8269C" w:rsidRDefault="00450D2D" w:rsidP="009D3DA2">
            <w:pPr>
              <w:spacing w:before="60" w:after="60"/>
              <w:jc w:val="center"/>
              <w:rPr>
                <w:color w:val="000000"/>
                <w:sz w:val="16"/>
                <w:szCs w:val="16"/>
              </w:rPr>
            </w:pPr>
            <w:r>
              <w:rPr>
                <w:sz w:val="16"/>
                <w:szCs w:val="16"/>
              </w:rPr>
              <w:t>102</w:t>
            </w:r>
          </w:p>
        </w:tc>
        <w:tc>
          <w:tcPr>
            <w:tcW w:w="1405" w:type="dxa"/>
            <w:tcMar>
              <w:right w:w="454" w:type="dxa"/>
            </w:tcMar>
          </w:tcPr>
          <w:p w14:paraId="00000870"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3 480</w:t>
            </w:r>
          </w:p>
        </w:tc>
        <w:tc>
          <w:tcPr>
            <w:tcW w:w="1489" w:type="dxa"/>
            <w:tcMar>
              <w:right w:w="454" w:type="dxa"/>
            </w:tcMar>
          </w:tcPr>
          <w:p w14:paraId="00000871"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6 216</w:t>
            </w:r>
          </w:p>
        </w:tc>
        <w:tc>
          <w:tcPr>
            <w:tcW w:w="1196" w:type="dxa"/>
            <w:tcMar>
              <w:right w:w="454" w:type="dxa"/>
            </w:tcMar>
          </w:tcPr>
          <w:p w14:paraId="00000872"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10 941</w:t>
            </w:r>
          </w:p>
        </w:tc>
        <w:tc>
          <w:tcPr>
            <w:tcW w:w="1196" w:type="dxa"/>
            <w:tcMar>
              <w:right w:w="454" w:type="dxa"/>
            </w:tcMar>
          </w:tcPr>
          <w:p w14:paraId="00000873"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8 726</w:t>
            </w:r>
          </w:p>
        </w:tc>
        <w:tc>
          <w:tcPr>
            <w:tcW w:w="1267" w:type="dxa"/>
            <w:tcMar>
              <w:right w:w="454" w:type="dxa"/>
            </w:tcMar>
          </w:tcPr>
          <w:p w14:paraId="00000874"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8 256</w:t>
            </w:r>
          </w:p>
        </w:tc>
        <w:tc>
          <w:tcPr>
            <w:tcW w:w="1196" w:type="dxa"/>
            <w:tcMar>
              <w:right w:w="454" w:type="dxa"/>
            </w:tcMar>
          </w:tcPr>
          <w:p w14:paraId="00000875"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1 962</w:t>
            </w:r>
          </w:p>
        </w:tc>
      </w:tr>
      <w:tr w:rsidR="00F8269C" w14:paraId="535FC553" w14:textId="77777777" w:rsidTr="009D3DA2">
        <w:trPr>
          <w:trHeight w:val="315"/>
        </w:trPr>
        <w:tc>
          <w:tcPr>
            <w:cnfStyle w:val="001000000000" w:firstRow="0" w:lastRow="0" w:firstColumn="1" w:lastColumn="0" w:oddVBand="0" w:evenVBand="0" w:oddHBand="0" w:evenHBand="0" w:firstRowFirstColumn="0" w:firstRowLastColumn="0" w:lastRowFirstColumn="0" w:lastRowLastColumn="0"/>
            <w:tcW w:w="1266" w:type="dxa"/>
          </w:tcPr>
          <w:p w14:paraId="00000876" w14:textId="77777777" w:rsidR="00F8269C" w:rsidRDefault="00450D2D" w:rsidP="009D3DA2">
            <w:pPr>
              <w:spacing w:before="60" w:after="60"/>
              <w:jc w:val="center"/>
              <w:rPr>
                <w:color w:val="000000"/>
                <w:sz w:val="16"/>
                <w:szCs w:val="16"/>
              </w:rPr>
            </w:pPr>
            <w:r>
              <w:rPr>
                <w:sz w:val="16"/>
                <w:szCs w:val="16"/>
              </w:rPr>
              <w:t>103</w:t>
            </w:r>
          </w:p>
        </w:tc>
        <w:tc>
          <w:tcPr>
            <w:tcW w:w="1405" w:type="dxa"/>
            <w:tcMar>
              <w:right w:w="454" w:type="dxa"/>
            </w:tcMar>
          </w:tcPr>
          <w:p w14:paraId="00000877"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4 337</w:t>
            </w:r>
          </w:p>
        </w:tc>
        <w:tc>
          <w:tcPr>
            <w:tcW w:w="1489" w:type="dxa"/>
            <w:tcMar>
              <w:right w:w="454" w:type="dxa"/>
            </w:tcMar>
          </w:tcPr>
          <w:p w14:paraId="00000878"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7 740</w:t>
            </w:r>
          </w:p>
        </w:tc>
        <w:tc>
          <w:tcPr>
            <w:tcW w:w="1196" w:type="dxa"/>
            <w:tcMar>
              <w:right w:w="454" w:type="dxa"/>
            </w:tcMar>
          </w:tcPr>
          <w:p w14:paraId="00000879"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13 039</w:t>
            </w:r>
          </w:p>
        </w:tc>
        <w:tc>
          <w:tcPr>
            <w:tcW w:w="1196" w:type="dxa"/>
            <w:tcMar>
              <w:right w:w="454" w:type="dxa"/>
            </w:tcMar>
          </w:tcPr>
          <w:p w14:paraId="0000087A"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10 145</w:t>
            </w:r>
          </w:p>
        </w:tc>
        <w:tc>
          <w:tcPr>
            <w:tcW w:w="1267" w:type="dxa"/>
            <w:tcMar>
              <w:right w:w="454" w:type="dxa"/>
            </w:tcMar>
          </w:tcPr>
          <w:p w14:paraId="0000087B"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10 290</w:t>
            </w:r>
          </w:p>
        </w:tc>
        <w:tc>
          <w:tcPr>
            <w:tcW w:w="1196" w:type="dxa"/>
            <w:tcMar>
              <w:right w:w="454" w:type="dxa"/>
            </w:tcMar>
          </w:tcPr>
          <w:p w14:paraId="0000087C"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2 342</w:t>
            </w:r>
          </w:p>
        </w:tc>
      </w:tr>
      <w:tr w:rsidR="00F8269C" w14:paraId="1C21E0FD" w14:textId="77777777" w:rsidTr="009D3DA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66" w:type="dxa"/>
          </w:tcPr>
          <w:p w14:paraId="0000087D" w14:textId="327DC97F" w:rsidR="00F8269C" w:rsidRDefault="00450D2D" w:rsidP="009D3DA2">
            <w:pPr>
              <w:spacing w:before="60" w:after="60"/>
              <w:jc w:val="center"/>
              <w:rPr>
                <w:color w:val="000000"/>
                <w:sz w:val="16"/>
                <w:szCs w:val="16"/>
              </w:rPr>
            </w:pPr>
            <w:r>
              <w:rPr>
                <w:sz w:val="16"/>
                <w:szCs w:val="16"/>
              </w:rPr>
              <w:t>104</w:t>
            </w:r>
            <w:r w:rsidR="005773F3">
              <w:rPr>
                <w:rStyle w:val="FootnoteReference"/>
                <w:sz w:val="16"/>
                <w:szCs w:val="16"/>
              </w:rPr>
              <w:footnoteReference w:id="18"/>
            </w:r>
          </w:p>
        </w:tc>
        <w:tc>
          <w:tcPr>
            <w:tcW w:w="1405" w:type="dxa"/>
            <w:tcMar>
              <w:right w:w="454" w:type="dxa"/>
            </w:tcMar>
          </w:tcPr>
          <w:p w14:paraId="0000087E"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5 367</w:t>
            </w:r>
          </w:p>
        </w:tc>
        <w:tc>
          <w:tcPr>
            <w:tcW w:w="1489" w:type="dxa"/>
            <w:tcMar>
              <w:right w:w="454" w:type="dxa"/>
            </w:tcMar>
          </w:tcPr>
          <w:p w14:paraId="0000087F"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9 581</w:t>
            </w:r>
          </w:p>
        </w:tc>
        <w:tc>
          <w:tcPr>
            <w:tcW w:w="1196" w:type="dxa"/>
            <w:tcMar>
              <w:right w:w="454" w:type="dxa"/>
            </w:tcMar>
          </w:tcPr>
          <w:p w14:paraId="00000880"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16 164</w:t>
            </w:r>
          </w:p>
        </w:tc>
        <w:tc>
          <w:tcPr>
            <w:tcW w:w="1196" w:type="dxa"/>
            <w:tcMar>
              <w:right w:w="454" w:type="dxa"/>
            </w:tcMar>
          </w:tcPr>
          <w:p w14:paraId="00000881"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12 180</w:t>
            </w:r>
          </w:p>
        </w:tc>
        <w:tc>
          <w:tcPr>
            <w:tcW w:w="1267" w:type="dxa"/>
            <w:tcMar>
              <w:right w:w="454" w:type="dxa"/>
            </w:tcMar>
          </w:tcPr>
          <w:p w14:paraId="00000882"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12 736</w:t>
            </w:r>
          </w:p>
        </w:tc>
        <w:tc>
          <w:tcPr>
            <w:tcW w:w="1196" w:type="dxa"/>
            <w:tcMar>
              <w:right w:w="454" w:type="dxa"/>
            </w:tcMar>
          </w:tcPr>
          <w:p w14:paraId="00000883" w14:textId="77777777" w:rsidR="00F8269C" w:rsidRDefault="00450D2D" w:rsidP="009D3DA2">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2 832</w:t>
            </w:r>
          </w:p>
        </w:tc>
      </w:tr>
      <w:tr w:rsidR="00F8269C" w14:paraId="5AC10999" w14:textId="77777777" w:rsidTr="009D3DA2">
        <w:trPr>
          <w:trHeight w:val="315"/>
        </w:trPr>
        <w:tc>
          <w:tcPr>
            <w:cnfStyle w:val="001000000000" w:firstRow="0" w:lastRow="0" w:firstColumn="1" w:lastColumn="0" w:oddVBand="0" w:evenVBand="0" w:oddHBand="0" w:evenHBand="0" w:firstRowFirstColumn="0" w:firstRowLastColumn="0" w:lastRowFirstColumn="0" w:lastRowLastColumn="0"/>
            <w:tcW w:w="1266" w:type="dxa"/>
          </w:tcPr>
          <w:p w14:paraId="00000884" w14:textId="77777777" w:rsidR="00F8269C" w:rsidRDefault="00450D2D" w:rsidP="009D3DA2">
            <w:pPr>
              <w:spacing w:before="60" w:after="60"/>
              <w:rPr>
                <w:color w:val="000000"/>
                <w:sz w:val="16"/>
                <w:szCs w:val="16"/>
              </w:rPr>
            </w:pPr>
            <w:r>
              <w:rPr>
                <w:sz w:val="16"/>
                <w:szCs w:val="16"/>
              </w:rPr>
              <w:t>Gini</w:t>
            </w:r>
          </w:p>
        </w:tc>
        <w:tc>
          <w:tcPr>
            <w:tcW w:w="1405" w:type="dxa"/>
            <w:tcMar>
              <w:right w:w="454" w:type="dxa"/>
            </w:tcMar>
          </w:tcPr>
          <w:p w14:paraId="00000885"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0.6029</w:t>
            </w:r>
          </w:p>
        </w:tc>
        <w:tc>
          <w:tcPr>
            <w:tcW w:w="1489" w:type="dxa"/>
            <w:tcMar>
              <w:right w:w="454" w:type="dxa"/>
            </w:tcMar>
          </w:tcPr>
          <w:p w14:paraId="00000886"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0.6355</w:t>
            </w:r>
          </w:p>
        </w:tc>
        <w:tc>
          <w:tcPr>
            <w:tcW w:w="1196" w:type="dxa"/>
            <w:tcMar>
              <w:right w:w="454" w:type="dxa"/>
            </w:tcMar>
          </w:tcPr>
          <w:p w14:paraId="00000887"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0.6898</w:t>
            </w:r>
          </w:p>
        </w:tc>
        <w:tc>
          <w:tcPr>
            <w:tcW w:w="1196" w:type="dxa"/>
            <w:tcMar>
              <w:right w:w="454" w:type="dxa"/>
            </w:tcMar>
          </w:tcPr>
          <w:p w14:paraId="00000888"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0.6095</w:t>
            </w:r>
          </w:p>
        </w:tc>
        <w:tc>
          <w:tcPr>
            <w:tcW w:w="1267" w:type="dxa"/>
            <w:tcMar>
              <w:right w:w="454" w:type="dxa"/>
            </w:tcMar>
          </w:tcPr>
          <w:p w14:paraId="00000889"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0.5786</w:t>
            </w:r>
          </w:p>
        </w:tc>
        <w:tc>
          <w:tcPr>
            <w:tcW w:w="1196" w:type="dxa"/>
            <w:tcMar>
              <w:right w:w="454" w:type="dxa"/>
            </w:tcMar>
          </w:tcPr>
          <w:p w14:paraId="0000088A" w14:textId="77777777" w:rsidR="00F8269C" w:rsidRDefault="00450D2D" w:rsidP="009D3DA2">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0.5843</w:t>
            </w:r>
          </w:p>
        </w:tc>
      </w:tr>
    </w:tbl>
    <w:p w14:paraId="0000088B" w14:textId="77777777" w:rsidR="00F8269C" w:rsidRDefault="00F8269C"/>
    <w:sectPr w:rsidR="00F8269C">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02F3D3" w14:textId="77777777" w:rsidR="002475E0" w:rsidRDefault="002475E0">
      <w:pPr>
        <w:spacing w:after="0" w:line="240" w:lineRule="auto"/>
      </w:pPr>
      <w:r>
        <w:separator/>
      </w:r>
    </w:p>
  </w:endnote>
  <w:endnote w:type="continuationSeparator" w:id="0">
    <w:p w14:paraId="1A0B73BB" w14:textId="77777777" w:rsidR="002475E0" w:rsidRDefault="00247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GSMinchoE">
    <w:charset w:val="80"/>
    <w:family w:val="roman"/>
    <w:pitch w:val="variable"/>
    <w:sig w:usb0="E00002FF" w:usb1="2AC7EDFE" w:usb2="00000012" w:usb3="00000000" w:csb0="0002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Bold">
    <w:panose1 w:val="020B0704020202020204"/>
    <w:charset w:val="00"/>
    <w:family w:val="roman"/>
    <w:notTrueType/>
    <w:pitch w:val="default"/>
    <w:sig w:usb0="00000003" w:usb1="00000000" w:usb2="00000000" w:usb3="00000000" w:csb0="00000001" w:csb1="00000000"/>
  </w:font>
  <w:font w:name="Futura Std Book">
    <w:panose1 w:val="00000000000000000000"/>
    <w:charset w:val="00"/>
    <w:family w:val="swiss"/>
    <w:notTrueType/>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Futura Std Medium">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89F" w14:textId="637FB72A" w:rsidR="00513E3A" w:rsidRDefault="00513E3A">
    <w:pPr>
      <w:pBdr>
        <w:top w:val="nil"/>
        <w:left w:val="nil"/>
        <w:bottom w:val="nil"/>
        <w:right w:val="nil"/>
        <w:between w:val="nil"/>
      </w:pBdr>
      <w:tabs>
        <w:tab w:val="center" w:pos="4513"/>
        <w:tab w:val="right" w:pos="9026"/>
      </w:tabs>
      <w:spacing w:after="0"/>
      <w:rPr>
        <w:color w:val="000000"/>
      </w:rPr>
    </w:pPr>
    <w:r>
      <w:rPr>
        <w:color w:val="000000"/>
      </w:rPr>
      <w:fldChar w:fldCharType="begin"/>
    </w:r>
    <w:r>
      <w:rPr>
        <w:color w:val="000000"/>
      </w:rPr>
      <w:instrText>PAGE</w:instrText>
    </w:r>
    <w:r>
      <w:rPr>
        <w:color w:val="000000"/>
      </w:rPr>
      <w:fldChar w:fldCharType="separate"/>
    </w:r>
    <w:r w:rsidR="00CF784F">
      <w:rPr>
        <w:noProof/>
        <w:color w:val="000000"/>
      </w:rPr>
      <w:t>i</w:t>
    </w:r>
    <w:r>
      <w:rPr>
        <w:color w:val="000000"/>
      </w:rPr>
      <w:fldChar w:fldCharType="end"/>
    </w:r>
  </w:p>
  <w:p w14:paraId="000008A0" w14:textId="77777777" w:rsidR="00513E3A" w:rsidRDefault="00513E3A">
    <w:pPr>
      <w:pBdr>
        <w:top w:val="nil"/>
        <w:left w:val="nil"/>
        <w:bottom w:val="nil"/>
        <w:right w:val="nil"/>
        <w:between w:val="nil"/>
      </w:pBdr>
      <w:tabs>
        <w:tab w:val="center" w:pos="4513"/>
        <w:tab w:val="right" w:pos="9026"/>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6EFE8" w14:textId="77777777" w:rsidR="002475E0" w:rsidRDefault="002475E0">
      <w:pPr>
        <w:spacing w:after="0" w:line="240" w:lineRule="auto"/>
      </w:pPr>
      <w:r>
        <w:separator/>
      </w:r>
    </w:p>
  </w:footnote>
  <w:footnote w:type="continuationSeparator" w:id="0">
    <w:p w14:paraId="6ACBFD35" w14:textId="77777777" w:rsidR="002475E0" w:rsidRDefault="002475E0">
      <w:pPr>
        <w:spacing w:after="0" w:line="240" w:lineRule="auto"/>
      </w:pPr>
      <w:r>
        <w:continuationSeparator/>
      </w:r>
    </w:p>
  </w:footnote>
  <w:footnote w:id="1">
    <w:p w14:paraId="0000088C" w14:textId="186B9D77" w:rsidR="00513E3A" w:rsidRDefault="00513E3A">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The UNESCO mapping of SNA and StatsSA classifications and definitions to these domains is discussed in Appendix 1.</w:t>
      </w:r>
    </w:p>
  </w:footnote>
  <w:footnote w:id="2">
    <w:p w14:paraId="0000088F" w14:textId="77777777" w:rsidR="00513E3A" w:rsidRDefault="00513E3A">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According to the National Small Business Amendment Act, 2004.</w:t>
      </w:r>
    </w:p>
  </w:footnote>
  <w:footnote w:id="3">
    <w:p w14:paraId="00000891" w14:textId="77777777" w:rsidR="00513E3A" w:rsidRDefault="00513E3A">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Stats SA generally rebases every five years. Rebasing was done in 1999, 2004, 2009, 2014 and 2021 (a bit longer for the latest one because of the pandemic.)</w:t>
      </w:r>
    </w:p>
  </w:footnote>
  <w:footnote w:id="4">
    <w:p w14:paraId="00000892" w14:textId="77777777" w:rsidR="00513E3A" w:rsidRDefault="00513E3A">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The figures presented, unless otherwise stated, are in constant 2015 prices and on a national accounts basis.</w:t>
      </w:r>
    </w:p>
  </w:footnote>
  <w:footnote w:id="5">
    <w:p w14:paraId="00000893" w14:textId="30B04E7A" w:rsidR="00513E3A" w:rsidRDefault="00513E3A">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Although GDP is more commonly used and understood by the general public, the GVA is technically more correct. According to the SNA, the difference between the two concepts is marginal. GDP includes taxes and subsidies on products, whereas GVA excludes these two items. The CCI’s contribution to South Africa’s GDP is R119 billion. An example of GVA at Factor prices, GVA at Basic prices and GDP at Market Prices is shown in Table 2.</w:t>
      </w:r>
    </w:p>
  </w:footnote>
  <w:footnote w:id="6">
    <w:p w14:paraId="00000894" w14:textId="28CDE173" w:rsidR="00513E3A" w:rsidRDefault="00513E3A">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GVA at Basic Prices excludes taxes and subsidies on production.</w:t>
      </w:r>
    </w:p>
  </w:footnote>
  <w:footnote w:id="7">
    <w:p w14:paraId="00000895" w14:textId="7D4EC606" w:rsidR="00513E3A" w:rsidRDefault="00513E3A">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Since the sector is dependent on weather, the size of the Agricultural sector varies from season to season and a direct comparison over time may be misleading.</w:t>
      </w:r>
    </w:p>
  </w:footnote>
  <w:footnote w:id="8">
    <w:p w14:paraId="00000896" w14:textId="66E5CB02" w:rsidR="00513E3A" w:rsidRDefault="00513E3A" w:rsidP="00107978">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The slowdown is less than the initial COVID-19 studies undertaken by SACO in 2020 and 2021. An important reason for the difference in estimates is that the original impact analysis was based on survey data, which found a far higher proportion of informal CCI activity than is captured in the national accounts data used for the mapping study. The results presented here may thus be an under-estimate of the impact of COVID-19 on the CCIs. The original studies were also done before the GDP rebasing discussed earlier, which may also account for </w:t>
      </w:r>
      <w:sdt>
        <w:sdtPr>
          <w:tag w:val="goog_rdk_84"/>
          <w:id w:val="1966311999"/>
        </w:sdtPr>
        <w:sdtEndPr/>
        <w:sdtContent/>
      </w:sdt>
      <w:r>
        <w:rPr>
          <w:color w:val="000000"/>
          <w:sz w:val="16"/>
          <w:szCs w:val="16"/>
        </w:rPr>
        <w:t>some of the differences.</w:t>
      </w:r>
    </w:p>
  </w:footnote>
  <w:footnote w:id="9">
    <w:p w14:paraId="00000897" w14:textId="77777777" w:rsidR="00513E3A" w:rsidRDefault="00513E3A">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The change in inventories is the difference of the sectors’ stock at the beginning of the year and the stock at the end of the year. Investment in new stock increases inventories, while sales and depreciation reduces inventories.</w:t>
      </w:r>
    </w:p>
  </w:footnote>
  <w:footnote w:id="10">
    <w:p w14:paraId="00000898" w14:textId="77777777" w:rsidR="00513E3A" w:rsidRDefault="00513E3A">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w:t>
      </w:r>
      <w:hyperlink r:id="rId1">
        <w:r>
          <w:rPr>
            <w:color w:val="0000FF"/>
            <w:sz w:val="18"/>
            <w:szCs w:val="18"/>
            <w:u w:val="single"/>
          </w:rPr>
          <w:t>https://www.had2know.com/academics/gini-coefficient-calculator.html</w:t>
        </w:r>
      </w:hyperlink>
    </w:p>
  </w:footnote>
  <w:footnote w:id="11">
    <w:p w14:paraId="00000899" w14:textId="77777777" w:rsidR="00513E3A" w:rsidRDefault="00513E3A">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There is also deflation where the prices generally drop. For the purpose of this section price changes will simply be referred to as inflation.</w:t>
      </w:r>
    </w:p>
  </w:footnote>
  <w:footnote w:id="12">
    <w:p w14:paraId="3A58E829" w14:textId="3FAECA3A" w:rsidR="00A209E3" w:rsidRDefault="00A209E3">
      <w:pPr>
        <w:pStyle w:val="FootnoteText"/>
      </w:pPr>
      <w:r>
        <w:rPr>
          <w:rStyle w:val="FootnoteReference"/>
        </w:rPr>
        <w:footnoteRef/>
      </w:r>
      <w:r>
        <w:t xml:space="preserve"> Quantec maintains and distributes a comprehensive set of data collections covering macro and regional economic, industry and international trade data.</w:t>
      </w:r>
    </w:p>
  </w:footnote>
  <w:footnote w:id="13">
    <w:p w14:paraId="3109E7AB" w14:textId="454099D8" w:rsidR="00513E3A" w:rsidRDefault="00513E3A" w:rsidP="00787157">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http://www.econlib.org/library/Enc/ bios/Quesnay.html</w:t>
      </w:r>
    </w:p>
  </w:footnote>
  <w:footnote w:id="14">
    <w:p w14:paraId="0000089B" w14:textId="77777777" w:rsidR="00513E3A" w:rsidRDefault="00513E3A">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http://www.statssa.gov.za/classifications/codelists/Web_SIC7a/SIC_7_Final_Manual_Errata.pdf</w:t>
      </w:r>
    </w:p>
  </w:footnote>
  <w:footnote w:id="15">
    <w:p w14:paraId="0000089C" w14:textId="77777777" w:rsidR="00513E3A" w:rsidRDefault="00513E3A">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StatsSA, 2009. Personal services industry, 2008. Statistical release P9001. </w:t>
      </w:r>
      <w:hyperlink r:id="rId2">
        <w:r>
          <w:rPr>
            <w:color w:val="0563C1"/>
            <w:sz w:val="16"/>
            <w:szCs w:val="16"/>
            <w:u w:val="single"/>
          </w:rPr>
          <w:t>http://www.statssa.gov.za/publications/P9001/P90012008.pdf</w:t>
        </w:r>
      </w:hyperlink>
    </w:p>
  </w:footnote>
  <w:footnote w:id="16">
    <w:p w14:paraId="0000089D" w14:textId="77777777" w:rsidR="00513E3A" w:rsidRDefault="00513E3A">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StatsSA, 2012. Income and expenditure of households, 2010/11. Statistical release P0100. </w:t>
      </w:r>
      <w:hyperlink r:id="rId3">
        <w:r>
          <w:rPr>
            <w:color w:val="0563C1"/>
            <w:sz w:val="16"/>
            <w:szCs w:val="16"/>
            <w:u w:val="single"/>
          </w:rPr>
          <w:t>http://www.statssa.gov.za/?page_id=1854&amp;PPN=P0100</w:t>
        </w:r>
      </w:hyperlink>
    </w:p>
  </w:footnote>
  <w:footnote w:id="17">
    <w:p w14:paraId="0000089E" w14:textId="77777777" w:rsidR="00513E3A" w:rsidRDefault="00513E3A">
      <w:pPr>
        <w:pBdr>
          <w:top w:val="nil"/>
          <w:left w:val="nil"/>
          <w:bottom w:val="nil"/>
          <w:right w:val="nil"/>
          <w:between w:val="nil"/>
        </w:pBdr>
        <w:spacing w:after="0"/>
        <w:rPr>
          <w:color w:val="000000"/>
          <w:sz w:val="16"/>
          <w:szCs w:val="16"/>
        </w:rPr>
      </w:pPr>
      <w:r>
        <w:rPr>
          <w:rStyle w:val="FootnoteReference"/>
        </w:rPr>
        <w:footnoteRef/>
      </w:r>
      <w:r>
        <w:rPr>
          <w:color w:val="000000"/>
          <w:sz w:val="16"/>
          <w:szCs w:val="16"/>
        </w:rPr>
        <w:t xml:space="preserve"> Cultural services according to the ISIC, Rev. 3 includes 9232, 9233 (9232-1, 9232-2, 9233-1, 9233-2</w:t>
      </w:r>
    </w:p>
  </w:footnote>
  <w:footnote w:id="18">
    <w:p w14:paraId="1EA7CCFA" w14:textId="25AD3491" w:rsidR="005773F3" w:rsidRDefault="005773F3">
      <w:pPr>
        <w:pStyle w:val="FootnoteText"/>
      </w:pPr>
      <w:r>
        <w:rPr>
          <w:rStyle w:val="FootnoteReference"/>
        </w:rPr>
        <w:footnoteRef/>
      </w:r>
      <w:r>
        <w:t xml:space="preserve"> The tenth decile is further d</w:t>
      </w:r>
      <w:r w:rsidR="00856A7B">
        <w:t xml:space="preserve">ivided into four categories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653E5"/>
    <w:multiLevelType w:val="multilevel"/>
    <w:tmpl w:val="730AB00E"/>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115065E"/>
    <w:multiLevelType w:val="multilevel"/>
    <w:tmpl w:val="CFCE98EE"/>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88D090A"/>
    <w:multiLevelType w:val="multilevel"/>
    <w:tmpl w:val="0C14D430"/>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94525EE"/>
    <w:multiLevelType w:val="multilevel"/>
    <w:tmpl w:val="8E42DD44"/>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99475D4"/>
    <w:multiLevelType w:val="multilevel"/>
    <w:tmpl w:val="3EAE11E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B6A7186"/>
    <w:multiLevelType w:val="multilevel"/>
    <w:tmpl w:val="E26E1B4C"/>
    <w:lvl w:ilvl="0">
      <w:start w:val="1"/>
      <w:numFmt w:val="decimal"/>
      <w:pStyle w:val="Numberlist"/>
      <w:lvlText w:val="%1"/>
      <w:lvlJc w:val="left"/>
      <w:pPr>
        <w:ind w:left="716" w:hanging="432"/>
      </w:pPr>
    </w:lvl>
    <w:lvl w:ilvl="1">
      <w:start w:val="1"/>
      <w:numFmt w:val="decimal"/>
      <w:lvlText w:val="%1.%2"/>
      <w:lvlJc w:val="left"/>
      <w:pPr>
        <w:ind w:left="718" w:hanging="576"/>
      </w:pPr>
      <w:rPr>
        <w:b w:val="0"/>
        <w:i w:val="0"/>
        <w:smallCaps w:val="0"/>
        <w:strike w:val="0"/>
        <w:u w:val="none"/>
        <w:vertAlign w:val="baseline"/>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F595D45"/>
    <w:multiLevelType w:val="multilevel"/>
    <w:tmpl w:val="DD801116"/>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FB10B17"/>
    <w:multiLevelType w:val="multilevel"/>
    <w:tmpl w:val="4B902B98"/>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03E28DC"/>
    <w:multiLevelType w:val="hybridMultilevel"/>
    <w:tmpl w:val="9080E85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44477E4"/>
    <w:multiLevelType w:val="multilevel"/>
    <w:tmpl w:val="8B20AE92"/>
    <w:lvl w:ilvl="0">
      <w:start w:val="1"/>
      <w:numFmt w:val="bullet"/>
      <w:pStyle w:val="List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445272F"/>
    <w:multiLevelType w:val="multilevel"/>
    <w:tmpl w:val="FB58EFD6"/>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7633157"/>
    <w:multiLevelType w:val="multilevel"/>
    <w:tmpl w:val="476EA580"/>
    <w:lvl w:ilvl="0">
      <w:start w:val="1"/>
      <w:numFmt w:val="bullet"/>
      <w:lvlText w:val=""/>
      <w:lvlJc w:val="left"/>
      <w:pPr>
        <w:ind w:left="716" w:hanging="432"/>
      </w:pPr>
      <w:rPr>
        <w:rFonts w:ascii="Symbol" w:hAnsi="Symbol" w:hint="default"/>
      </w:rPr>
    </w:lvl>
    <w:lvl w:ilvl="1">
      <w:start w:val="1"/>
      <w:numFmt w:val="decimal"/>
      <w:lvlText w:val="%1.%2"/>
      <w:lvlJc w:val="left"/>
      <w:pPr>
        <w:ind w:left="718" w:hanging="576"/>
      </w:pPr>
      <w:rPr>
        <w:b w:val="0"/>
        <w:i w:val="0"/>
        <w:smallCaps w:val="0"/>
        <w:strike w:val="0"/>
        <w:u w:val="none"/>
        <w:vertAlign w:val="baseline"/>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83B1A95"/>
    <w:multiLevelType w:val="multilevel"/>
    <w:tmpl w:val="E4DC4B88"/>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A8F7A90"/>
    <w:multiLevelType w:val="multilevel"/>
    <w:tmpl w:val="D088697A"/>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F353636"/>
    <w:multiLevelType w:val="multilevel"/>
    <w:tmpl w:val="EF58B574"/>
    <w:lvl w:ilvl="0">
      <w:start w:val="1"/>
      <w:numFmt w:val="decimal"/>
      <w:pStyle w:val="CVheading1"/>
      <w:lvlText w:val="Appendix %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31AD0159"/>
    <w:multiLevelType w:val="multilevel"/>
    <w:tmpl w:val="BD308F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22C0EBD"/>
    <w:multiLevelType w:val="multilevel"/>
    <w:tmpl w:val="40A8D3EA"/>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CB115C7"/>
    <w:multiLevelType w:val="multilevel"/>
    <w:tmpl w:val="7486C034"/>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FBD72A5"/>
    <w:multiLevelType w:val="multilevel"/>
    <w:tmpl w:val="F8044916"/>
    <w:lvl w:ilvl="0">
      <w:start w:val="1"/>
      <w:numFmt w:val="bullet"/>
      <w:lvlText w:val="●"/>
      <w:lvlJc w:val="left"/>
      <w:pPr>
        <w:ind w:left="1592" w:hanging="360"/>
      </w:pPr>
      <w:rPr>
        <w:rFonts w:ascii="Noto Sans Symbols" w:eastAsia="Noto Sans Symbols" w:hAnsi="Noto Sans Symbols" w:cs="Noto Sans Symbols"/>
      </w:rPr>
    </w:lvl>
    <w:lvl w:ilvl="1">
      <w:start w:val="1"/>
      <w:numFmt w:val="bullet"/>
      <w:lvlText w:val="o"/>
      <w:lvlJc w:val="left"/>
      <w:pPr>
        <w:ind w:left="2312" w:hanging="360"/>
      </w:pPr>
      <w:rPr>
        <w:rFonts w:ascii="Courier New" w:eastAsia="Courier New" w:hAnsi="Courier New" w:cs="Courier New"/>
      </w:rPr>
    </w:lvl>
    <w:lvl w:ilvl="2">
      <w:start w:val="1"/>
      <w:numFmt w:val="bullet"/>
      <w:lvlText w:val="▪"/>
      <w:lvlJc w:val="left"/>
      <w:pPr>
        <w:ind w:left="3032" w:hanging="360"/>
      </w:pPr>
      <w:rPr>
        <w:rFonts w:ascii="Noto Sans Symbols" w:eastAsia="Noto Sans Symbols" w:hAnsi="Noto Sans Symbols" w:cs="Noto Sans Symbols"/>
      </w:rPr>
    </w:lvl>
    <w:lvl w:ilvl="3">
      <w:start w:val="1"/>
      <w:numFmt w:val="bullet"/>
      <w:lvlText w:val="●"/>
      <w:lvlJc w:val="left"/>
      <w:pPr>
        <w:ind w:left="3752" w:hanging="360"/>
      </w:pPr>
      <w:rPr>
        <w:rFonts w:ascii="Noto Sans Symbols" w:eastAsia="Noto Sans Symbols" w:hAnsi="Noto Sans Symbols" w:cs="Noto Sans Symbols"/>
      </w:rPr>
    </w:lvl>
    <w:lvl w:ilvl="4">
      <w:start w:val="1"/>
      <w:numFmt w:val="bullet"/>
      <w:lvlText w:val="o"/>
      <w:lvlJc w:val="left"/>
      <w:pPr>
        <w:ind w:left="4472" w:hanging="360"/>
      </w:pPr>
      <w:rPr>
        <w:rFonts w:ascii="Courier New" w:eastAsia="Courier New" w:hAnsi="Courier New" w:cs="Courier New"/>
      </w:rPr>
    </w:lvl>
    <w:lvl w:ilvl="5">
      <w:start w:val="1"/>
      <w:numFmt w:val="bullet"/>
      <w:lvlText w:val="▪"/>
      <w:lvlJc w:val="left"/>
      <w:pPr>
        <w:ind w:left="5192" w:hanging="360"/>
      </w:pPr>
      <w:rPr>
        <w:rFonts w:ascii="Noto Sans Symbols" w:eastAsia="Noto Sans Symbols" w:hAnsi="Noto Sans Symbols" w:cs="Noto Sans Symbols"/>
      </w:rPr>
    </w:lvl>
    <w:lvl w:ilvl="6">
      <w:start w:val="1"/>
      <w:numFmt w:val="bullet"/>
      <w:lvlText w:val="●"/>
      <w:lvlJc w:val="left"/>
      <w:pPr>
        <w:ind w:left="5912" w:hanging="360"/>
      </w:pPr>
      <w:rPr>
        <w:rFonts w:ascii="Noto Sans Symbols" w:eastAsia="Noto Sans Symbols" w:hAnsi="Noto Sans Symbols" w:cs="Noto Sans Symbols"/>
      </w:rPr>
    </w:lvl>
    <w:lvl w:ilvl="7">
      <w:start w:val="1"/>
      <w:numFmt w:val="bullet"/>
      <w:lvlText w:val="o"/>
      <w:lvlJc w:val="left"/>
      <w:pPr>
        <w:ind w:left="6632" w:hanging="360"/>
      </w:pPr>
      <w:rPr>
        <w:rFonts w:ascii="Courier New" w:eastAsia="Courier New" w:hAnsi="Courier New" w:cs="Courier New"/>
      </w:rPr>
    </w:lvl>
    <w:lvl w:ilvl="8">
      <w:start w:val="1"/>
      <w:numFmt w:val="bullet"/>
      <w:lvlText w:val="▪"/>
      <w:lvlJc w:val="left"/>
      <w:pPr>
        <w:ind w:left="7352" w:hanging="360"/>
      </w:pPr>
      <w:rPr>
        <w:rFonts w:ascii="Noto Sans Symbols" w:eastAsia="Noto Sans Symbols" w:hAnsi="Noto Sans Symbols" w:cs="Noto Sans Symbols"/>
      </w:rPr>
    </w:lvl>
  </w:abstractNum>
  <w:abstractNum w:abstractNumId="19" w15:restartNumberingAfterBreak="0">
    <w:nsid w:val="40CE70B6"/>
    <w:multiLevelType w:val="multilevel"/>
    <w:tmpl w:val="800A686A"/>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2127F44"/>
    <w:multiLevelType w:val="multilevel"/>
    <w:tmpl w:val="34D65EA2"/>
    <w:lvl w:ilvl="0">
      <w:start w:val="1"/>
      <w:numFmt w:val="decimal"/>
      <w:pStyle w:val="Bullet"/>
      <w:lvlText w:val="%1."/>
      <w:lvlJc w:val="left"/>
      <w:pPr>
        <w:ind w:left="360" w:hanging="360"/>
      </w:pPr>
    </w:lvl>
    <w:lvl w:ilvl="1">
      <w:start w:val="1"/>
      <w:numFmt w:val="bullet"/>
      <w:pStyle w:val="subsub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44CC7E85"/>
    <w:multiLevelType w:val="multilevel"/>
    <w:tmpl w:val="076ABACA"/>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65020BF"/>
    <w:multiLevelType w:val="hybridMultilevel"/>
    <w:tmpl w:val="D0B40498"/>
    <w:lvl w:ilvl="0" w:tplc="1C09000B">
      <w:start w:val="1"/>
      <w:numFmt w:val="bullet"/>
      <w:lvlText w:val=""/>
      <w:lvlJc w:val="left"/>
      <w:pPr>
        <w:ind w:left="637" w:hanging="360"/>
      </w:pPr>
      <w:rPr>
        <w:rFonts w:ascii="Wingdings" w:hAnsi="Wingdings" w:hint="default"/>
      </w:rPr>
    </w:lvl>
    <w:lvl w:ilvl="1" w:tplc="1C090003" w:tentative="1">
      <w:start w:val="1"/>
      <w:numFmt w:val="bullet"/>
      <w:lvlText w:val="o"/>
      <w:lvlJc w:val="left"/>
      <w:pPr>
        <w:ind w:left="1357" w:hanging="360"/>
      </w:pPr>
      <w:rPr>
        <w:rFonts w:ascii="Courier New" w:hAnsi="Courier New" w:cs="Courier New" w:hint="default"/>
      </w:rPr>
    </w:lvl>
    <w:lvl w:ilvl="2" w:tplc="1C090005" w:tentative="1">
      <w:start w:val="1"/>
      <w:numFmt w:val="bullet"/>
      <w:lvlText w:val=""/>
      <w:lvlJc w:val="left"/>
      <w:pPr>
        <w:ind w:left="2077" w:hanging="360"/>
      </w:pPr>
      <w:rPr>
        <w:rFonts w:ascii="Wingdings" w:hAnsi="Wingdings" w:hint="default"/>
      </w:rPr>
    </w:lvl>
    <w:lvl w:ilvl="3" w:tplc="1C090001" w:tentative="1">
      <w:start w:val="1"/>
      <w:numFmt w:val="bullet"/>
      <w:lvlText w:val=""/>
      <w:lvlJc w:val="left"/>
      <w:pPr>
        <w:ind w:left="2797" w:hanging="360"/>
      </w:pPr>
      <w:rPr>
        <w:rFonts w:ascii="Symbol" w:hAnsi="Symbol" w:hint="default"/>
      </w:rPr>
    </w:lvl>
    <w:lvl w:ilvl="4" w:tplc="1C090003" w:tentative="1">
      <w:start w:val="1"/>
      <w:numFmt w:val="bullet"/>
      <w:lvlText w:val="o"/>
      <w:lvlJc w:val="left"/>
      <w:pPr>
        <w:ind w:left="3517" w:hanging="360"/>
      </w:pPr>
      <w:rPr>
        <w:rFonts w:ascii="Courier New" w:hAnsi="Courier New" w:cs="Courier New" w:hint="default"/>
      </w:rPr>
    </w:lvl>
    <w:lvl w:ilvl="5" w:tplc="1C090005" w:tentative="1">
      <w:start w:val="1"/>
      <w:numFmt w:val="bullet"/>
      <w:lvlText w:val=""/>
      <w:lvlJc w:val="left"/>
      <w:pPr>
        <w:ind w:left="4237" w:hanging="360"/>
      </w:pPr>
      <w:rPr>
        <w:rFonts w:ascii="Wingdings" w:hAnsi="Wingdings" w:hint="default"/>
      </w:rPr>
    </w:lvl>
    <w:lvl w:ilvl="6" w:tplc="1C090001" w:tentative="1">
      <w:start w:val="1"/>
      <w:numFmt w:val="bullet"/>
      <w:lvlText w:val=""/>
      <w:lvlJc w:val="left"/>
      <w:pPr>
        <w:ind w:left="4957" w:hanging="360"/>
      </w:pPr>
      <w:rPr>
        <w:rFonts w:ascii="Symbol" w:hAnsi="Symbol" w:hint="default"/>
      </w:rPr>
    </w:lvl>
    <w:lvl w:ilvl="7" w:tplc="1C090003" w:tentative="1">
      <w:start w:val="1"/>
      <w:numFmt w:val="bullet"/>
      <w:lvlText w:val="o"/>
      <w:lvlJc w:val="left"/>
      <w:pPr>
        <w:ind w:left="5677" w:hanging="360"/>
      </w:pPr>
      <w:rPr>
        <w:rFonts w:ascii="Courier New" w:hAnsi="Courier New" w:cs="Courier New" w:hint="default"/>
      </w:rPr>
    </w:lvl>
    <w:lvl w:ilvl="8" w:tplc="1C090005" w:tentative="1">
      <w:start w:val="1"/>
      <w:numFmt w:val="bullet"/>
      <w:lvlText w:val=""/>
      <w:lvlJc w:val="left"/>
      <w:pPr>
        <w:ind w:left="6397" w:hanging="360"/>
      </w:pPr>
      <w:rPr>
        <w:rFonts w:ascii="Wingdings" w:hAnsi="Wingdings" w:hint="default"/>
      </w:rPr>
    </w:lvl>
  </w:abstractNum>
  <w:abstractNum w:abstractNumId="23" w15:restartNumberingAfterBreak="0">
    <w:nsid w:val="4E223723"/>
    <w:multiLevelType w:val="multilevel"/>
    <w:tmpl w:val="E6DE7E1C"/>
    <w:lvl w:ilvl="0">
      <w:start w:val="1"/>
      <w:numFmt w:val="decimal"/>
      <w:pStyle w:val="Appendix"/>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4" w15:restartNumberingAfterBreak="0">
    <w:nsid w:val="50C37D02"/>
    <w:multiLevelType w:val="multilevel"/>
    <w:tmpl w:val="2BCEE230"/>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0E36298"/>
    <w:multiLevelType w:val="multilevel"/>
    <w:tmpl w:val="7CA2EAE0"/>
    <w:lvl w:ilvl="0">
      <w:start w:val="1"/>
      <w:numFmt w:val="decimal"/>
      <w:pStyle w:val="Appen1"/>
      <w:lvlText w:val="%1"/>
      <w:lvlJc w:val="left"/>
      <w:pPr>
        <w:ind w:left="716" w:hanging="432"/>
      </w:pPr>
    </w:lvl>
    <w:lvl w:ilvl="1">
      <w:start w:val="1"/>
      <w:numFmt w:val="decimal"/>
      <w:lvlText w:val="%1.%2"/>
      <w:lvlJc w:val="left"/>
      <w:pPr>
        <w:ind w:left="718" w:hanging="576"/>
      </w:pPr>
      <w:rPr>
        <w:b w:val="0"/>
        <w:i w:val="0"/>
        <w:smallCaps w:val="0"/>
        <w:strike w:val="0"/>
        <w:u w:val="none"/>
        <w:vertAlign w:val="baseline"/>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51962C26"/>
    <w:multiLevelType w:val="multilevel"/>
    <w:tmpl w:val="76E6C1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2B22B27"/>
    <w:multiLevelType w:val="multilevel"/>
    <w:tmpl w:val="6226B52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3A17C5B"/>
    <w:multiLevelType w:val="hybridMultilevel"/>
    <w:tmpl w:val="EE7CA908"/>
    <w:lvl w:ilvl="0" w:tplc="01800E20">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5710A2D"/>
    <w:multiLevelType w:val="multilevel"/>
    <w:tmpl w:val="062C33A4"/>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5BF3C59"/>
    <w:multiLevelType w:val="multilevel"/>
    <w:tmpl w:val="D3F8819A"/>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5F02F6A"/>
    <w:multiLevelType w:val="multilevel"/>
    <w:tmpl w:val="49F23784"/>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71215A9"/>
    <w:multiLevelType w:val="multilevel"/>
    <w:tmpl w:val="57B8AE60"/>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90970B6"/>
    <w:multiLevelType w:val="multilevel"/>
    <w:tmpl w:val="788AA194"/>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4" w15:restartNumberingAfterBreak="0">
    <w:nsid w:val="5DD16332"/>
    <w:multiLevelType w:val="multilevel"/>
    <w:tmpl w:val="70EEEB18"/>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08B0A48"/>
    <w:multiLevelType w:val="multilevel"/>
    <w:tmpl w:val="54628E02"/>
    <w:lvl w:ilvl="0">
      <w:start w:val="1"/>
      <w:numFmt w:val="decimal"/>
      <w:lvlText w:val="Appendix %1:"/>
      <w:lvlJc w:val="left"/>
      <w:pPr>
        <w:ind w:left="3484" w:hanging="360"/>
      </w:pPr>
    </w:lvl>
    <w:lvl w:ilvl="1">
      <w:start w:val="1"/>
      <w:numFmt w:val="lowerLetter"/>
      <w:lvlText w:val="%2."/>
      <w:lvlJc w:val="left"/>
      <w:pPr>
        <w:ind w:left="4204" w:hanging="360"/>
      </w:pPr>
    </w:lvl>
    <w:lvl w:ilvl="2">
      <w:start w:val="1"/>
      <w:numFmt w:val="lowerRoman"/>
      <w:lvlText w:val="%3."/>
      <w:lvlJc w:val="right"/>
      <w:pPr>
        <w:ind w:left="4924" w:hanging="180"/>
      </w:pPr>
    </w:lvl>
    <w:lvl w:ilvl="3">
      <w:start w:val="1"/>
      <w:numFmt w:val="decimal"/>
      <w:lvlText w:val="%4."/>
      <w:lvlJc w:val="left"/>
      <w:pPr>
        <w:ind w:left="5644" w:hanging="360"/>
      </w:pPr>
    </w:lvl>
    <w:lvl w:ilvl="4">
      <w:start w:val="1"/>
      <w:numFmt w:val="lowerLetter"/>
      <w:lvlText w:val="%5."/>
      <w:lvlJc w:val="left"/>
      <w:pPr>
        <w:ind w:left="6364" w:hanging="360"/>
      </w:pPr>
    </w:lvl>
    <w:lvl w:ilvl="5">
      <w:start w:val="1"/>
      <w:numFmt w:val="lowerRoman"/>
      <w:lvlText w:val="%6."/>
      <w:lvlJc w:val="right"/>
      <w:pPr>
        <w:ind w:left="7084" w:hanging="180"/>
      </w:pPr>
    </w:lvl>
    <w:lvl w:ilvl="6">
      <w:start w:val="1"/>
      <w:numFmt w:val="decimal"/>
      <w:lvlText w:val="%7."/>
      <w:lvlJc w:val="left"/>
      <w:pPr>
        <w:ind w:left="7804" w:hanging="360"/>
      </w:pPr>
    </w:lvl>
    <w:lvl w:ilvl="7">
      <w:start w:val="1"/>
      <w:numFmt w:val="lowerLetter"/>
      <w:lvlText w:val="%8."/>
      <w:lvlJc w:val="left"/>
      <w:pPr>
        <w:ind w:left="8524" w:hanging="360"/>
      </w:pPr>
    </w:lvl>
    <w:lvl w:ilvl="8">
      <w:start w:val="1"/>
      <w:numFmt w:val="lowerRoman"/>
      <w:lvlText w:val="%9."/>
      <w:lvlJc w:val="right"/>
      <w:pPr>
        <w:ind w:left="9244" w:hanging="180"/>
      </w:pPr>
    </w:lvl>
  </w:abstractNum>
  <w:abstractNum w:abstractNumId="36" w15:restartNumberingAfterBreak="0">
    <w:nsid w:val="60C527BB"/>
    <w:multiLevelType w:val="multilevel"/>
    <w:tmpl w:val="E8BE761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16B173F"/>
    <w:multiLevelType w:val="multilevel"/>
    <w:tmpl w:val="10502F62"/>
    <w:lvl w:ilvl="0">
      <w:start w:val="22"/>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5333374"/>
    <w:multiLevelType w:val="multilevel"/>
    <w:tmpl w:val="45F8B91E"/>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85479E7"/>
    <w:multiLevelType w:val="multilevel"/>
    <w:tmpl w:val="C396FFAE"/>
    <w:lvl w:ilvl="0">
      <w:start w:val="1"/>
      <w:numFmt w:val="bullet"/>
      <w:lvlText w:val="-"/>
      <w:lvlJc w:val="left"/>
      <w:pPr>
        <w:ind w:left="720" w:hanging="360"/>
      </w:pPr>
      <w:rPr>
        <w:rFonts w:ascii="Courier New" w:hAnsi="Courier New" w:hint="default"/>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98E0BF6"/>
    <w:multiLevelType w:val="multilevel"/>
    <w:tmpl w:val="0F3234EA"/>
    <w:lvl w:ilvl="0">
      <w:start w:val="1"/>
      <w:numFmt w:val="decimal"/>
      <w:pStyle w:val="Heading1"/>
      <w:lvlText w:val="%1."/>
      <w:lvlJc w:val="left"/>
      <w:pPr>
        <w:ind w:left="720" w:hanging="360"/>
      </w:pPr>
    </w:lvl>
    <w:lvl w:ilvl="1">
      <w:start w:val="1"/>
      <w:numFmt w:val="lowerLetter"/>
      <w:pStyle w:val="Heading2"/>
      <w:lvlText w:val="%2."/>
      <w:lvlJc w:val="left"/>
      <w:pPr>
        <w:ind w:left="1440" w:hanging="360"/>
      </w:pPr>
    </w:lvl>
    <w:lvl w:ilvl="2">
      <w:start w:val="1"/>
      <w:numFmt w:val="lowerRoman"/>
      <w:pStyle w:val="Heading3"/>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5"/>
  </w:num>
  <w:num w:numId="2">
    <w:abstractNumId w:val="9"/>
  </w:num>
  <w:num w:numId="3">
    <w:abstractNumId w:val="23"/>
  </w:num>
  <w:num w:numId="4">
    <w:abstractNumId w:val="18"/>
  </w:num>
  <w:num w:numId="5">
    <w:abstractNumId w:val="5"/>
  </w:num>
  <w:num w:numId="6">
    <w:abstractNumId w:val="20"/>
  </w:num>
  <w:num w:numId="7">
    <w:abstractNumId w:val="40"/>
  </w:num>
  <w:num w:numId="8">
    <w:abstractNumId w:val="15"/>
  </w:num>
  <w:num w:numId="9">
    <w:abstractNumId w:val="33"/>
  </w:num>
  <w:num w:numId="10">
    <w:abstractNumId w:val="13"/>
  </w:num>
  <w:num w:numId="11">
    <w:abstractNumId w:val="35"/>
  </w:num>
  <w:num w:numId="12">
    <w:abstractNumId w:val="14"/>
  </w:num>
  <w:num w:numId="13">
    <w:abstractNumId w:val="37"/>
  </w:num>
  <w:num w:numId="14">
    <w:abstractNumId w:val="3"/>
  </w:num>
  <w:num w:numId="15">
    <w:abstractNumId w:val="4"/>
  </w:num>
  <w:num w:numId="16">
    <w:abstractNumId w:val="36"/>
  </w:num>
  <w:num w:numId="17">
    <w:abstractNumId w:val="27"/>
  </w:num>
  <w:num w:numId="18">
    <w:abstractNumId w:val="22"/>
  </w:num>
  <w:num w:numId="19">
    <w:abstractNumId w:val="8"/>
  </w:num>
  <w:num w:numId="20">
    <w:abstractNumId w:val="11"/>
  </w:num>
  <w:num w:numId="21">
    <w:abstractNumId w:val="19"/>
  </w:num>
  <w:num w:numId="22">
    <w:abstractNumId w:val="17"/>
  </w:num>
  <w:num w:numId="23">
    <w:abstractNumId w:val="39"/>
  </w:num>
  <w:num w:numId="24">
    <w:abstractNumId w:val="7"/>
  </w:num>
  <w:num w:numId="25">
    <w:abstractNumId w:val="38"/>
  </w:num>
  <w:num w:numId="26">
    <w:abstractNumId w:val="30"/>
  </w:num>
  <w:num w:numId="27">
    <w:abstractNumId w:val="32"/>
  </w:num>
  <w:num w:numId="28">
    <w:abstractNumId w:val="21"/>
  </w:num>
  <w:num w:numId="29">
    <w:abstractNumId w:val="2"/>
  </w:num>
  <w:num w:numId="30">
    <w:abstractNumId w:val="12"/>
  </w:num>
  <w:num w:numId="31">
    <w:abstractNumId w:val="34"/>
  </w:num>
  <w:num w:numId="32">
    <w:abstractNumId w:val="24"/>
  </w:num>
  <w:num w:numId="33">
    <w:abstractNumId w:val="0"/>
  </w:num>
  <w:num w:numId="34">
    <w:abstractNumId w:val="10"/>
  </w:num>
  <w:num w:numId="35">
    <w:abstractNumId w:val="28"/>
  </w:num>
  <w:num w:numId="36">
    <w:abstractNumId w:val="26"/>
  </w:num>
  <w:num w:numId="37">
    <w:abstractNumId w:val="1"/>
  </w:num>
  <w:num w:numId="38">
    <w:abstractNumId w:val="16"/>
  </w:num>
  <w:num w:numId="39">
    <w:abstractNumId w:val="29"/>
  </w:num>
  <w:num w:numId="40">
    <w:abstractNumId w:val="6"/>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69C"/>
    <w:rsid w:val="00001DD7"/>
    <w:rsid w:val="00023227"/>
    <w:rsid w:val="00035230"/>
    <w:rsid w:val="0004739F"/>
    <w:rsid w:val="000641BA"/>
    <w:rsid w:val="000B5144"/>
    <w:rsid w:val="000B519C"/>
    <w:rsid w:val="000B71F8"/>
    <w:rsid w:val="000E5B8D"/>
    <w:rsid w:val="00103C84"/>
    <w:rsid w:val="00107978"/>
    <w:rsid w:val="00107E67"/>
    <w:rsid w:val="00112910"/>
    <w:rsid w:val="00124934"/>
    <w:rsid w:val="00127FA9"/>
    <w:rsid w:val="00134309"/>
    <w:rsid w:val="00137967"/>
    <w:rsid w:val="0016096E"/>
    <w:rsid w:val="00163C1E"/>
    <w:rsid w:val="0017295B"/>
    <w:rsid w:val="001827E8"/>
    <w:rsid w:val="00183BCA"/>
    <w:rsid w:val="00195565"/>
    <w:rsid w:val="001B154E"/>
    <w:rsid w:val="001B66E8"/>
    <w:rsid w:val="001B682C"/>
    <w:rsid w:val="001C267C"/>
    <w:rsid w:val="001D31FA"/>
    <w:rsid w:val="001D68C8"/>
    <w:rsid w:val="001E4912"/>
    <w:rsid w:val="001F2CBF"/>
    <w:rsid w:val="00201EAC"/>
    <w:rsid w:val="002029B8"/>
    <w:rsid w:val="0020771B"/>
    <w:rsid w:val="00213209"/>
    <w:rsid w:val="002159D9"/>
    <w:rsid w:val="00220BD2"/>
    <w:rsid w:val="00223CBD"/>
    <w:rsid w:val="002261D7"/>
    <w:rsid w:val="00243DEC"/>
    <w:rsid w:val="002475E0"/>
    <w:rsid w:val="0026734B"/>
    <w:rsid w:val="002772A2"/>
    <w:rsid w:val="00284326"/>
    <w:rsid w:val="00286B30"/>
    <w:rsid w:val="00291D28"/>
    <w:rsid w:val="002A232F"/>
    <w:rsid w:val="002A7DDB"/>
    <w:rsid w:val="002C52C9"/>
    <w:rsid w:val="002C6C71"/>
    <w:rsid w:val="002D37E2"/>
    <w:rsid w:val="002D3ED2"/>
    <w:rsid w:val="002D44CB"/>
    <w:rsid w:val="00313333"/>
    <w:rsid w:val="00316130"/>
    <w:rsid w:val="0031701B"/>
    <w:rsid w:val="00320E0C"/>
    <w:rsid w:val="003423A9"/>
    <w:rsid w:val="00353864"/>
    <w:rsid w:val="003649AD"/>
    <w:rsid w:val="00366AAB"/>
    <w:rsid w:val="003727E6"/>
    <w:rsid w:val="003770D8"/>
    <w:rsid w:val="003864E9"/>
    <w:rsid w:val="00393BB0"/>
    <w:rsid w:val="003A4646"/>
    <w:rsid w:val="003B13C0"/>
    <w:rsid w:val="003C59F8"/>
    <w:rsid w:val="003C5A92"/>
    <w:rsid w:val="003D05AD"/>
    <w:rsid w:val="003D2077"/>
    <w:rsid w:val="00401AD1"/>
    <w:rsid w:val="0040541B"/>
    <w:rsid w:val="00450D2D"/>
    <w:rsid w:val="00452002"/>
    <w:rsid w:val="00452E55"/>
    <w:rsid w:val="004617F0"/>
    <w:rsid w:val="00465417"/>
    <w:rsid w:val="00472976"/>
    <w:rsid w:val="00474C8D"/>
    <w:rsid w:val="00480053"/>
    <w:rsid w:val="00480AD9"/>
    <w:rsid w:val="004914E3"/>
    <w:rsid w:val="00496274"/>
    <w:rsid w:val="004A60DC"/>
    <w:rsid w:val="004B7F36"/>
    <w:rsid w:val="004C0E3D"/>
    <w:rsid w:val="004C78B9"/>
    <w:rsid w:val="004D3CE6"/>
    <w:rsid w:val="004E2CA7"/>
    <w:rsid w:val="00501351"/>
    <w:rsid w:val="00513E3A"/>
    <w:rsid w:val="00526144"/>
    <w:rsid w:val="00540F40"/>
    <w:rsid w:val="00540F7A"/>
    <w:rsid w:val="005773F3"/>
    <w:rsid w:val="00595D91"/>
    <w:rsid w:val="005C437D"/>
    <w:rsid w:val="005E5046"/>
    <w:rsid w:val="00625A17"/>
    <w:rsid w:val="006300BE"/>
    <w:rsid w:val="00637198"/>
    <w:rsid w:val="00640940"/>
    <w:rsid w:val="006644FC"/>
    <w:rsid w:val="00666966"/>
    <w:rsid w:val="006720A6"/>
    <w:rsid w:val="0068056C"/>
    <w:rsid w:val="006901BD"/>
    <w:rsid w:val="006C17A9"/>
    <w:rsid w:val="006D63D0"/>
    <w:rsid w:val="006D6DB7"/>
    <w:rsid w:val="006D7E43"/>
    <w:rsid w:val="006F07E7"/>
    <w:rsid w:val="006F234F"/>
    <w:rsid w:val="00711449"/>
    <w:rsid w:val="00716301"/>
    <w:rsid w:val="00725497"/>
    <w:rsid w:val="007459BC"/>
    <w:rsid w:val="007464BF"/>
    <w:rsid w:val="00782D59"/>
    <w:rsid w:val="00787157"/>
    <w:rsid w:val="007928AC"/>
    <w:rsid w:val="0079721C"/>
    <w:rsid w:val="007C1F49"/>
    <w:rsid w:val="00804F2D"/>
    <w:rsid w:val="00807132"/>
    <w:rsid w:val="00812A2B"/>
    <w:rsid w:val="008218E8"/>
    <w:rsid w:val="00856A7B"/>
    <w:rsid w:val="00856B28"/>
    <w:rsid w:val="00860902"/>
    <w:rsid w:val="00861273"/>
    <w:rsid w:val="00873792"/>
    <w:rsid w:val="0087555E"/>
    <w:rsid w:val="00877A09"/>
    <w:rsid w:val="008825B3"/>
    <w:rsid w:val="008958DF"/>
    <w:rsid w:val="00897A79"/>
    <w:rsid w:val="008B306E"/>
    <w:rsid w:val="008D3B66"/>
    <w:rsid w:val="008D4897"/>
    <w:rsid w:val="008E2514"/>
    <w:rsid w:val="008F49BA"/>
    <w:rsid w:val="00906A24"/>
    <w:rsid w:val="00912668"/>
    <w:rsid w:val="00915396"/>
    <w:rsid w:val="00930986"/>
    <w:rsid w:val="00933D04"/>
    <w:rsid w:val="00946F53"/>
    <w:rsid w:val="009761C1"/>
    <w:rsid w:val="0098711D"/>
    <w:rsid w:val="00992DE2"/>
    <w:rsid w:val="009932D9"/>
    <w:rsid w:val="009A1FE1"/>
    <w:rsid w:val="009B663C"/>
    <w:rsid w:val="009C0B6A"/>
    <w:rsid w:val="009C143A"/>
    <w:rsid w:val="009C21F8"/>
    <w:rsid w:val="009D02F4"/>
    <w:rsid w:val="009D1ACD"/>
    <w:rsid w:val="009D3DA2"/>
    <w:rsid w:val="009D4963"/>
    <w:rsid w:val="009E494B"/>
    <w:rsid w:val="009E57B2"/>
    <w:rsid w:val="009F5978"/>
    <w:rsid w:val="00A0069A"/>
    <w:rsid w:val="00A00923"/>
    <w:rsid w:val="00A0377C"/>
    <w:rsid w:val="00A04421"/>
    <w:rsid w:val="00A12F74"/>
    <w:rsid w:val="00A209E3"/>
    <w:rsid w:val="00A62EA2"/>
    <w:rsid w:val="00A732E6"/>
    <w:rsid w:val="00A75539"/>
    <w:rsid w:val="00A90AFC"/>
    <w:rsid w:val="00A95223"/>
    <w:rsid w:val="00A9794D"/>
    <w:rsid w:val="00AC4262"/>
    <w:rsid w:val="00AC46E4"/>
    <w:rsid w:val="00AD4DFC"/>
    <w:rsid w:val="00AE00D1"/>
    <w:rsid w:val="00AE6F6F"/>
    <w:rsid w:val="00AF1863"/>
    <w:rsid w:val="00AF19EE"/>
    <w:rsid w:val="00AF462F"/>
    <w:rsid w:val="00B24480"/>
    <w:rsid w:val="00B336F6"/>
    <w:rsid w:val="00B45919"/>
    <w:rsid w:val="00B60FB5"/>
    <w:rsid w:val="00B63487"/>
    <w:rsid w:val="00B73B98"/>
    <w:rsid w:val="00B76D2B"/>
    <w:rsid w:val="00B77B6B"/>
    <w:rsid w:val="00B80021"/>
    <w:rsid w:val="00B83450"/>
    <w:rsid w:val="00B93BF7"/>
    <w:rsid w:val="00B95FCB"/>
    <w:rsid w:val="00B9672F"/>
    <w:rsid w:val="00BA2EEE"/>
    <w:rsid w:val="00BA3A83"/>
    <w:rsid w:val="00BA4347"/>
    <w:rsid w:val="00BB7CD6"/>
    <w:rsid w:val="00BC3D37"/>
    <w:rsid w:val="00BC65D2"/>
    <w:rsid w:val="00BD0A46"/>
    <w:rsid w:val="00BD0B91"/>
    <w:rsid w:val="00BD30F7"/>
    <w:rsid w:val="00BD4E42"/>
    <w:rsid w:val="00BE22F5"/>
    <w:rsid w:val="00BE2E52"/>
    <w:rsid w:val="00BF4C54"/>
    <w:rsid w:val="00C107FF"/>
    <w:rsid w:val="00C21250"/>
    <w:rsid w:val="00C4040C"/>
    <w:rsid w:val="00C44BE6"/>
    <w:rsid w:val="00C5550C"/>
    <w:rsid w:val="00C6374C"/>
    <w:rsid w:val="00C815B6"/>
    <w:rsid w:val="00C95B6F"/>
    <w:rsid w:val="00C97A73"/>
    <w:rsid w:val="00CD6602"/>
    <w:rsid w:val="00CF192B"/>
    <w:rsid w:val="00CF784F"/>
    <w:rsid w:val="00D01C58"/>
    <w:rsid w:val="00D0339B"/>
    <w:rsid w:val="00D159E7"/>
    <w:rsid w:val="00D43CA5"/>
    <w:rsid w:val="00D44073"/>
    <w:rsid w:val="00D82349"/>
    <w:rsid w:val="00D8458D"/>
    <w:rsid w:val="00D8580D"/>
    <w:rsid w:val="00D878DE"/>
    <w:rsid w:val="00D87936"/>
    <w:rsid w:val="00D900FA"/>
    <w:rsid w:val="00DA4D0D"/>
    <w:rsid w:val="00DB4FF8"/>
    <w:rsid w:val="00DC2C17"/>
    <w:rsid w:val="00DD2587"/>
    <w:rsid w:val="00DD7602"/>
    <w:rsid w:val="00DE13B5"/>
    <w:rsid w:val="00DE2590"/>
    <w:rsid w:val="00DF28C2"/>
    <w:rsid w:val="00DF68B9"/>
    <w:rsid w:val="00E05DAE"/>
    <w:rsid w:val="00E15B27"/>
    <w:rsid w:val="00E34254"/>
    <w:rsid w:val="00E91E66"/>
    <w:rsid w:val="00EA4062"/>
    <w:rsid w:val="00EA5836"/>
    <w:rsid w:val="00EC1A6C"/>
    <w:rsid w:val="00EE7F46"/>
    <w:rsid w:val="00F02389"/>
    <w:rsid w:val="00F04CBE"/>
    <w:rsid w:val="00F44348"/>
    <w:rsid w:val="00F45254"/>
    <w:rsid w:val="00F56D42"/>
    <w:rsid w:val="00F57E4C"/>
    <w:rsid w:val="00F650CD"/>
    <w:rsid w:val="00F7168D"/>
    <w:rsid w:val="00F742B1"/>
    <w:rsid w:val="00F813A9"/>
    <w:rsid w:val="00F8269C"/>
    <w:rsid w:val="00F82AD1"/>
    <w:rsid w:val="00F87386"/>
    <w:rsid w:val="00FA19EF"/>
    <w:rsid w:val="00FB2E37"/>
    <w:rsid w:val="00FB30EB"/>
    <w:rsid w:val="00FC72D8"/>
    <w:rsid w:val="00FE7E9E"/>
    <w:rsid w:val="00FF3357"/>
    <w:rsid w:val="00FF485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D61FA2"/>
  <w15:docId w15:val="{CFAA0570-95D9-4075-A937-FFBD6AEE6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ZA" w:eastAsia="en-Z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CD"/>
  </w:style>
  <w:style w:type="paragraph" w:styleId="Heading1">
    <w:name w:val="heading 1"/>
    <w:basedOn w:val="Normal"/>
    <w:next w:val="Normal"/>
    <w:link w:val="Heading1Char"/>
    <w:uiPriority w:val="9"/>
    <w:qFormat/>
    <w:rsid w:val="0077105E"/>
    <w:pPr>
      <w:keepNext/>
      <w:keepLines/>
      <w:numPr>
        <w:numId w:val="7"/>
      </w:numPr>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105E"/>
    <w:pPr>
      <w:keepNext/>
      <w:keepLines/>
      <w:numPr>
        <w:ilvl w:val="1"/>
        <w:numId w:val="7"/>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105E"/>
    <w:pPr>
      <w:keepNext/>
      <w:keepLines/>
      <w:numPr>
        <w:ilvl w:val="2"/>
        <w:numId w:val="7"/>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A423F"/>
    <w:pPr>
      <w:keepNext/>
      <w:keepLines/>
      <w:spacing w:before="40" w:after="0" w:line="240" w:lineRule="auto"/>
      <w:jc w:val="both"/>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40031"/>
    <w:pPr>
      <w:keepNext/>
      <w:keepLines/>
      <w:spacing w:before="40" w:after="0" w:line="360" w:lineRule="auto"/>
      <w:ind w:left="1008" w:hanging="1008"/>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40031"/>
    <w:pPr>
      <w:keepNext/>
      <w:keepLines/>
      <w:spacing w:before="40" w:after="0"/>
      <w:ind w:left="1152" w:hanging="1152"/>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rsid w:val="00C40031"/>
    <w:pPr>
      <w:keepNext/>
      <w:keepLines/>
      <w:spacing w:before="40" w:after="0"/>
      <w:ind w:left="1296" w:hanging="1296"/>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rsid w:val="00C40031"/>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C40031"/>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40031"/>
    <w:pPr>
      <w:spacing w:after="0"/>
      <w:contextualSpacing/>
      <w:jc w:val="center"/>
    </w:pPr>
    <w:rPr>
      <w:rFonts w:eastAsiaTheme="majorEastAsia" w:cstheme="majorBidi"/>
      <w:b/>
      <w:spacing w:val="-10"/>
      <w:kern w:val="28"/>
      <w:sz w:val="48"/>
      <w:szCs w:val="56"/>
    </w:rPr>
  </w:style>
  <w:style w:type="character" w:customStyle="1" w:styleId="Heading1Char">
    <w:name w:val="Heading 1 Char"/>
    <w:basedOn w:val="DefaultParagraphFont"/>
    <w:link w:val="Heading1"/>
    <w:uiPriority w:val="9"/>
    <w:rsid w:val="00063704"/>
    <w:rPr>
      <w:rFonts w:asciiTheme="majorHAnsi" w:eastAsiaTheme="majorEastAsia" w:hAnsiTheme="majorHAnsi" w:cstheme="majorBidi"/>
      <w:color w:val="2F5496" w:themeColor="accent1" w:themeShade="BF"/>
      <w:sz w:val="32"/>
      <w:szCs w:val="32"/>
    </w:rPr>
  </w:style>
  <w:style w:type="paragraph" w:customStyle="1" w:styleId="Bullet">
    <w:name w:val="Bullet"/>
    <w:basedOn w:val="ListParagraph"/>
    <w:link w:val="BulletChar"/>
    <w:qFormat/>
    <w:rsid w:val="00FB0A24"/>
    <w:pPr>
      <w:numPr>
        <w:numId w:val="6"/>
      </w:numPr>
    </w:pPr>
  </w:style>
  <w:style w:type="character" w:customStyle="1" w:styleId="BulletChar">
    <w:name w:val="Bullet Char"/>
    <w:basedOn w:val="DefaultParagraphFont"/>
    <w:link w:val="Bullet"/>
    <w:rsid w:val="00FB0A24"/>
    <w:rPr>
      <w:rFonts w:ascii="Arial" w:hAnsi="Arial"/>
      <w:sz w:val="20"/>
      <w:szCs w:val="20"/>
    </w:rPr>
  </w:style>
  <w:style w:type="paragraph" w:customStyle="1" w:styleId="subbullet">
    <w:name w:val="subbullet"/>
    <w:basedOn w:val="Bullet"/>
    <w:link w:val="subbulletChar"/>
    <w:qFormat/>
    <w:rsid w:val="00FB0A24"/>
    <w:pPr>
      <w:ind w:left="1418" w:hanging="284"/>
    </w:pPr>
  </w:style>
  <w:style w:type="character" w:customStyle="1" w:styleId="subbulletChar">
    <w:name w:val="subbullet Char"/>
    <w:basedOn w:val="DefaultParagraphFont"/>
    <w:link w:val="subbullet"/>
    <w:rsid w:val="00FB0A24"/>
    <w:rPr>
      <w:rFonts w:ascii="Arial" w:hAnsi="Arial"/>
      <w:sz w:val="20"/>
      <w:szCs w:val="20"/>
    </w:rPr>
  </w:style>
  <w:style w:type="character" w:customStyle="1" w:styleId="Heading2Char">
    <w:name w:val="Heading 2 Char"/>
    <w:basedOn w:val="DefaultParagraphFont"/>
    <w:link w:val="Heading2"/>
    <w:uiPriority w:val="9"/>
    <w:rsid w:val="003B50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7105E"/>
    <w:rPr>
      <w:rFonts w:asciiTheme="majorHAnsi" w:eastAsiaTheme="majorEastAsia" w:hAnsiTheme="majorHAnsi" w:cstheme="majorBidi"/>
      <w:color w:val="1F3763" w:themeColor="accent1" w:themeShade="7F"/>
      <w:sz w:val="24"/>
      <w:szCs w:val="24"/>
    </w:rPr>
  </w:style>
  <w:style w:type="paragraph" w:styleId="ListBullet">
    <w:name w:val="List Bullet"/>
    <w:basedOn w:val="Normal"/>
    <w:link w:val="ListBulletChar"/>
    <w:uiPriority w:val="99"/>
    <w:unhideWhenUsed/>
    <w:qFormat/>
    <w:rsid w:val="00F16754"/>
    <w:pPr>
      <w:numPr>
        <w:numId w:val="2"/>
      </w:numPr>
    </w:pPr>
  </w:style>
  <w:style w:type="paragraph" w:customStyle="1" w:styleId="Appendix">
    <w:name w:val="Appendix"/>
    <w:basedOn w:val="Heading1"/>
    <w:next w:val="Normal"/>
    <w:link w:val="AppendixChar"/>
    <w:uiPriority w:val="99"/>
    <w:qFormat/>
    <w:rsid w:val="003423B0"/>
    <w:pPr>
      <w:numPr>
        <w:numId w:val="3"/>
      </w:numPr>
      <w:spacing w:line="259" w:lineRule="auto"/>
    </w:pPr>
    <w:rPr>
      <w:rFonts w:ascii="Arial" w:hAnsi="Arial" w:cs="Arial"/>
      <w:sz w:val="24"/>
      <w:szCs w:val="24"/>
    </w:rPr>
  </w:style>
  <w:style w:type="character" w:customStyle="1" w:styleId="AppendixChar">
    <w:name w:val="Appendix Char"/>
    <w:basedOn w:val="DefaultParagraphFont"/>
    <w:link w:val="Appendix"/>
    <w:uiPriority w:val="99"/>
    <w:rsid w:val="003423B0"/>
    <w:rPr>
      <w:rFonts w:ascii="Arial" w:eastAsiaTheme="majorEastAsia" w:hAnsi="Arial" w:cs="Arial"/>
      <w:color w:val="2F5496" w:themeColor="accent1" w:themeShade="BF"/>
      <w:sz w:val="24"/>
      <w:szCs w:val="24"/>
    </w:rPr>
  </w:style>
  <w:style w:type="character" w:customStyle="1" w:styleId="Heading4Char">
    <w:name w:val="Heading 4 Char"/>
    <w:basedOn w:val="DefaultParagraphFont"/>
    <w:link w:val="Heading4"/>
    <w:uiPriority w:val="9"/>
    <w:rsid w:val="00FA423F"/>
    <w:rPr>
      <w:rFonts w:asciiTheme="majorHAnsi" w:eastAsiaTheme="majorEastAsia" w:hAnsiTheme="majorHAnsi" w:cstheme="majorBidi"/>
      <w:i/>
      <w:iCs/>
      <w:color w:val="2F5496" w:themeColor="accent1" w:themeShade="BF"/>
    </w:rPr>
  </w:style>
  <w:style w:type="paragraph" w:customStyle="1" w:styleId="Appen1">
    <w:name w:val="Appen_1"/>
    <w:basedOn w:val="Heading1"/>
    <w:link w:val="Appen1Char"/>
    <w:rsid w:val="00061817"/>
    <w:pPr>
      <w:numPr>
        <w:numId w:val="1"/>
      </w:numPr>
      <w:ind w:left="715" w:hanging="431"/>
    </w:pPr>
    <w:rPr>
      <w:rFonts w:ascii="Arial" w:hAnsi="Arial" w:cs="Arial"/>
      <w:b/>
      <w:bCs/>
      <w:noProof/>
      <w:sz w:val="28"/>
      <w:szCs w:val="28"/>
    </w:rPr>
  </w:style>
  <w:style w:type="character" w:customStyle="1" w:styleId="Appen1Char">
    <w:name w:val="Appen_1 Char"/>
    <w:basedOn w:val="Heading1Char"/>
    <w:link w:val="Appen1"/>
    <w:rsid w:val="00061817"/>
    <w:rPr>
      <w:rFonts w:ascii="Arial" w:eastAsiaTheme="majorEastAsia" w:hAnsi="Arial" w:cs="Arial"/>
      <w:b/>
      <w:bCs/>
      <w:noProof/>
      <w:color w:val="2F5496" w:themeColor="accent1" w:themeShade="BF"/>
      <w:sz w:val="28"/>
      <w:szCs w:val="28"/>
    </w:rPr>
  </w:style>
  <w:style w:type="paragraph" w:customStyle="1" w:styleId="Numberlist">
    <w:name w:val="Number list"/>
    <w:basedOn w:val="NoSpacing"/>
    <w:link w:val="NumberlistChar"/>
    <w:uiPriority w:val="99"/>
    <w:qFormat/>
    <w:rsid w:val="00946A99"/>
    <w:pPr>
      <w:numPr>
        <w:numId w:val="5"/>
      </w:numPr>
    </w:pPr>
    <w:rPr>
      <w:rFonts w:ascii="Calibri" w:hAnsi="Calibri" w:cs="Times New Roman"/>
      <w:lang w:val="en-US" w:eastAsia="ja-JP"/>
    </w:rPr>
  </w:style>
  <w:style w:type="character" w:customStyle="1" w:styleId="NumberlistChar">
    <w:name w:val="Number list Char"/>
    <w:basedOn w:val="DefaultParagraphFont"/>
    <w:link w:val="Numberlist"/>
    <w:uiPriority w:val="99"/>
    <w:rsid w:val="00946A99"/>
    <w:rPr>
      <w:rFonts w:ascii="Calibri" w:hAnsi="Calibri" w:cs="Times New Roman"/>
      <w:lang w:val="en-US" w:eastAsia="ja-JP"/>
    </w:rPr>
  </w:style>
  <w:style w:type="paragraph" w:styleId="NoSpacing">
    <w:name w:val="No Spacing"/>
    <w:link w:val="NoSpacingChar"/>
    <w:uiPriority w:val="99"/>
    <w:rsid w:val="005256D3"/>
    <w:pPr>
      <w:spacing w:after="0" w:line="240" w:lineRule="auto"/>
    </w:pPr>
  </w:style>
  <w:style w:type="paragraph" w:customStyle="1" w:styleId="Body">
    <w:name w:val="Body"/>
    <w:basedOn w:val="Normal"/>
    <w:link w:val="BodyChar"/>
    <w:qFormat/>
    <w:rsid w:val="00F9719A"/>
    <w:pPr>
      <w:spacing w:before="120" w:after="120" w:line="276" w:lineRule="auto"/>
      <w:jc w:val="both"/>
    </w:pPr>
    <w:rPr>
      <w:iCs/>
      <w:lang w:val="en-GB" w:eastAsia="en-GB"/>
    </w:rPr>
  </w:style>
  <w:style w:type="character" w:customStyle="1" w:styleId="BodyChar">
    <w:name w:val="Body Char"/>
    <w:basedOn w:val="DefaultParagraphFont"/>
    <w:link w:val="Body"/>
    <w:rsid w:val="00F9719A"/>
    <w:rPr>
      <w:rFonts w:ascii="Arial" w:hAnsi="Arial" w:cs="Arial"/>
      <w:iCs/>
      <w:lang w:val="en-GB" w:eastAsia="en-GB"/>
    </w:rPr>
  </w:style>
  <w:style w:type="paragraph" w:styleId="ListParagraph">
    <w:name w:val="List Paragraph"/>
    <w:basedOn w:val="Normal"/>
    <w:link w:val="ListParagraphChar"/>
    <w:uiPriority w:val="34"/>
    <w:qFormat/>
    <w:rsid w:val="00FB0A24"/>
    <w:pPr>
      <w:ind w:left="720"/>
      <w:contextualSpacing/>
    </w:pPr>
  </w:style>
  <w:style w:type="paragraph" w:styleId="Caption">
    <w:name w:val="caption"/>
    <w:basedOn w:val="Normal"/>
    <w:next w:val="Normal"/>
    <w:link w:val="CaptionChar"/>
    <w:uiPriority w:val="35"/>
    <w:unhideWhenUsed/>
    <w:qFormat/>
    <w:rsid w:val="00FB0A24"/>
    <w:pPr>
      <w:spacing w:after="200" w:line="240" w:lineRule="auto"/>
    </w:pPr>
    <w:rPr>
      <w:i/>
      <w:iCs/>
      <w:color w:val="44546A" w:themeColor="text2"/>
      <w:sz w:val="18"/>
      <w:szCs w:val="18"/>
    </w:rPr>
  </w:style>
  <w:style w:type="paragraph" w:customStyle="1" w:styleId="Source">
    <w:name w:val="Source"/>
    <w:basedOn w:val="Normal"/>
    <w:link w:val="SourceChar"/>
    <w:uiPriority w:val="99"/>
    <w:qFormat/>
    <w:rsid w:val="00406277"/>
  </w:style>
  <w:style w:type="character" w:customStyle="1" w:styleId="Heading5Char">
    <w:name w:val="Heading 5 Char"/>
    <w:basedOn w:val="DefaultParagraphFont"/>
    <w:link w:val="Heading5"/>
    <w:uiPriority w:val="9"/>
    <w:rsid w:val="00C40031"/>
    <w:rPr>
      <w:rFonts w:ascii="Arial" w:eastAsiaTheme="majorEastAsia" w:hAnsi="Arial" w:cstheme="majorBidi"/>
      <w:color w:val="2F5496" w:themeColor="accent1" w:themeShade="BF"/>
      <w:sz w:val="20"/>
      <w:szCs w:val="20"/>
    </w:rPr>
  </w:style>
  <w:style w:type="character" w:customStyle="1" w:styleId="Heading6Char">
    <w:name w:val="Heading 6 Char"/>
    <w:basedOn w:val="DefaultParagraphFont"/>
    <w:link w:val="Heading6"/>
    <w:uiPriority w:val="9"/>
    <w:rsid w:val="00C40031"/>
    <w:rPr>
      <w:rFonts w:asciiTheme="majorHAnsi" w:eastAsiaTheme="majorEastAsia" w:hAnsiTheme="majorHAnsi" w:cstheme="majorBidi"/>
      <w:color w:val="1F3763" w:themeColor="accent1" w:themeShade="7F"/>
      <w:sz w:val="20"/>
      <w:szCs w:val="20"/>
    </w:rPr>
  </w:style>
  <w:style w:type="character" w:customStyle="1" w:styleId="Heading7Char">
    <w:name w:val="Heading 7 Char"/>
    <w:basedOn w:val="DefaultParagraphFont"/>
    <w:link w:val="Heading7"/>
    <w:uiPriority w:val="9"/>
    <w:rsid w:val="00C40031"/>
    <w:rPr>
      <w:rFonts w:asciiTheme="majorHAnsi" w:eastAsiaTheme="majorEastAsia" w:hAnsiTheme="majorHAnsi" w:cstheme="majorBidi"/>
      <w:i/>
      <w:iCs/>
      <w:color w:val="1F3763" w:themeColor="accent1" w:themeShade="7F"/>
      <w:sz w:val="20"/>
      <w:szCs w:val="20"/>
    </w:rPr>
  </w:style>
  <w:style w:type="character" w:customStyle="1" w:styleId="Heading8Char">
    <w:name w:val="Heading 8 Char"/>
    <w:basedOn w:val="DefaultParagraphFont"/>
    <w:link w:val="Heading8"/>
    <w:uiPriority w:val="9"/>
    <w:rsid w:val="00C4003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C40031"/>
    <w:rPr>
      <w:rFonts w:asciiTheme="majorHAnsi" w:eastAsiaTheme="majorEastAsia" w:hAnsiTheme="majorHAnsi" w:cstheme="majorBidi"/>
      <w:i/>
      <w:iCs/>
      <w:color w:val="272727" w:themeColor="text1" w:themeTint="D8"/>
      <w:sz w:val="21"/>
      <w:szCs w:val="21"/>
    </w:rPr>
  </w:style>
  <w:style w:type="table" w:styleId="GridTable2-Accent5">
    <w:name w:val="Grid Table 2 Accent 5"/>
    <w:basedOn w:val="TableNormal"/>
    <w:uiPriority w:val="47"/>
    <w:rsid w:val="00C40031"/>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1">
    <w:name w:val="Grid Table 2 Accent 1"/>
    <w:basedOn w:val="TableNormal"/>
    <w:uiPriority w:val="47"/>
    <w:rsid w:val="00C40031"/>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C40031"/>
    <w:pPr>
      <w:tabs>
        <w:tab w:val="center" w:pos="4513"/>
        <w:tab w:val="right" w:pos="9026"/>
      </w:tabs>
      <w:spacing w:after="0"/>
    </w:pPr>
  </w:style>
  <w:style w:type="character" w:customStyle="1" w:styleId="HeaderChar">
    <w:name w:val="Header Char"/>
    <w:basedOn w:val="DefaultParagraphFont"/>
    <w:link w:val="Header"/>
    <w:uiPriority w:val="99"/>
    <w:rsid w:val="00C40031"/>
    <w:rPr>
      <w:rFonts w:ascii="Arial" w:hAnsi="Arial"/>
      <w:sz w:val="20"/>
      <w:szCs w:val="20"/>
    </w:rPr>
  </w:style>
  <w:style w:type="paragraph" w:styleId="Footer">
    <w:name w:val="footer"/>
    <w:basedOn w:val="Normal"/>
    <w:link w:val="FooterChar"/>
    <w:uiPriority w:val="99"/>
    <w:unhideWhenUsed/>
    <w:rsid w:val="00C40031"/>
    <w:pPr>
      <w:tabs>
        <w:tab w:val="center" w:pos="4513"/>
        <w:tab w:val="right" w:pos="9026"/>
      </w:tabs>
      <w:spacing w:after="0"/>
    </w:pPr>
  </w:style>
  <w:style w:type="character" w:customStyle="1" w:styleId="FooterChar">
    <w:name w:val="Footer Char"/>
    <w:basedOn w:val="DefaultParagraphFont"/>
    <w:link w:val="Footer"/>
    <w:uiPriority w:val="99"/>
    <w:rsid w:val="00C40031"/>
    <w:rPr>
      <w:rFonts w:ascii="Arial" w:hAnsi="Arial"/>
      <w:sz w:val="20"/>
      <w:szCs w:val="20"/>
    </w:rPr>
  </w:style>
  <w:style w:type="paragraph" w:styleId="EndnoteText">
    <w:name w:val="endnote text"/>
    <w:basedOn w:val="Normal"/>
    <w:link w:val="EndnoteTextChar"/>
    <w:uiPriority w:val="99"/>
    <w:semiHidden/>
    <w:unhideWhenUsed/>
    <w:rsid w:val="00C40031"/>
    <w:pPr>
      <w:spacing w:after="0"/>
    </w:pPr>
  </w:style>
  <w:style w:type="character" w:customStyle="1" w:styleId="EndnoteTextChar">
    <w:name w:val="Endnote Text Char"/>
    <w:basedOn w:val="DefaultParagraphFont"/>
    <w:link w:val="EndnoteText"/>
    <w:uiPriority w:val="99"/>
    <w:semiHidden/>
    <w:rsid w:val="00C40031"/>
    <w:rPr>
      <w:rFonts w:ascii="Arial" w:hAnsi="Arial"/>
      <w:sz w:val="20"/>
      <w:szCs w:val="20"/>
    </w:rPr>
  </w:style>
  <w:style w:type="character" w:styleId="EndnoteReference">
    <w:name w:val="endnote reference"/>
    <w:basedOn w:val="DefaultParagraphFont"/>
    <w:uiPriority w:val="99"/>
    <w:unhideWhenUsed/>
    <w:rsid w:val="00C40031"/>
    <w:rPr>
      <w:vertAlign w:val="superscript"/>
    </w:rPr>
  </w:style>
  <w:style w:type="paragraph" w:styleId="FootnoteText">
    <w:name w:val="footnote text"/>
    <w:basedOn w:val="Normal"/>
    <w:link w:val="FootnoteTextChar"/>
    <w:uiPriority w:val="99"/>
    <w:unhideWhenUsed/>
    <w:qFormat/>
    <w:rsid w:val="00C40031"/>
    <w:pPr>
      <w:spacing w:after="0"/>
    </w:pPr>
    <w:rPr>
      <w:sz w:val="16"/>
      <w:szCs w:val="16"/>
    </w:rPr>
  </w:style>
  <w:style w:type="character" w:customStyle="1" w:styleId="FootnoteTextChar">
    <w:name w:val="Footnote Text Char"/>
    <w:basedOn w:val="DefaultParagraphFont"/>
    <w:link w:val="FootnoteText"/>
    <w:uiPriority w:val="99"/>
    <w:rsid w:val="00C40031"/>
    <w:rPr>
      <w:rFonts w:ascii="Arial" w:hAnsi="Arial"/>
      <w:sz w:val="16"/>
      <w:szCs w:val="16"/>
    </w:rPr>
  </w:style>
  <w:style w:type="character" w:styleId="FootnoteReference">
    <w:name w:val="footnote reference"/>
    <w:basedOn w:val="DefaultParagraphFont"/>
    <w:uiPriority w:val="99"/>
    <w:unhideWhenUsed/>
    <w:rsid w:val="00C40031"/>
    <w:rPr>
      <w:vertAlign w:val="superscript"/>
    </w:rPr>
  </w:style>
  <w:style w:type="character" w:customStyle="1" w:styleId="TitleChar">
    <w:name w:val="Title Char"/>
    <w:basedOn w:val="DefaultParagraphFont"/>
    <w:link w:val="Title"/>
    <w:uiPriority w:val="13"/>
    <w:rsid w:val="00C40031"/>
    <w:rPr>
      <w:rFonts w:ascii="Arial" w:eastAsiaTheme="majorEastAsia" w:hAnsi="Arial" w:cstheme="majorBidi"/>
      <w:b/>
      <w:spacing w:val="-10"/>
      <w:kern w:val="28"/>
      <w:sz w:val="48"/>
      <w:szCs w:val="56"/>
    </w:rPr>
  </w:style>
  <w:style w:type="paragraph" w:styleId="Subtitle">
    <w:name w:val="Subtitle"/>
    <w:basedOn w:val="Normal"/>
    <w:next w:val="Normal"/>
    <w:link w:val="SubtitleChar"/>
    <w:uiPriority w:val="11"/>
    <w:qFormat/>
    <w:pPr>
      <w:jc w:val="center"/>
    </w:pPr>
    <w:rPr>
      <w:b/>
      <w:sz w:val="36"/>
      <w:szCs w:val="36"/>
    </w:rPr>
  </w:style>
  <w:style w:type="character" w:customStyle="1" w:styleId="SubtitleChar">
    <w:name w:val="Subtitle Char"/>
    <w:basedOn w:val="DefaultParagraphFont"/>
    <w:link w:val="Subtitle"/>
    <w:uiPriority w:val="11"/>
    <w:rsid w:val="00C40031"/>
    <w:rPr>
      <w:rFonts w:ascii="Arial" w:hAnsi="Arial"/>
      <w:b/>
      <w:sz w:val="36"/>
      <w:szCs w:val="20"/>
    </w:rPr>
  </w:style>
  <w:style w:type="character" w:customStyle="1" w:styleId="NoSpacingChar">
    <w:name w:val="No Spacing Char"/>
    <w:basedOn w:val="DefaultParagraphFont"/>
    <w:link w:val="NoSpacing"/>
    <w:uiPriority w:val="99"/>
    <w:rsid w:val="00C40031"/>
  </w:style>
  <w:style w:type="character" w:customStyle="1" w:styleId="BalloonTextChar">
    <w:name w:val="Balloon Text Char"/>
    <w:basedOn w:val="DefaultParagraphFont"/>
    <w:link w:val="BalloonText"/>
    <w:uiPriority w:val="99"/>
    <w:semiHidden/>
    <w:rsid w:val="00C40031"/>
    <w:rPr>
      <w:rFonts w:ascii="Tahoma" w:eastAsia="HGSMinchoE" w:hAnsi="Tahoma" w:cs="Tahoma"/>
      <w:sz w:val="16"/>
      <w:szCs w:val="16"/>
      <w:lang w:val="en-US"/>
    </w:rPr>
  </w:style>
  <w:style w:type="paragraph" w:styleId="BalloonText">
    <w:name w:val="Balloon Text"/>
    <w:basedOn w:val="Normal"/>
    <w:link w:val="BalloonTextChar"/>
    <w:uiPriority w:val="99"/>
    <w:semiHidden/>
    <w:unhideWhenUsed/>
    <w:rsid w:val="00C40031"/>
    <w:pPr>
      <w:spacing w:after="0"/>
    </w:pPr>
    <w:rPr>
      <w:rFonts w:ascii="Tahoma" w:eastAsia="HGSMinchoE" w:hAnsi="Tahoma" w:cs="Tahoma"/>
      <w:sz w:val="16"/>
      <w:szCs w:val="16"/>
      <w:lang w:val="en-US"/>
    </w:rPr>
  </w:style>
  <w:style w:type="character" w:customStyle="1" w:styleId="BalloonTextChar1">
    <w:name w:val="Balloon Text Char1"/>
    <w:basedOn w:val="DefaultParagraphFont"/>
    <w:uiPriority w:val="99"/>
    <w:semiHidden/>
    <w:rsid w:val="00C40031"/>
    <w:rPr>
      <w:rFonts w:ascii="Segoe UI" w:hAnsi="Segoe UI" w:cs="Segoe UI"/>
      <w:sz w:val="18"/>
      <w:szCs w:val="18"/>
    </w:rPr>
  </w:style>
  <w:style w:type="character" w:styleId="Strong">
    <w:name w:val="Strong"/>
    <w:uiPriority w:val="22"/>
    <w:rsid w:val="00C40031"/>
    <w:rPr>
      <w:b/>
      <w:bCs/>
    </w:rPr>
  </w:style>
  <w:style w:type="character" w:styleId="Emphasis">
    <w:name w:val="Emphasis"/>
    <w:uiPriority w:val="20"/>
    <w:rsid w:val="00C40031"/>
    <w:rPr>
      <w:i/>
      <w:iCs/>
      <w:color w:val="auto"/>
    </w:rPr>
  </w:style>
  <w:style w:type="paragraph" w:styleId="Quote">
    <w:name w:val="Quote"/>
    <w:basedOn w:val="Normal"/>
    <w:next w:val="Normal"/>
    <w:link w:val="QuoteChar"/>
    <w:uiPriority w:val="29"/>
    <w:rsid w:val="00C40031"/>
    <w:pPr>
      <w:spacing w:before="160" w:line="300" w:lineRule="auto"/>
      <w:ind w:left="144" w:right="144"/>
      <w:jc w:val="center"/>
    </w:pPr>
    <w:rPr>
      <w:rFonts w:ascii="Century Gothic" w:eastAsia="HGSMinchoE" w:hAnsi="Century Gothic" w:cs="Times New Roman"/>
      <w:i/>
      <w:iCs/>
      <w:color w:val="6076B4"/>
      <w:sz w:val="24"/>
      <w:lang w:val="en-US" w:bidi="hi-IN"/>
    </w:rPr>
  </w:style>
  <w:style w:type="character" w:customStyle="1" w:styleId="QuoteChar">
    <w:name w:val="Quote Char"/>
    <w:basedOn w:val="DefaultParagraphFont"/>
    <w:link w:val="Quote"/>
    <w:uiPriority w:val="29"/>
    <w:rsid w:val="00C40031"/>
    <w:rPr>
      <w:rFonts w:ascii="Century Gothic" w:eastAsia="HGSMinchoE" w:hAnsi="Century Gothic" w:cs="Times New Roman"/>
      <w:i/>
      <w:iCs/>
      <w:color w:val="6076B4"/>
      <w:sz w:val="24"/>
      <w:szCs w:val="20"/>
      <w:lang w:val="en-US" w:bidi="hi-IN"/>
    </w:rPr>
  </w:style>
  <w:style w:type="paragraph" w:styleId="IntenseQuote">
    <w:name w:val="Intense Quote"/>
    <w:basedOn w:val="Normal"/>
    <w:next w:val="Normal"/>
    <w:link w:val="IntenseQuoteChar"/>
    <w:uiPriority w:val="30"/>
    <w:rsid w:val="00C4003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40031"/>
    <w:rPr>
      <w:rFonts w:ascii="Arial" w:hAnsi="Arial"/>
      <w:i/>
      <w:iCs/>
      <w:color w:val="4472C4" w:themeColor="accent1"/>
      <w:sz w:val="20"/>
      <w:szCs w:val="20"/>
    </w:rPr>
  </w:style>
  <w:style w:type="character" w:styleId="SubtleEmphasis">
    <w:name w:val="Subtle Emphasis"/>
    <w:uiPriority w:val="19"/>
    <w:rsid w:val="00C40031"/>
    <w:rPr>
      <w:i/>
      <w:iCs/>
      <w:color w:val="auto"/>
    </w:rPr>
  </w:style>
  <w:style w:type="character" w:styleId="IntenseEmphasis">
    <w:name w:val="Intense Emphasis"/>
    <w:basedOn w:val="DefaultParagraphFont"/>
    <w:uiPriority w:val="21"/>
    <w:rsid w:val="00C40031"/>
    <w:rPr>
      <w:rFonts w:ascii="Arial" w:hAnsi="Arial"/>
      <w:i/>
      <w:iCs/>
      <w:color w:val="4472C4" w:themeColor="accent1"/>
      <w:sz w:val="22"/>
    </w:rPr>
  </w:style>
  <w:style w:type="character" w:styleId="SubtleReference">
    <w:name w:val="Subtle Reference"/>
    <w:basedOn w:val="DefaultParagraphFont"/>
    <w:uiPriority w:val="31"/>
    <w:rsid w:val="00C40031"/>
    <w:rPr>
      <w:rFonts w:ascii="Arial" w:hAnsi="Arial"/>
      <w:smallCaps/>
      <w:color w:val="5A5A5A" w:themeColor="text1" w:themeTint="A5"/>
      <w:sz w:val="20"/>
    </w:rPr>
  </w:style>
  <w:style w:type="character" w:styleId="IntenseReference">
    <w:name w:val="Intense Reference"/>
    <w:basedOn w:val="DefaultParagraphFont"/>
    <w:uiPriority w:val="32"/>
    <w:rsid w:val="00C40031"/>
    <w:rPr>
      <w:rFonts w:ascii="Arial" w:hAnsi="Arial"/>
      <w:b/>
      <w:bCs/>
      <w:smallCaps/>
      <w:color w:val="4472C4" w:themeColor="accent1"/>
      <w:spacing w:val="5"/>
      <w:sz w:val="20"/>
    </w:rPr>
  </w:style>
  <w:style w:type="character" w:styleId="BookTitle">
    <w:name w:val="Book Title"/>
    <w:basedOn w:val="DefaultParagraphFont"/>
    <w:uiPriority w:val="33"/>
    <w:rsid w:val="00C40031"/>
    <w:rPr>
      <w:rFonts w:ascii="Arial" w:hAnsi="Arial"/>
      <w:b/>
      <w:bCs/>
      <w:i/>
      <w:iCs/>
      <w:spacing w:val="5"/>
    </w:rPr>
  </w:style>
  <w:style w:type="paragraph" w:styleId="TOCHeading">
    <w:name w:val="TOC Heading"/>
    <w:basedOn w:val="Heading1"/>
    <w:next w:val="Normal"/>
    <w:uiPriority w:val="39"/>
    <w:unhideWhenUsed/>
    <w:qFormat/>
    <w:rsid w:val="00C40031"/>
    <w:pPr>
      <w:pageBreakBefore/>
      <w:numPr>
        <w:numId w:val="0"/>
      </w:numPr>
      <w:spacing w:line="259" w:lineRule="auto"/>
      <w:outlineLvl w:val="9"/>
    </w:pPr>
    <w:rPr>
      <w:sz w:val="28"/>
      <w:lang w:val="en-US"/>
    </w:rPr>
  </w:style>
  <w:style w:type="character" w:styleId="Hyperlink">
    <w:name w:val="Hyperlink"/>
    <w:basedOn w:val="DefaultParagraphFont"/>
    <w:uiPriority w:val="99"/>
    <w:unhideWhenUsed/>
    <w:rsid w:val="00C40031"/>
    <w:rPr>
      <w:color w:val="0563C1" w:themeColor="hyperlink"/>
      <w:u w:val="single"/>
    </w:rPr>
  </w:style>
  <w:style w:type="character" w:customStyle="1" w:styleId="BodyTextIndent2Char">
    <w:name w:val="Body Text Indent 2 Char"/>
    <w:basedOn w:val="DefaultParagraphFont"/>
    <w:link w:val="BodyTextIndent2"/>
    <w:semiHidden/>
    <w:rsid w:val="00C40031"/>
    <w:rPr>
      <w:rFonts w:ascii="Times New Roman" w:eastAsia="Times New Roman" w:hAnsi="Times New Roman" w:cs="Times New Roman"/>
      <w:sz w:val="24"/>
      <w:szCs w:val="24"/>
      <w:lang w:val="en-US"/>
    </w:rPr>
  </w:style>
  <w:style w:type="paragraph" w:styleId="BodyTextIndent2">
    <w:name w:val="Body Text Indent 2"/>
    <w:basedOn w:val="Normal"/>
    <w:link w:val="BodyTextIndent2Char"/>
    <w:semiHidden/>
    <w:unhideWhenUsed/>
    <w:rsid w:val="00C40031"/>
    <w:pPr>
      <w:spacing w:after="0" w:line="360" w:lineRule="auto"/>
      <w:ind w:left="720"/>
    </w:pPr>
    <w:rPr>
      <w:rFonts w:ascii="Times New Roman" w:eastAsia="Times New Roman" w:hAnsi="Times New Roman" w:cs="Times New Roman"/>
      <w:sz w:val="24"/>
      <w:szCs w:val="24"/>
      <w:lang w:val="en-US"/>
    </w:rPr>
  </w:style>
  <w:style w:type="character" w:customStyle="1" w:styleId="BodyTextIndent2Char1">
    <w:name w:val="Body Text Indent 2 Char1"/>
    <w:basedOn w:val="DefaultParagraphFont"/>
    <w:uiPriority w:val="99"/>
    <w:semiHidden/>
    <w:rsid w:val="00C40031"/>
    <w:rPr>
      <w:rFonts w:ascii="Arial" w:hAnsi="Arial"/>
      <w:sz w:val="20"/>
      <w:szCs w:val="20"/>
    </w:rPr>
  </w:style>
  <w:style w:type="table" w:styleId="TableGrid">
    <w:name w:val="Table Grid"/>
    <w:basedOn w:val="TableNormal"/>
    <w:uiPriority w:val="39"/>
    <w:rsid w:val="00C400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860902"/>
    <w:pPr>
      <w:tabs>
        <w:tab w:val="left" w:pos="440"/>
        <w:tab w:val="right" w:pos="9016"/>
      </w:tabs>
      <w:spacing w:after="100"/>
    </w:pPr>
  </w:style>
  <w:style w:type="paragraph" w:styleId="TOC2">
    <w:name w:val="toc 2"/>
    <w:basedOn w:val="Normal"/>
    <w:next w:val="Normal"/>
    <w:autoRedefine/>
    <w:uiPriority w:val="39"/>
    <w:unhideWhenUsed/>
    <w:rsid w:val="00C40031"/>
    <w:pPr>
      <w:spacing w:after="100"/>
      <w:ind w:left="220"/>
    </w:pPr>
  </w:style>
  <w:style w:type="paragraph" w:styleId="BodyText">
    <w:name w:val="Body Text"/>
    <w:basedOn w:val="Normal"/>
    <w:link w:val="BodyTextChar"/>
    <w:uiPriority w:val="99"/>
    <w:unhideWhenUsed/>
    <w:rsid w:val="00C40031"/>
    <w:pPr>
      <w:spacing w:after="120" w:line="276" w:lineRule="auto"/>
    </w:pPr>
    <w:rPr>
      <w:rFonts w:ascii="Palatino Linotype" w:eastAsia="HGSMinchoE" w:hAnsi="Palatino Linotype" w:cs="Times New Roman"/>
      <w:lang w:val="en-US"/>
    </w:rPr>
  </w:style>
  <w:style w:type="character" w:customStyle="1" w:styleId="BodyTextChar">
    <w:name w:val="Body Text Char"/>
    <w:basedOn w:val="DefaultParagraphFont"/>
    <w:link w:val="BodyText"/>
    <w:uiPriority w:val="99"/>
    <w:rsid w:val="00C40031"/>
    <w:rPr>
      <w:rFonts w:ascii="Palatino Linotype" w:eastAsia="HGSMinchoE" w:hAnsi="Palatino Linotype" w:cs="Times New Roman"/>
      <w:sz w:val="20"/>
      <w:szCs w:val="20"/>
      <w:lang w:val="en-US"/>
    </w:rPr>
  </w:style>
  <w:style w:type="character" w:customStyle="1" w:styleId="CommentTextChar">
    <w:name w:val="Comment Text Char"/>
    <w:basedOn w:val="DefaultParagraphFont"/>
    <w:link w:val="CommentText"/>
    <w:uiPriority w:val="99"/>
    <w:semiHidden/>
    <w:rsid w:val="00C40031"/>
    <w:rPr>
      <w:rFonts w:ascii="Palatino Linotype" w:eastAsia="HGSMinchoE" w:hAnsi="Palatino Linotype" w:cs="Times New Roman"/>
      <w:sz w:val="20"/>
      <w:szCs w:val="20"/>
      <w:lang w:val="en-US"/>
    </w:rPr>
  </w:style>
  <w:style w:type="paragraph" w:styleId="CommentText">
    <w:name w:val="annotation text"/>
    <w:basedOn w:val="Normal"/>
    <w:link w:val="CommentTextChar"/>
    <w:uiPriority w:val="99"/>
    <w:semiHidden/>
    <w:unhideWhenUsed/>
    <w:rsid w:val="00C40031"/>
    <w:pPr>
      <w:spacing w:after="200"/>
    </w:pPr>
    <w:rPr>
      <w:rFonts w:ascii="Palatino Linotype" w:eastAsia="HGSMinchoE" w:hAnsi="Palatino Linotype" w:cs="Times New Roman"/>
      <w:lang w:val="en-US"/>
    </w:rPr>
  </w:style>
  <w:style w:type="character" w:customStyle="1" w:styleId="CommentTextChar1">
    <w:name w:val="Comment Text Char1"/>
    <w:basedOn w:val="DefaultParagraphFont"/>
    <w:uiPriority w:val="99"/>
    <w:semiHidden/>
    <w:rsid w:val="00C40031"/>
    <w:rPr>
      <w:rFonts w:ascii="Arial" w:hAnsi="Arial"/>
      <w:sz w:val="20"/>
      <w:szCs w:val="20"/>
    </w:rPr>
  </w:style>
  <w:style w:type="character" w:customStyle="1" w:styleId="CommentSubjectChar">
    <w:name w:val="Comment Subject Char"/>
    <w:basedOn w:val="CommentTextChar"/>
    <w:link w:val="CommentSubject"/>
    <w:uiPriority w:val="99"/>
    <w:semiHidden/>
    <w:rsid w:val="00C40031"/>
    <w:rPr>
      <w:rFonts w:ascii="Palatino Linotype" w:eastAsia="HGSMinchoE" w:hAnsi="Palatino Linotype"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C40031"/>
    <w:rPr>
      <w:b/>
      <w:bCs/>
    </w:rPr>
  </w:style>
  <w:style w:type="character" w:customStyle="1" w:styleId="CommentSubjectChar1">
    <w:name w:val="Comment Subject Char1"/>
    <w:basedOn w:val="CommentTextChar1"/>
    <w:uiPriority w:val="99"/>
    <w:semiHidden/>
    <w:rsid w:val="00C40031"/>
    <w:rPr>
      <w:rFonts w:ascii="Arial" w:hAnsi="Arial"/>
      <w:b/>
      <w:bCs/>
      <w:sz w:val="20"/>
      <w:szCs w:val="20"/>
    </w:rPr>
  </w:style>
  <w:style w:type="paragraph" w:styleId="TOC3">
    <w:name w:val="toc 3"/>
    <w:basedOn w:val="Normal"/>
    <w:next w:val="Normal"/>
    <w:autoRedefine/>
    <w:uiPriority w:val="39"/>
    <w:unhideWhenUsed/>
    <w:rsid w:val="00C40031"/>
    <w:pPr>
      <w:spacing w:after="100"/>
      <w:ind w:left="440"/>
    </w:pPr>
  </w:style>
  <w:style w:type="table" w:styleId="GridTable4-Accent1">
    <w:name w:val="Grid Table 4 Accent 1"/>
    <w:basedOn w:val="TableNormal"/>
    <w:uiPriority w:val="49"/>
    <w:rsid w:val="00C40031"/>
    <w:pPr>
      <w:spacing w:after="0" w:line="240" w:lineRule="auto"/>
    </w:pPr>
    <w:rPr>
      <w:rFonts w:ascii="Palatino Linotype" w:eastAsia="HGSMinchoE" w:hAnsi="Palatino Linotype"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ableofFigures">
    <w:name w:val="table of figures"/>
    <w:basedOn w:val="Normal"/>
    <w:next w:val="Normal"/>
    <w:uiPriority w:val="99"/>
    <w:unhideWhenUsed/>
    <w:rsid w:val="00C40031"/>
    <w:pPr>
      <w:spacing w:after="200" w:line="276" w:lineRule="auto"/>
    </w:pPr>
    <w:rPr>
      <w:rFonts w:ascii="Palatino Linotype" w:eastAsia="HGSMinchoE" w:hAnsi="Palatino Linotype" w:cs="Times New Roman"/>
      <w:lang w:val="en-US"/>
    </w:rPr>
  </w:style>
  <w:style w:type="character" w:styleId="HTMLCite">
    <w:name w:val="HTML Cite"/>
    <w:uiPriority w:val="99"/>
    <w:semiHidden/>
    <w:unhideWhenUsed/>
    <w:rsid w:val="00C40031"/>
    <w:rPr>
      <w:i/>
      <w:iCs/>
    </w:rPr>
  </w:style>
  <w:style w:type="character" w:styleId="CommentReference">
    <w:name w:val="annotation reference"/>
    <w:basedOn w:val="DefaultParagraphFont"/>
    <w:uiPriority w:val="99"/>
    <w:semiHidden/>
    <w:unhideWhenUsed/>
    <w:rsid w:val="00C40031"/>
    <w:rPr>
      <w:sz w:val="18"/>
      <w:szCs w:val="18"/>
    </w:rPr>
  </w:style>
  <w:style w:type="paragraph" w:customStyle="1" w:styleId="Default">
    <w:name w:val="Default"/>
    <w:rsid w:val="00C40031"/>
    <w:pPr>
      <w:autoSpaceDE w:val="0"/>
      <w:autoSpaceDN w:val="0"/>
      <w:adjustRightInd w:val="0"/>
      <w:spacing w:after="0" w:line="240" w:lineRule="auto"/>
    </w:pPr>
    <w:rPr>
      <w:rFonts w:ascii="Verdana" w:hAnsi="Verdana" w:cs="Verdana"/>
      <w:color w:val="000000"/>
      <w:sz w:val="24"/>
      <w:szCs w:val="24"/>
    </w:rPr>
  </w:style>
  <w:style w:type="table" w:styleId="GridTable4-Accent5">
    <w:name w:val="Grid Table 4 Accent 5"/>
    <w:basedOn w:val="TableNormal"/>
    <w:uiPriority w:val="49"/>
    <w:rsid w:val="00C4003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Othertitlepage">
    <w:name w:val="Other title page"/>
    <w:basedOn w:val="Normal"/>
    <w:link w:val="OthertitlepageChar"/>
    <w:rsid w:val="00C40031"/>
    <w:rPr>
      <w:sz w:val="28"/>
    </w:rPr>
  </w:style>
  <w:style w:type="character" w:customStyle="1" w:styleId="OthertitlepageChar">
    <w:name w:val="Other title page Char"/>
    <w:basedOn w:val="DefaultParagraphFont"/>
    <w:link w:val="Othertitlepage"/>
    <w:rsid w:val="00C40031"/>
    <w:rPr>
      <w:rFonts w:ascii="Arial" w:hAnsi="Arial"/>
      <w:sz w:val="28"/>
      <w:szCs w:val="20"/>
    </w:rPr>
  </w:style>
  <w:style w:type="numbering" w:customStyle="1" w:styleId="Style1">
    <w:name w:val="Style1"/>
    <w:uiPriority w:val="99"/>
    <w:rsid w:val="00C40031"/>
  </w:style>
  <w:style w:type="table" w:styleId="GridTable5Dark-Accent1">
    <w:name w:val="Grid Table 5 Dark Accent 1"/>
    <w:basedOn w:val="TableNormal"/>
    <w:uiPriority w:val="50"/>
    <w:rsid w:val="00C40031"/>
    <w:pPr>
      <w:spacing w:after="0"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TableGrid1">
    <w:name w:val="Table Grid1"/>
    <w:basedOn w:val="TableNormal"/>
    <w:next w:val="TableGrid"/>
    <w:uiPriority w:val="39"/>
    <w:rsid w:val="00C4003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5">
    <w:name w:val="Grid Table 6 Colorful Accent 5"/>
    <w:basedOn w:val="TableNormal"/>
    <w:uiPriority w:val="51"/>
    <w:rsid w:val="00C40031"/>
    <w:pPr>
      <w:spacing w:after="0" w:line="240" w:lineRule="auto"/>
    </w:pPr>
    <w:rPr>
      <w:color w:val="2E74B5" w:themeColor="accent5" w:themeShade="BF"/>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5">
    <w:name w:val="List Table 4 Accent 5"/>
    <w:basedOn w:val="TableNormal"/>
    <w:uiPriority w:val="49"/>
    <w:rsid w:val="00C40031"/>
    <w:pPr>
      <w:spacing w:after="0" w:line="240" w:lineRule="auto"/>
    </w:pPr>
    <w:rPr>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istTable4-Accent51">
    <w:name w:val="List Table 4 - Accent 51"/>
    <w:basedOn w:val="TableNormal"/>
    <w:next w:val="ListTable4-Accent5"/>
    <w:uiPriority w:val="49"/>
    <w:rsid w:val="00C40031"/>
    <w:pPr>
      <w:spacing w:after="0" w:line="240" w:lineRule="auto"/>
    </w:pPr>
    <w:rPr>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C40031"/>
    <w:rPr>
      <w:color w:val="954F72" w:themeColor="followedHyperlink"/>
      <w:u w:val="single"/>
    </w:rPr>
  </w:style>
  <w:style w:type="character" w:styleId="PageNumber">
    <w:name w:val="page number"/>
    <w:basedOn w:val="DefaultParagraphFont"/>
    <w:semiHidden/>
    <w:rsid w:val="00C40031"/>
  </w:style>
  <w:style w:type="character" w:styleId="PlaceholderText">
    <w:name w:val="Placeholder Text"/>
    <w:basedOn w:val="DefaultParagraphFont"/>
    <w:uiPriority w:val="99"/>
    <w:semiHidden/>
    <w:rsid w:val="00C40031"/>
    <w:rPr>
      <w:color w:val="808080"/>
    </w:rPr>
  </w:style>
  <w:style w:type="table" w:customStyle="1" w:styleId="GridTable4-Accent11">
    <w:name w:val="Grid Table 4 - Accent 11"/>
    <w:basedOn w:val="TableNormal"/>
    <w:uiPriority w:val="49"/>
    <w:rsid w:val="00C40031"/>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Newparagraph">
    <w:name w:val="New paragraph"/>
    <w:basedOn w:val="Normal"/>
    <w:rsid w:val="00C40031"/>
    <w:pPr>
      <w:spacing w:after="0" w:line="480" w:lineRule="auto"/>
      <w:ind w:firstLine="720"/>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C40031"/>
    <w:rPr>
      <w:color w:val="605E5C"/>
      <w:shd w:val="clear" w:color="auto" w:fill="E1DFDD"/>
    </w:rPr>
  </w:style>
  <w:style w:type="paragraph" w:customStyle="1" w:styleId="msonormal0">
    <w:name w:val="msonormal"/>
    <w:basedOn w:val="Normal"/>
    <w:uiPriority w:val="99"/>
    <w:rsid w:val="00C40031"/>
    <w:pPr>
      <w:spacing w:before="100" w:beforeAutospacing="1" w:after="100" w:afterAutospacing="1"/>
    </w:pPr>
    <w:rPr>
      <w:rFonts w:ascii="Times New Roman" w:eastAsia="Calibri" w:hAnsi="Times New Roman" w:cs="Times New Roman"/>
      <w:sz w:val="24"/>
      <w:szCs w:val="24"/>
    </w:rPr>
  </w:style>
  <w:style w:type="paragraph" w:styleId="NormalWeb">
    <w:name w:val="Normal (Web)"/>
    <w:basedOn w:val="Normal"/>
    <w:uiPriority w:val="99"/>
    <w:semiHidden/>
    <w:unhideWhenUsed/>
    <w:rsid w:val="00C40031"/>
    <w:pPr>
      <w:spacing w:before="100" w:beforeAutospacing="1" w:after="100" w:afterAutospacing="1"/>
    </w:pPr>
    <w:rPr>
      <w:rFonts w:ascii="Times New Roman" w:eastAsia="Calibri" w:hAnsi="Times New Roman" w:cs="Times New Roman"/>
      <w:sz w:val="24"/>
      <w:szCs w:val="24"/>
    </w:rPr>
  </w:style>
  <w:style w:type="paragraph" w:styleId="TOC4">
    <w:name w:val="toc 4"/>
    <w:basedOn w:val="Normal"/>
    <w:next w:val="Normal"/>
    <w:autoRedefine/>
    <w:uiPriority w:val="39"/>
    <w:unhideWhenUsed/>
    <w:rsid w:val="00C40031"/>
    <w:pPr>
      <w:spacing w:after="0" w:line="276" w:lineRule="auto"/>
      <w:ind w:left="440"/>
    </w:pPr>
    <w:rPr>
      <w:rFonts w:asciiTheme="minorHAnsi" w:eastAsia="Calibri" w:hAnsiTheme="minorHAnsi"/>
      <w:lang w:eastAsia="en-GB"/>
    </w:rPr>
  </w:style>
  <w:style w:type="paragraph" w:styleId="TOC5">
    <w:name w:val="toc 5"/>
    <w:basedOn w:val="Normal"/>
    <w:next w:val="Normal"/>
    <w:autoRedefine/>
    <w:uiPriority w:val="39"/>
    <w:unhideWhenUsed/>
    <w:rsid w:val="00C40031"/>
    <w:pPr>
      <w:spacing w:after="0" w:line="276" w:lineRule="auto"/>
      <w:ind w:left="660"/>
    </w:pPr>
    <w:rPr>
      <w:rFonts w:asciiTheme="minorHAnsi" w:eastAsia="Calibri" w:hAnsiTheme="minorHAnsi"/>
      <w:lang w:eastAsia="en-GB"/>
    </w:rPr>
  </w:style>
  <w:style w:type="paragraph" w:styleId="TOC6">
    <w:name w:val="toc 6"/>
    <w:basedOn w:val="Normal"/>
    <w:next w:val="Normal"/>
    <w:autoRedefine/>
    <w:uiPriority w:val="39"/>
    <w:unhideWhenUsed/>
    <w:rsid w:val="00C40031"/>
    <w:pPr>
      <w:spacing w:after="0" w:line="276" w:lineRule="auto"/>
      <w:ind w:left="880"/>
    </w:pPr>
    <w:rPr>
      <w:rFonts w:asciiTheme="minorHAnsi" w:eastAsia="Calibri" w:hAnsiTheme="minorHAnsi"/>
      <w:lang w:eastAsia="en-GB"/>
    </w:rPr>
  </w:style>
  <w:style w:type="paragraph" w:styleId="TOC7">
    <w:name w:val="toc 7"/>
    <w:basedOn w:val="Normal"/>
    <w:next w:val="Normal"/>
    <w:autoRedefine/>
    <w:uiPriority w:val="39"/>
    <w:unhideWhenUsed/>
    <w:rsid w:val="00C40031"/>
    <w:pPr>
      <w:spacing w:after="0" w:line="276" w:lineRule="auto"/>
      <w:ind w:left="1100"/>
    </w:pPr>
    <w:rPr>
      <w:rFonts w:asciiTheme="minorHAnsi" w:eastAsia="Calibri" w:hAnsiTheme="minorHAnsi"/>
      <w:lang w:eastAsia="en-GB"/>
    </w:rPr>
  </w:style>
  <w:style w:type="paragraph" w:styleId="TOC8">
    <w:name w:val="toc 8"/>
    <w:basedOn w:val="Normal"/>
    <w:next w:val="Normal"/>
    <w:autoRedefine/>
    <w:uiPriority w:val="39"/>
    <w:unhideWhenUsed/>
    <w:rsid w:val="00C40031"/>
    <w:pPr>
      <w:spacing w:after="0" w:line="276" w:lineRule="auto"/>
      <w:ind w:left="1320"/>
    </w:pPr>
    <w:rPr>
      <w:rFonts w:asciiTheme="minorHAnsi" w:eastAsia="Calibri" w:hAnsiTheme="minorHAnsi"/>
      <w:lang w:eastAsia="en-GB"/>
    </w:rPr>
  </w:style>
  <w:style w:type="paragraph" w:styleId="TOC9">
    <w:name w:val="toc 9"/>
    <w:basedOn w:val="Normal"/>
    <w:next w:val="Normal"/>
    <w:autoRedefine/>
    <w:uiPriority w:val="39"/>
    <w:unhideWhenUsed/>
    <w:rsid w:val="00C40031"/>
    <w:pPr>
      <w:spacing w:after="0" w:line="276" w:lineRule="auto"/>
      <w:ind w:left="1540"/>
    </w:pPr>
    <w:rPr>
      <w:rFonts w:asciiTheme="minorHAnsi" w:eastAsia="Calibri" w:hAnsiTheme="minorHAnsi"/>
      <w:lang w:eastAsia="en-GB"/>
    </w:rPr>
  </w:style>
  <w:style w:type="character" w:customStyle="1" w:styleId="CaptionChar">
    <w:name w:val="Caption Char"/>
    <w:basedOn w:val="DefaultParagraphFont"/>
    <w:link w:val="Caption"/>
    <w:uiPriority w:val="35"/>
    <w:locked/>
    <w:rsid w:val="00C40031"/>
    <w:rPr>
      <w:rFonts w:ascii="Arial" w:hAnsi="Arial"/>
      <w:i/>
      <w:iCs/>
      <w:color w:val="44546A" w:themeColor="text2"/>
      <w:sz w:val="18"/>
      <w:szCs w:val="18"/>
    </w:rPr>
  </w:style>
  <w:style w:type="character" w:customStyle="1" w:styleId="ListBulletChar">
    <w:name w:val="List Bullet Char"/>
    <w:basedOn w:val="DefaultParagraphFont"/>
    <w:link w:val="ListBullet"/>
    <w:uiPriority w:val="99"/>
    <w:locked/>
    <w:rsid w:val="00C40031"/>
    <w:rPr>
      <w:rFonts w:ascii="Arial" w:hAnsi="Arial"/>
      <w:sz w:val="20"/>
      <w:szCs w:val="20"/>
    </w:rPr>
  </w:style>
  <w:style w:type="paragraph" w:styleId="ListNumber">
    <w:name w:val="List Number"/>
    <w:basedOn w:val="Normal"/>
    <w:uiPriority w:val="99"/>
    <w:unhideWhenUsed/>
    <w:rsid w:val="00C40031"/>
    <w:pPr>
      <w:tabs>
        <w:tab w:val="num" w:pos="502"/>
      </w:tabs>
      <w:spacing w:after="200" w:line="276" w:lineRule="auto"/>
      <w:ind w:left="502" w:hanging="360"/>
      <w:contextualSpacing/>
    </w:pPr>
    <w:rPr>
      <w:rFonts w:eastAsia="Calibri"/>
      <w:lang w:eastAsia="en-GB"/>
    </w:rPr>
  </w:style>
  <w:style w:type="paragraph" w:styleId="ListBullet2">
    <w:name w:val="List Bullet 2"/>
    <w:basedOn w:val="Normal"/>
    <w:uiPriority w:val="99"/>
    <w:semiHidden/>
    <w:unhideWhenUsed/>
    <w:qFormat/>
    <w:rsid w:val="00C40031"/>
    <w:pPr>
      <w:tabs>
        <w:tab w:val="num" w:pos="643"/>
      </w:tabs>
      <w:spacing w:after="200" w:line="276" w:lineRule="auto"/>
      <w:ind w:left="643"/>
      <w:contextualSpacing/>
    </w:pPr>
    <w:rPr>
      <w:rFonts w:eastAsia="Calibri"/>
      <w:sz w:val="22"/>
      <w:lang w:eastAsia="en-GB"/>
    </w:rPr>
  </w:style>
  <w:style w:type="paragraph" w:styleId="BodyText2">
    <w:name w:val="Body Text 2"/>
    <w:basedOn w:val="Normal"/>
    <w:link w:val="BodyText2Char"/>
    <w:uiPriority w:val="99"/>
    <w:semiHidden/>
    <w:unhideWhenUsed/>
    <w:rsid w:val="00C40031"/>
    <w:pPr>
      <w:spacing w:after="120" w:line="480" w:lineRule="auto"/>
    </w:pPr>
    <w:rPr>
      <w:rFonts w:eastAsia="Calibri" w:cs="Times New Roman"/>
      <w:sz w:val="22"/>
      <w:lang w:eastAsia="en-GB"/>
    </w:rPr>
  </w:style>
  <w:style w:type="character" w:customStyle="1" w:styleId="BodyText2Char">
    <w:name w:val="Body Text 2 Char"/>
    <w:basedOn w:val="DefaultParagraphFont"/>
    <w:link w:val="BodyText2"/>
    <w:uiPriority w:val="99"/>
    <w:semiHidden/>
    <w:rsid w:val="00C40031"/>
    <w:rPr>
      <w:rFonts w:ascii="Arial" w:eastAsia="Calibri" w:hAnsi="Arial" w:cs="Times New Roman"/>
      <w:szCs w:val="20"/>
      <w:lang w:eastAsia="en-GB"/>
    </w:rPr>
  </w:style>
  <w:style w:type="paragraph" w:styleId="PlainText">
    <w:name w:val="Plain Text"/>
    <w:basedOn w:val="Normal"/>
    <w:link w:val="PlainTextChar"/>
    <w:uiPriority w:val="99"/>
    <w:semiHidden/>
    <w:unhideWhenUsed/>
    <w:rsid w:val="00C40031"/>
    <w:pPr>
      <w:spacing w:after="0"/>
    </w:pPr>
    <w:rPr>
      <w:rFonts w:ascii="Consolas" w:eastAsia="Calibri" w:hAnsi="Consolas" w:cs="Consolas"/>
      <w:sz w:val="21"/>
      <w:szCs w:val="21"/>
    </w:rPr>
  </w:style>
  <w:style w:type="character" w:customStyle="1" w:styleId="PlainTextChar">
    <w:name w:val="Plain Text Char"/>
    <w:basedOn w:val="DefaultParagraphFont"/>
    <w:link w:val="PlainText"/>
    <w:uiPriority w:val="99"/>
    <w:semiHidden/>
    <w:rsid w:val="00C40031"/>
    <w:rPr>
      <w:rFonts w:ascii="Consolas" w:eastAsia="Calibri" w:hAnsi="Consolas" w:cs="Consolas"/>
      <w:sz w:val="21"/>
      <w:szCs w:val="21"/>
    </w:rPr>
  </w:style>
  <w:style w:type="character" w:customStyle="1" w:styleId="ListParagraphChar">
    <w:name w:val="List Paragraph Char"/>
    <w:basedOn w:val="DefaultParagraphFont"/>
    <w:link w:val="ListParagraph"/>
    <w:uiPriority w:val="34"/>
    <w:locked/>
    <w:rsid w:val="00C40031"/>
    <w:rPr>
      <w:rFonts w:ascii="Arial" w:hAnsi="Arial"/>
      <w:sz w:val="20"/>
    </w:rPr>
  </w:style>
  <w:style w:type="paragraph" w:styleId="Bibliography">
    <w:name w:val="Bibliography"/>
    <w:basedOn w:val="Normal"/>
    <w:next w:val="Normal"/>
    <w:uiPriority w:val="37"/>
    <w:unhideWhenUsed/>
    <w:rsid w:val="00C40031"/>
    <w:pPr>
      <w:spacing w:after="240" w:line="240" w:lineRule="auto"/>
    </w:pPr>
    <w:rPr>
      <w:rFonts w:eastAsia="Calibri"/>
      <w:sz w:val="22"/>
      <w:lang w:eastAsia="en-GB"/>
    </w:rPr>
  </w:style>
  <w:style w:type="character" w:customStyle="1" w:styleId="ChapterChar">
    <w:name w:val="Chapter Char"/>
    <w:basedOn w:val="Heading1Char"/>
    <w:link w:val="Chapter"/>
    <w:uiPriority w:val="99"/>
    <w:locked/>
    <w:rsid w:val="00C40031"/>
    <w:rPr>
      <w:rFonts w:ascii="Arial Bold" w:eastAsiaTheme="majorEastAsia" w:hAnsi="Arial Bold" w:cstheme="majorBidi"/>
      <w:b/>
      <w:caps/>
      <w:color w:val="2F5496" w:themeColor="accent1" w:themeShade="BF"/>
      <w:sz w:val="28"/>
      <w:szCs w:val="32"/>
      <w:lang w:val="en-GB"/>
    </w:rPr>
  </w:style>
  <w:style w:type="paragraph" w:customStyle="1" w:styleId="Chapter">
    <w:name w:val="Chapter"/>
    <w:basedOn w:val="Heading1"/>
    <w:next w:val="BodyText"/>
    <w:link w:val="ChapterChar"/>
    <w:uiPriority w:val="99"/>
    <w:rsid w:val="00C40031"/>
    <w:pPr>
      <w:pageBreakBefore/>
      <w:spacing w:before="360" w:after="240"/>
      <w:ind w:left="0" w:firstLine="0"/>
    </w:pPr>
    <w:rPr>
      <w:rFonts w:ascii="Arial Bold" w:hAnsi="Arial Bold"/>
      <w:b/>
      <w:caps/>
      <w:sz w:val="28"/>
      <w:lang w:val="en-GB"/>
    </w:rPr>
  </w:style>
  <w:style w:type="character" w:customStyle="1" w:styleId="AppChar">
    <w:name w:val="App Char"/>
    <w:basedOn w:val="ChapterChar"/>
    <w:link w:val="App"/>
    <w:uiPriority w:val="99"/>
    <w:locked/>
    <w:rsid w:val="00C40031"/>
    <w:rPr>
      <w:rFonts w:ascii="Arial Bold" w:eastAsiaTheme="majorEastAsia" w:hAnsi="Arial Bold" w:cstheme="majorBidi"/>
      <w:b/>
      <w:caps w:val="0"/>
      <w:color w:val="2F5496" w:themeColor="accent1" w:themeShade="BF"/>
      <w:sz w:val="28"/>
      <w:szCs w:val="32"/>
      <w:lang w:val="en-GB"/>
    </w:rPr>
  </w:style>
  <w:style w:type="paragraph" w:customStyle="1" w:styleId="App">
    <w:name w:val="App"/>
    <w:basedOn w:val="Chapter"/>
    <w:link w:val="AppChar"/>
    <w:uiPriority w:val="99"/>
    <w:rsid w:val="00C40031"/>
    <w:pPr>
      <w:numPr>
        <w:numId w:val="0"/>
      </w:numPr>
    </w:pPr>
    <w:rPr>
      <w:caps w:val="0"/>
    </w:rPr>
  </w:style>
  <w:style w:type="character" w:customStyle="1" w:styleId="SourceChar">
    <w:name w:val="Source Char"/>
    <w:basedOn w:val="BodyChar"/>
    <w:link w:val="Source"/>
    <w:uiPriority w:val="99"/>
    <w:locked/>
    <w:rsid w:val="00C40031"/>
    <w:rPr>
      <w:rFonts w:ascii="Arial" w:hAnsi="Arial" w:cs="Arial"/>
      <w:iCs w:val="0"/>
      <w:sz w:val="20"/>
      <w:lang w:val="en-GB" w:eastAsia="en-GB"/>
    </w:rPr>
  </w:style>
  <w:style w:type="character" w:customStyle="1" w:styleId="TableChar">
    <w:name w:val="Table Char"/>
    <w:basedOn w:val="DefaultParagraphFont"/>
    <w:link w:val="Table"/>
    <w:locked/>
    <w:rsid w:val="00C40031"/>
    <w:rPr>
      <w:rFonts w:ascii="Arial" w:eastAsia="Times New Roman" w:hAnsi="Arial" w:cs="Times New Roman"/>
      <w:bCs/>
      <w:iCs/>
      <w:color w:val="000000"/>
      <w:sz w:val="16"/>
      <w:lang w:eastAsia="en-ZA"/>
    </w:rPr>
  </w:style>
  <w:style w:type="paragraph" w:customStyle="1" w:styleId="Table">
    <w:name w:val="Table"/>
    <w:basedOn w:val="Normal"/>
    <w:link w:val="TableChar"/>
    <w:rsid w:val="00C40031"/>
    <w:pPr>
      <w:spacing w:after="0" w:line="240" w:lineRule="exact"/>
      <w:jc w:val="right"/>
    </w:pPr>
    <w:rPr>
      <w:rFonts w:eastAsia="Times New Roman" w:cs="Times New Roman"/>
      <w:bCs/>
      <w:iCs/>
      <w:color w:val="000000"/>
      <w:sz w:val="16"/>
      <w:szCs w:val="22"/>
    </w:rPr>
  </w:style>
  <w:style w:type="character" w:customStyle="1" w:styleId="doChar">
    <w:name w:val="do Char"/>
    <w:basedOn w:val="DefaultParagraphFont"/>
    <w:link w:val="do"/>
    <w:uiPriority w:val="99"/>
    <w:locked/>
    <w:rsid w:val="00C40031"/>
    <w:rPr>
      <w:rFonts w:ascii="Arial" w:hAnsi="Arial" w:cs="Arial"/>
      <w:color w:val="000000"/>
      <w:sz w:val="24"/>
      <w:shd w:val="clear" w:color="auto" w:fill="D9D9D9" w:themeFill="background1" w:themeFillShade="D9"/>
      <w:lang w:eastAsia="en-GB"/>
    </w:rPr>
  </w:style>
  <w:style w:type="paragraph" w:customStyle="1" w:styleId="do">
    <w:name w:val="do"/>
    <w:basedOn w:val="Normal"/>
    <w:next w:val="Normal"/>
    <w:link w:val="doChar"/>
    <w:uiPriority w:val="99"/>
    <w:rsid w:val="00C40031"/>
    <w:pPr>
      <w:shd w:val="clear" w:color="auto" w:fill="D9D9D9" w:themeFill="background1" w:themeFillShade="D9"/>
      <w:tabs>
        <w:tab w:val="num" w:pos="720"/>
      </w:tabs>
      <w:spacing w:before="120" w:after="120"/>
      <w:ind w:left="1429"/>
    </w:pPr>
    <w:rPr>
      <w:color w:val="000000"/>
      <w:sz w:val="24"/>
      <w:szCs w:val="22"/>
      <w:lang w:eastAsia="en-GB"/>
    </w:rPr>
  </w:style>
  <w:style w:type="character" w:customStyle="1" w:styleId="NB1Char">
    <w:name w:val="NB1 Char"/>
    <w:basedOn w:val="DefaultParagraphFont"/>
    <w:link w:val="NB1"/>
    <w:uiPriority w:val="99"/>
    <w:locked/>
    <w:rsid w:val="00C40031"/>
    <w:rPr>
      <w:rFonts w:ascii="Arial" w:hAnsi="Arial" w:cs="Arial"/>
      <w:color w:val="000000"/>
      <w:sz w:val="24"/>
      <w:shd w:val="clear" w:color="auto" w:fill="D9D9D9" w:themeFill="background1" w:themeFillShade="D9"/>
      <w:lang w:eastAsia="en-GB"/>
    </w:rPr>
  </w:style>
  <w:style w:type="paragraph" w:customStyle="1" w:styleId="NB1">
    <w:name w:val="NB1"/>
    <w:basedOn w:val="Normal"/>
    <w:next w:val="Normal"/>
    <w:link w:val="NB1Char"/>
    <w:uiPriority w:val="99"/>
    <w:rsid w:val="00C40031"/>
    <w:pPr>
      <w:shd w:val="clear" w:color="auto" w:fill="D9D9D9" w:themeFill="background1" w:themeFillShade="D9"/>
      <w:tabs>
        <w:tab w:val="num" w:pos="720"/>
      </w:tabs>
      <w:spacing w:before="120" w:after="120"/>
      <w:ind w:left="1429" w:hanging="360"/>
    </w:pPr>
    <w:rPr>
      <w:color w:val="000000"/>
      <w:sz w:val="24"/>
      <w:szCs w:val="22"/>
      <w:lang w:eastAsia="en-GB"/>
    </w:rPr>
  </w:style>
  <w:style w:type="character" w:customStyle="1" w:styleId="bulletChar0">
    <w:name w:val="bullet Char"/>
    <w:basedOn w:val="ListBulletChar"/>
    <w:link w:val="bullet0"/>
    <w:uiPriority w:val="99"/>
    <w:locked/>
    <w:rsid w:val="00C40031"/>
    <w:rPr>
      <w:rFonts w:ascii="Arial" w:hAnsi="Arial" w:cs="Times New Roman"/>
      <w:sz w:val="20"/>
      <w:szCs w:val="20"/>
    </w:rPr>
  </w:style>
  <w:style w:type="paragraph" w:customStyle="1" w:styleId="bullet0">
    <w:name w:val="bullet"/>
    <w:basedOn w:val="ListBullet"/>
    <w:link w:val="bulletChar0"/>
    <w:uiPriority w:val="99"/>
    <w:rsid w:val="00C40031"/>
    <w:pPr>
      <w:numPr>
        <w:numId w:val="0"/>
      </w:numPr>
      <w:spacing w:after="200" w:line="276" w:lineRule="auto"/>
      <w:contextualSpacing/>
    </w:pPr>
    <w:rPr>
      <w:rFonts w:cs="Times New Roman"/>
    </w:rPr>
  </w:style>
  <w:style w:type="character" w:customStyle="1" w:styleId="CVheading1Char">
    <w:name w:val="CV heading 1 Char"/>
    <w:basedOn w:val="Heading1Char"/>
    <w:link w:val="CVheading1"/>
    <w:uiPriority w:val="99"/>
    <w:locked/>
    <w:rsid w:val="00C40031"/>
    <w:rPr>
      <w:rFonts w:ascii="Arial" w:eastAsiaTheme="majorEastAsia" w:hAnsi="Arial" w:cs="Times New Roman"/>
      <w:b/>
      <w:bCs/>
      <w:color w:val="0F243E"/>
      <w:sz w:val="24"/>
      <w:szCs w:val="28"/>
      <w:lang w:val="en-GB"/>
    </w:rPr>
  </w:style>
  <w:style w:type="paragraph" w:customStyle="1" w:styleId="CVheading1">
    <w:name w:val="CV heading 1"/>
    <w:basedOn w:val="Normal"/>
    <w:link w:val="CVheading1Char"/>
    <w:uiPriority w:val="99"/>
    <w:rsid w:val="00C40031"/>
    <w:pPr>
      <w:numPr>
        <w:numId w:val="12"/>
      </w:numPr>
      <w:spacing w:after="200" w:line="276" w:lineRule="auto"/>
    </w:pPr>
    <w:rPr>
      <w:rFonts w:eastAsiaTheme="majorEastAsia" w:cs="Times New Roman"/>
      <w:b/>
      <w:bCs/>
      <w:color w:val="0F243E"/>
      <w:sz w:val="24"/>
      <w:szCs w:val="28"/>
      <w:lang w:val="en-GB"/>
    </w:rPr>
  </w:style>
  <w:style w:type="character" w:customStyle="1" w:styleId="CVhead2Char">
    <w:name w:val="CV head 2 Char"/>
    <w:basedOn w:val="CVheading1Char"/>
    <w:link w:val="CVhead2"/>
    <w:uiPriority w:val="99"/>
    <w:locked/>
    <w:rsid w:val="00C40031"/>
    <w:rPr>
      <w:rFonts w:ascii="Arial" w:eastAsiaTheme="majorEastAsia" w:hAnsi="Arial" w:cs="Times New Roman"/>
      <w:b/>
      <w:bCs/>
      <w:color w:val="0F243E"/>
      <w:sz w:val="24"/>
      <w:szCs w:val="28"/>
      <w:lang w:val="en-GB"/>
    </w:rPr>
  </w:style>
  <w:style w:type="paragraph" w:customStyle="1" w:styleId="CVhead2">
    <w:name w:val="CV head 2"/>
    <w:basedOn w:val="CVheading1"/>
    <w:link w:val="CVhead2Char"/>
    <w:uiPriority w:val="99"/>
    <w:rsid w:val="00C40031"/>
    <w:pPr>
      <w:ind w:left="0"/>
    </w:pPr>
  </w:style>
  <w:style w:type="paragraph" w:customStyle="1" w:styleId="Basictext">
    <w:name w:val="Basic text"/>
    <w:uiPriority w:val="99"/>
    <w:rsid w:val="00C40031"/>
    <w:pPr>
      <w:spacing w:before="120" w:after="0" w:line="240" w:lineRule="auto"/>
      <w:jc w:val="both"/>
    </w:pPr>
    <w:rPr>
      <w:rFonts w:ascii="Times New Roman" w:eastAsia="Times New Roman" w:hAnsi="Times New Roman"/>
      <w:color w:val="000000"/>
      <w:szCs w:val="15"/>
      <w:lang w:val="en-GB"/>
    </w:rPr>
  </w:style>
  <w:style w:type="character" w:customStyle="1" w:styleId="IEXbodyChar">
    <w:name w:val="IEX body Char"/>
    <w:basedOn w:val="DefaultParagraphFont"/>
    <w:link w:val="IEXbody"/>
    <w:uiPriority w:val="99"/>
    <w:locked/>
    <w:rsid w:val="00C40031"/>
    <w:rPr>
      <w:rFonts w:ascii="Arial" w:hAnsi="Arial" w:cs="Arial"/>
      <w:lang w:val="en-GB"/>
    </w:rPr>
  </w:style>
  <w:style w:type="paragraph" w:customStyle="1" w:styleId="IEXbody">
    <w:name w:val="IEX body"/>
    <w:basedOn w:val="Normal"/>
    <w:link w:val="IEXbodyChar"/>
    <w:uiPriority w:val="99"/>
    <w:rsid w:val="00C40031"/>
    <w:pPr>
      <w:widowControl w:val="0"/>
      <w:tabs>
        <w:tab w:val="left" w:pos="432"/>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spacing w:before="60" w:after="60" w:line="297" w:lineRule="exact"/>
    </w:pPr>
    <w:rPr>
      <w:sz w:val="22"/>
      <w:szCs w:val="22"/>
      <w:lang w:val="en-GB"/>
    </w:rPr>
  </w:style>
  <w:style w:type="paragraph" w:customStyle="1" w:styleId="subsubbullet">
    <w:name w:val="subsubbullet"/>
    <w:basedOn w:val="subbullet"/>
    <w:uiPriority w:val="99"/>
    <w:rsid w:val="00C40031"/>
    <w:pPr>
      <w:numPr>
        <w:ilvl w:val="1"/>
      </w:numPr>
      <w:tabs>
        <w:tab w:val="num" w:pos="360"/>
      </w:tabs>
      <w:ind w:left="360"/>
    </w:pPr>
    <w:rPr>
      <w:rFonts w:eastAsia="Times New Roman" w:cs="Times New Roman"/>
    </w:rPr>
  </w:style>
  <w:style w:type="character" w:customStyle="1" w:styleId="SOurceChar0">
    <w:name w:val="SOurce Char"/>
    <w:basedOn w:val="DefaultParagraphFont"/>
    <w:link w:val="SOurce0"/>
    <w:uiPriority w:val="99"/>
    <w:locked/>
    <w:rsid w:val="00C40031"/>
    <w:rPr>
      <w:rFonts w:ascii="Courier New" w:hAnsi="Courier New" w:cs="Courier New"/>
      <w:sz w:val="18"/>
      <w:szCs w:val="21"/>
    </w:rPr>
  </w:style>
  <w:style w:type="paragraph" w:customStyle="1" w:styleId="SOurce0">
    <w:name w:val="SOurce"/>
    <w:basedOn w:val="PlainText"/>
    <w:link w:val="SOurceChar0"/>
    <w:uiPriority w:val="99"/>
    <w:rsid w:val="00C40031"/>
    <w:pPr>
      <w:spacing w:after="240"/>
    </w:pPr>
    <w:rPr>
      <w:rFonts w:ascii="Courier New" w:eastAsiaTheme="minorHAnsi" w:hAnsi="Courier New" w:cs="Courier New"/>
      <w:sz w:val="18"/>
    </w:rPr>
  </w:style>
  <w:style w:type="character" w:customStyle="1" w:styleId="HiLiteChar">
    <w:name w:val="HiLite Char"/>
    <w:basedOn w:val="DefaultParagraphFont"/>
    <w:link w:val="HiLite"/>
    <w:uiPriority w:val="99"/>
    <w:locked/>
    <w:rsid w:val="00C40031"/>
    <w:rPr>
      <w:rFonts w:ascii="Calibri" w:hAnsi="Calibri" w:cs="Calibri"/>
      <w:b/>
      <w:color w:val="000000"/>
      <w:shd w:val="clear" w:color="auto" w:fill="8EAADB" w:themeFill="accent1" w:themeFillTint="99"/>
      <w:lang w:eastAsia="en-GB"/>
    </w:rPr>
  </w:style>
  <w:style w:type="paragraph" w:customStyle="1" w:styleId="HiLite">
    <w:name w:val="HiLite"/>
    <w:basedOn w:val="Normal"/>
    <w:link w:val="HiLiteChar"/>
    <w:uiPriority w:val="99"/>
    <w:rsid w:val="00C40031"/>
    <w:pPr>
      <w:pBdr>
        <w:top w:val="single" w:sz="4" w:space="1" w:color="auto"/>
        <w:left w:val="single" w:sz="4" w:space="4" w:color="auto"/>
        <w:bottom w:val="single" w:sz="4" w:space="1" w:color="auto"/>
        <w:right w:val="single" w:sz="4" w:space="4" w:color="auto"/>
      </w:pBdr>
      <w:shd w:val="clear" w:color="auto" w:fill="8EAADB" w:themeFill="accent1" w:themeFillTint="99"/>
      <w:spacing w:before="120" w:after="120" w:line="276" w:lineRule="auto"/>
      <w:contextualSpacing/>
    </w:pPr>
    <w:rPr>
      <w:rFonts w:ascii="Calibri" w:hAnsi="Calibri" w:cs="Calibri"/>
      <w:b/>
      <w:color w:val="000000"/>
      <w:sz w:val="22"/>
      <w:szCs w:val="22"/>
      <w:lang w:eastAsia="en-GB"/>
    </w:rPr>
  </w:style>
  <w:style w:type="character" w:customStyle="1" w:styleId="SummaryChar">
    <w:name w:val="Summary Char"/>
    <w:basedOn w:val="BodyChar"/>
    <w:link w:val="Summary"/>
    <w:uiPriority w:val="99"/>
    <w:locked/>
    <w:rsid w:val="00C40031"/>
    <w:rPr>
      <w:rFonts w:ascii="Arial" w:hAnsi="Arial" w:cstheme="minorHAnsi"/>
      <w:iCs w:val="0"/>
      <w:sz w:val="24"/>
      <w:shd w:val="clear" w:color="auto" w:fill="BFBFBF" w:themeFill="background1" w:themeFillShade="BF"/>
      <w:lang w:val="en-GB" w:eastAsia="en-GB"/>
    </w:rPr>
  </w:style>
  <w:style w:type="paragraph" w:customStyle="1" w:styleId="Summary">
    <w:name w:val="Summary"/>
    <w:basedOn w:val="Body"/>
    <w:link w:val="SummaryChar"/>
    <w:uiPriority w:val="99"/>
    <w:rsid w:val="00C40031"/>
    <w:pPr>
      <w:shd w:val="clear" w:color="auto" w:fill="BFBFBF" w:themeFill="background1" w:themeFillShade="BF"/>
      <w:spacing w:line="259" w:lineRule="auto"/>
    </w:pPr>
    <w:rPr>
      <w:rFonts w:asciiTheme="minorHAnsi" w:hAnsiTheme="minorHAnsi" w:cstheme="minorHAnsi"/>
      <w:iCs w:val="0"/>
      <w:sz w:val="24"/>
      <w:lang w:val="en-ZA"/>
    </w:rPr>
  </w:style>
  <w:style w:type="paragraph" w:customStyle="1" w:styleId="Text">
    <w:name w:val="Text"/>
    <w:basedOn w:val="Default"/>
    <w:next w:val="Default"/>
    <w:uiPriority w:val="99"/>
    <w:rsid w:val="00C40031"/>
    <w:rPr>
      <w:rFonts w:ascii="Times New Roman" w:hAnsi="Times New Roman" w:cs="Times New Roman"/>
      <w:color w:val="auto"/>
    </w:rPr>
  </w:style>
  <w:style w:type="character" w:customStyle="1" w:styleId="RecommendationChar">
    <w:name w:val="Recommendation Char"/>
    <w:basedOn w:val="BodyTextChar"/>
    <w:link w:val="Recommendation"/>
    <w:uiPriority w:val="99"/>
    <w:locked/>
    <w:rsid w:val="00C40031"/>
    <w:rPr>
      <w:rFonts w:ascii="Palatino Linotype" w:eastAsia="Calibri" w:hAnsi="Palatino Linotype" w:cs="Arial"/>
      <w:sz w:val="20"/>
      <w:szCs w:val="20"/>
      <w:shd w:val="clear" w:color="auto" w:fill="8EAADB" w:themeFill="accent1" w:themeFillTint="99"/>
      <w:lang w:val="en-US" w:eastAsia="en-GB"/>
    </w:rPr>
  </w:style>
  <w:style w:type="paragraph" w:customStyle="1" w:styleId="Recommendation">
    <w:name w:val="Recommendation"/>
    <w:basedOn w:val="BodyText"/>
    <w:link w:val="RecommendationChar"/>
    <w:uiPriority w:val="99"/>
    <w:rsid w:val="00C40031"/>
    <w:pPr>
      <w:shd w:val="clear" w:color="auto" w:fill="8EAADB" w:themeFill="accent1" w:themeFillTint="99"/>
      <w:spacing w:before="80" w:after="80" w:line="256" w:lineRule="auto"/>
    </w:pPr>
    <w:rPr>
      <w:rFonts w:eastAsia="Calibri" w:cs="Arial"/>
      <w:lang w:eastAsia="en-GB"/>
    </w:rPr>
  </w:style>
  <w:style w:type="character" w:customStyle="1" w:styleId="tgc">
    <w:name w:val="_tgc"/>
    <w:basedOn w:val="DefaultParagraphFont"/>
    <w:uiPriority w:val="99"/>
    <w:rsid w:val="00C40031"/>
  </w:style>
  <w:style w:type="character" w:customStyle="1" w:styleId="reference-accessdate">
    <w:name w:val="reference-accessdate"/>
    <w:basedOn w:val="DefaultParagraphFont"/>
    <w:uiPriority w:val="99"/>
    <w:rsid w:val="00C40031"/>
  </w:style>
  <w:style w:type="character" w:customStyle="1" w:styleId="nowrap">
    <w:name w:val="nowrap"/>
    <w:basedOn w:val="DefaultParagraphFont"/>
    <w:uiPriority w:val="99"/>
    <w:rsid w:val="00C40031"/>
  </w:style>
  <w:style w:type="character" w:customStyle="1" w:styleId="apple-converted-space">
    <w:name w:val="apple-converted-space"/>
    <w:basedOn w:val="DefaultParagraphFont"/>
    <w:rsid w:val="00C40031"/>
  </w:style>
  <w:style w:type="character" w:customStyle="1" w:styleId="Mention1">
    <w:name w:val="Mention1"/>
    <w:basedOn w:val="DefaultParagraphFont"/>
    <w:uiPriority w:val="99"/>
    <w:semiHidden/>
    <w:rsid w:val="00C40031"/>
    <w:rPr>
      <w:color w:val="2B579A"/>
      <w:shd w:val="clear" w:color="auto" w:fill="E6E6E6"/>
    </w:rPr>
  </w:style>
  <w:style w:type="character" w:customStyle="1" w:styleId="A10">
    <w:name w:val="A10"/>
    <w:uiPriority w:val="99"/>
    <w:rsid w:val="00C40031"/>
    <w:rPr>
      <w:rFonts w:ascii="Futura Std Book" w:hAnsi="Futura Std Book" w:cs="Futura Std Book" w:hint="default"/>
      <w:color w:val="000000"/>
      <w:sz w:val="12"/>
      <w:szCs w:val="12"/>
    </w:rPr>
  </w:style>
  <w:style w:type="character" w:customStyle="1" w:styleId="A6">
    <w:name w:val="A6"/>
    <w:uiPriority w:val="99"/>
    <w:rsid w:val="00C40031"/>
    <w:rPr>
      <w:rFonts w:ascii="Perpetua" w:hAnsi="Perpetua" w:cs="Perpetua" w:hint="default"/>
      <w:color w:val="000000"/>
      <w:u w:val="single"/>
    </w:rPr>
  </w:style>
  <w:style w:type="character" w:customStyle="1" w:styleId="A5">
    <w:name w:val="A5"/>
    <w:uiPriority w:val="99"/>
    <w:rsid w:val="00C40031"/>
    <w:rPr>
      <w:rFonts w:ascii="Futura Std Medium" w:hAnsi="Futura Std Medium" w:cs="Futura Std Medium" w:hint="default"/>
      <w:color w:val="000000"/>
      <w:sz w:val="14"/>
      <w:szCs w:val="14"/>
    </w:rPr>
  </w:style>
  <w:style w:type="character" w:customStyle="1" w:styleId="Mention2">
    <w:name w:val="Mention2"/>
    <w:basedOn w:val="DefaultParagraphFont"/>
    <w:uiPriority w:val="99"/>
    <w:semiHidden/>
    <w:rsid w:val="00C40031"/>
    <w:rPr>
      <w:color w:val="2B579A"/>
      <w:shd w:val="clear" w:color="auto" w:fill="E6E6E6"/>
    </w:rPr>
  </w:style>
  <w:style w:type="character" w:customStyle="1" w:styleId="fheading1">
    <w:name w:val="f_heading1"/>
    <w:basedOn w:val="DefaultParagraphFont"/>
    <w:rsid w:val="00C40031"/>
  </w:style>
  <w:style w:type="character" w:customStyle="1" w:styleId="Mention3">
    <w:name w:val="Mention3"/>
    <w:basedOn w:val="DefaultParagraphFont"/>
    <w:uiPriority w:val="99"/>
    <w:semiHidden/>
    <w:rsid w:val="00C40031"/>
    <w:rPr>
      <w:color w:val="2B579A"/>
      <w:shd w:val="clear" w:color="auto" w:fill="E6E6E6"/>
    </w:rPr>
  </w:style>
  <w:style w:type="table" w:customStyle="1" w:styleId="GridTable1Light1">
    <w:name w:val="Grid Table 1 Light1"/>
    <w:basedOn w:val="TableNormal"/>
    <w:uiPriority w:val="46"/>
    <w:rsid w:val="00C40031"/>
    <w:pPr>
      <w:spacing w:after="0" w:line="240" w:lineRule="auto"/>
    </w:pPr>
    <w:rPr>
      <w:rFonts w:eastAsia="Calibri"/>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31">
    <w:name w:val="Grid Table 31"/>
    <w:basedOn w:val="TableNormal"/>
    <w:uiPriority w:val="48"/>
    <w:rsid w:val="00C40031"/>
    <w:pPr>
      <w:spacing w:after="0" w:line="240" w:lineRule="auto"/>
    </w:pPr>
    <w:rPr>
      <w:rFonts w:eastAsia="Calibri"/>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eGrid0">
    <w:name w:val="TableGrid"/>
    <w:rsid w:val="00C40031"/>
    <w:pPr>
      <w:spacing w:after="0" w:line="240" w:lineRule="auto"/>
    </w:pPr>
    <w:rPr>
      <w:rFonts w:eastAsiaTheme="minorEastAsia"/>
    </w:rPr>
    <w:tblPr>
      <w:tblCellMar>
        <w:top w:w="0" w:type="dxa"/>
        <w:left w:w="0" w:type="dxa"/>
        <w:bottom w:w="0" w:type="dxa"/>
        <w:right w:w="0" w:type="dxa"/>
      </w:tblCellMar>
    </w:tblPr>
  </w:style>
  <w:style w:type="table" w:customStyle="1" w:styleId="GridTable5Dark-Accent51">
    <w:name w:val="Grid Table 5 Dark - Accent 51"/>
    <w:basedOn w:val="TableNormal"/>
    <w:uiPriority w:val="50"/>
    <w:rsid w:val="00C40031"/>
    <w:pPr>
      <w:spacing w:after="0" w:line="240" w:lineRule="auto"/>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GridTable5Dark-Accent11">
    <w:name w:val="Grid Table 5 Dark - Accent 11"/>
    <w:basedOn w:val="TableNormal"/>
    <w:uiPriority w:val="50"/>
    <w:rsid w:val="00C40031"/>
    <w:pPr>
      <w:spacing w:after="0" w:line="240" w:lineRule="auto"/>
    </w:pPr>
    <w:rPr>
      <w:rFonts w:eastAsia="Calibri"/>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UnresolvedMention2">
    <w:name w:val="Unresolved Mention2"/>
    <w:basedOn w:val="DefaultParagraphFont"/>
    <w:uiPriority w:val="99"/>
    <w:semiHidden/>
    <w:unhideWhenUsed/>
    <w:rsid w:val="00C40031"/>
    <w:rPr>
      <w:color w:val="605E5C"/>
      <w:shd w:val="clear" w:color="auto" w:fill="E1DFDD"/>
    </w:rPr>
  </w:style>
  <w:style w:type="table" w:styleId="GridTable6Colorful-Accent1">
    <w:name w:val="Grid Table 6 Colorful Accent 1"/>
    <w:basedOn w:val="TableNormal"/>
    <w:uiPriority w:val="51"/>
    <w:rsid w:val="00C3514A"/>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Revision">
    <w:name w:val="Revision"/>
    <w:hidden/>
    <w:uiPriority w:val="99"/>
    <w:semiHidden/>
    <w:rsid w:val="00754F9A"/>
    <w:pPr>
      <w:spacing w:after="0" w:line="240" w:lineRule="auto"/>
    </w:pPr>
  </w:style>
  <w:style w:type="character" w:customStyle="1" w:styleId="js-about-item-abstr">
    <w:name w:val="js-about-item-abstr"/>
    <w:basedOn w:val="DefaultParagraphFont"/>
    <w:rsid w:val="00EE7D99"/>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a1">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a2">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a3">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a4">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a7">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a8">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a9">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a">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b">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ac">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ad">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ae">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af">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style>
  <w:style w:type="table" w:customStyle="1" w:styleId="af0">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style>
  <w:style w:type="table" w:customStyle="1" w:styleId="af1">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style>
  <w:style w:type="table" w:customStyle="1" w:styleId="af2">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style>
  <w:style w:type="table" w:customStyle="1" w:styleId="af3">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af4">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af5">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af6">
    <w:basedOn w:val="TableNormal"/>
    <w:pPr>
      <w:spacing w:after="0" w:line="240" w:lineRule="auto"/>
    </w:pPr>
    <w:rPr>
      <w:color w:val="2F5496"/>
    </w:rPr>
    <w:tblPr>
      <w:tblStyleRowBandSize w:val="1"/>
      <w:tblStyleColBandSize w:val="1"/>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character" w:customStyle="1" w:styleId="UnresolvedMention">
    <w:name w:val="Unresolved Mention"/>
    <w:basedOn w:val="DefaultParagraphFont"/>
    <w:uiPriority w:val="99"/>
    <w:semiHidden/>
    <w:unhideWhenUsed/>
    <w:rsid w:val="002C52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chart" Target="charts/chart3.xml"/><Relationship Id="rId26" Type="http://schemas.openxmlformats.org/officeDocument/2006/relationships/chart" Target="charts/chart11.xml"/><Relationship Id="rId39" Type="http://schemas.openxmlformats.org/officeDocument/2006/relationships/image" Target="media/image9.jpg"/><Relationship Id="rId21" Type="http://schemas.openxmlformats.org/officeDocument/2006/relationships/chart" Target="charts/chart6.xml"/><Relationship Id="rId34" Type="http://schemas.openxmlformats.org/officeDocument/2006/relationships/hyperlink" Target="https://www.southafricanculturalobservatory.org.za/" TargetMode="External"/><Relationship Id="rId42" Type="http://schemas.openxmlformats.org/officeDocument/2006/relationships/image" Target="media/image11.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chart" Target="charts/chart2.xml"/><Relationship Id="rId29" Type="http://schemas.openxmlformats.org/officeDocument/2006/relationships/chart" Target="charts/chart1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chart" Target="charts/chart9.xml"/><Relationship Id="rId32" Type="http://schemas.openxmlformats.org/officeDocument/2006/relationships/hyperlink" Target="https://www.southafricanculturalobservatory.org.za/" TargetMode="External"/><Relationship Id="rId37" Type="http://schemas.openxmlformats.org/officeDocument/2006/relationships/hyperlink" Target="https://www.iksafrica.com/reports/Digital-Futures-online.pdf" TargetMode="External"/><Relationship Id="rId40" Type="http://schemas.openxmlformats.org/officeDocument/2006/relationships/hyperlink" Target="http://unstats.un.org/unsd/class/family/glossary_short.asp"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chart" Target="charts/chart8.xml"/><Relationship Id="rId28" Type="http://schemas.openxmlformats.org/officeDocument/2006/relationships/chart" Target="charts/chart13.xml"/><Relationship Id="rId36" Type="http://schemas.openxmlformats.org/officeDocument/2006/relationships/hyperlink" Target="http://www.dac.gov.za/content/fourth-draft-revised-white-paper-arts-culture-and-heritage" TargetMode="External"/><Relationship Id="rId10" Type="http://schemas.openxmlformats.org/officeDocument/2006/relationships/footer" Target="footer1.xml"/><Relationship Id="rId19" Type="http://schemas.openxmlformats.org/officeDocument/2006/relationships/chart" Target="charts/chart4.xml"/><Relationship Id="rId31" Type="http://schemas.openxmlformats.org/officeDocument/2006/relationships/hyperlink" Target="https://www.artsmanagement.net/Articles/COVID-19-and-culture-in-Africa-A-comparative-analysis-of-economic-impact-studies"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4.png"/><Relationship Id="rId22" Type="http://schemas.openxmlformats.org/officeDocument/2006/relationships/chart" Target="charts/chart7.xml"/><Relationship Id="rId27" Type="http://schemas.openxmlformats.org/officeDocument/2006/relationships/chart" Target="charts/chart12.xml"/><Relationship Id="rId30" Type="http://schemas.openxmlformats.org/officeDocument/2006/relationships/image" Target="media/image7.png"/><Relationship Id="rId35" Type="http://schemas.openxmlformats.org/officeDocument/2006/relationships/hyperlink" Target="http://uis.unesco.org/sites/default/files/documents/unesco-framework-for-cultural-statistics-2009-en_0.pdf" TargetMode="External"/><Relationship Id="rId43" Type="http://schemas.openxmlformats.org/officeDocument/2006/relationships/image" Target="media/image12.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chart" Target="charts/chart10.xml"/><Relationship Id="rId33" Type="http://schemas.openxmlformats.org/officeDocument/2006/relationships/hyperlink" Target="https://www.southafricanculturalobservatory.org.za/" TargetMode="External"/><Relationship Id="rId38" Type="http://schemas.openxmlformats.org/officeDocument/2006/relationships/image" Target="media/image8.png"/><Relationship Id="rId20" Type="http://schemas.openxmlformats.org/officeDocument/2006/relationships/chart" Target="charts/chart5.xml"/><Relationship Id="rId41" Type="http://schemas.openxmlformats.org/officeDocument/2006/relationships/image" Target="media/image10.png"/></Relationships>
</file>

<file path=word/_rels/footnotes.xml.rels><?xml version="1.0" encoding="UTF-8" standalone="yes"?>
<Relationships xmlns="http://schemas.openxmlformats.org/package/2006/relationships"><Relationship Id="rId3" Type="http://schemas.openxmlformats.org/officeDocument/2006/relationships/hyperlink" Target="http://www.statssa.gov.za/?page_id=1854&amp;PPN=P0100" TargetMode="External"/><Relationship Id="rId2" Type="http://schemas.openxmlformats.org/officeDocument/2006/relationships/hyperlink" Target="http://www.statssa.gov.za/publications/P9001/P90012008.pdf" TargetMode="External"/><Relationship Id="rId1" Type="http://schemas.openxmlformats.org/officeDocument/2006/relationships/hyperlink" Target="https://www.had2know.com/academics/gini-coefficient-calculator.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C19%20Annotated%20Bibliography\C19%20Bibliographic%20Databas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1" Type="http://schemas.openxmlformats.org/officeDocument/2006/relationships/oleObject" Target="file:///G:\Documents\gini.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G:\Documents\gini.xlsx"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G:\Documents\gini.xlsx"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3" Type="http://schemas.openxmlformats.org/officeDocument/2006/relationships/oleObject" Target="file:///G:\Documents\gini.xlsx" TargetMode="External"/><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1" Type="http://schemas.openxmlformats.org/officeDocument/2006/relationships/oleObject" Target="file:///G:\Documents\gini.xlsx" TargetMode="External"/></Relationships>
</file>

<file path=word/charts/_rels/chart8.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5.xml"/><Relationship Id="rId1" Type="http://schemas.microsoft.com/office/2011/relationships/chartStyle" Target="style5.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Master\AppData\Local\Temp\20211123_094600576053_andreg.xlsx" TargetMode="External"/><Relationship Id="rId2" Type="http://schemas.microsoft.com/office/2011/relationships/chartColorStyle" Target="colors8.xml"/><Relationship Id="rId1" Type="http://schemas.microsoft.com/office/2011/relationships/chartStyle" Target="style8.xml"/></Relationships>
</file>

<file path=word/charts/_rels/chart12.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9.xml"/><Relationship Id="rId1" Type="http://schemas.microsoft.com/office/2011/relationships/chartStyle" Target="style9.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Master\AppData\Local\Temp\20211123_094600576053_andreg.xlsx" TargetMode="External"/><Relationship Id="rId2" Type="http://schemas.microsoft.com/office/2011/relationships/chartColorStyle" Target="colors10.xml"/><Relationship Id="rId1" Type="http://schemas.microsoft.com/office/2011/relationships/chartStyle" Target="style10.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Master\AppData\Local\Temp\20211123_094600576053_andreg.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Notes!$C$40</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Notes!$A$41:$B$62</c:f>
              <c:multiLvlStrCache>
                <c:ptCount val="22"/>
                <c:lvl>
                  <c:pt idx="0">
                    <c:v>Africa (including SA)</c:v>
                  </c:pt>
                  <c:pt idx="1">
                    <c:v>Europe</c:v>
                  </c:pt>
                  <c:pt idx="2">
                    <c:v>Australia</c:v>
                  </c:pt>
                  <c:pt idx="3">
                    <c:v>Global/Multi-country</c:v>
                  </c:pt>
                  <c:pt idx="4">
                    <c:v>China</c:v>
                  </c:pt>
                  <c:pt idx="5">
                    <c:v>India</c:v>
                  </c:pt>
                  <c:pt idx="6">
                    <c:v>Indo-Pacific</c:v>
                  </c:pt>
                  <c:pt idx="7">
                    <c:v>UK</c:v>
                  </c:pt>
                  <c:pt idx="8">
                    <c:v>USA</c:v>
                  </c:pt>
                  <c:pt idx="9">
                    <c:v>Korea</c:v>
                  </c:pt>
                  <c:pt idx="10">
                    <c:v>Middle East</c:v>
                  </c:pt>
                  <c:pt idx="11">
                    <c:v>Published Journal article or Book Chapter</c:v>
                  </c:pt>
                  <c:pt idx="12">
                    <c:v>Industry or Government Report</c:v>
                  </c:pt>
                  <c:pt idx="13">
                    <c:v>Qualitative</c:v>
                  </c:pt>
                  <c:pt idx="14">
                    <c:v>Quantitative</c:v>
                  </c:pt>
                  <c:pt idx="15">
                    <c:v>Mixed Methods</c:v>
                  </c:pt>
                  <c:pt idx="16">
                    <c:v>A: Cultural &amp; Natural Heritage</c:v>
                  </c:pt>
                  <c:pt idx="17">
                    <c:v>B: Performance &amp; Celebration</c:v>
                  </c:pt>
                  <c:pt idx="18">
                    <c:v>C: Visual Arts &amp; Crafts</c:v>
                  </c:pt>
                  <c:pt idx="19">
                    <c:v>D: Books &amp; Press</c:v>
                  </c:pt>
                  <c:pt idx="20">
                    <c:v>E: Audio-Visual &amp; Interactive Media</c:v>
                  </c:pt>
                  <c:pt idx="21">
                    <c:v>Multi-Domain Study</c:v>
                  </c:pt>
                </c:lvl>
                <c:lvl>
                  <c:pt idx="0">
                    <c:v>Countries</c:v>
                  </c:pt>
                  <c:pt idx="11">
                    <c:v>Type</c:v>
                  </c:pt>
                  <c:pt idx="13">
                    <c:v>Research Method</c:v>
                  </c:pt>
                  <c:pt idx="16">
                    <c:v>Domain</c:v>
                  </c:pt>
                </c:lvl>
              </c:multiLvlStrCache>
            </c:multiLvlStrRef>
          </c:cat>
          <c:val>
            <c:numRef>
              <c:f>Notes!$C$41:$C$62</c:f>
              <c:numCache>
                <c:formatCode>0%</c:formatCode>
                <c:ptCount val="22"/>
                <c:pt idx="0">
                  <c:v>0.1111111111111111</c:v>
                </c:pt>
                <c:pt idx="1">
                  <c:v>0.17460317460317459</c:v>
                </c:pt>
                <c:pt idx="2">
                  <c:v>3.1746031746031744E-2</c:v>
                </c:pt>
                <c:pt idx="3">
                  <c:v>0.2857142857142857</c:v>
                </c:pt>
                <c:pt idx="4">
                  <c:v>3.1746031746031744E-2</c:v>
                </c:pt>
                <c:pt idx="5">
                  <c:v>6.3492063492063489E-2</c:v>
                </c:pt>
                <c:pt idx="6">
                  <c:v>3.1746031746031744E-2</c:v>
                </c:pt>
                <c:pt idx="7">
                  <c:v>0.14285714285714285</c:v>
                </c:pt>
                <c:pt idx="8">
                  <c:v>9.5238095238095233E-2</c:v>
                </c:pt>
                <c:pt idx="9">
                  <c:v>1.5873015873015872E-2</c:v>
                </c:pt>
                <c:pt idx="10">
                  <c:v>1.5873015873015872E-2</c:v>
                </c:pt>
                <c:pt idx="11">
                  <c:v>0.49206349206349204</c:v>
                </c:pt>
                <c:pt idx="12">
                  <c:v>0.50793650793650791</c:v>
                </c:pt>
                <c:pt idx="13">
                  <c:v>0.60317460317460314</c:v>
                </c:pt>
                <c:pt idx="14">
                  <c:v>0.20634920634920634</c:v>
                </c:pt>
                <c:pt idx="15">
                  <c:v>0.19047619047619047</c:v>
                </c:pt>
                <c:pt idx="16">
                  <c:v>0.1111111111111111</c:v>
                </c:pt>
                <c:pt idx="17">
                  <c:v>0.1111111111111111</c:v>
                </c:pt>
                <c:pt idx="18">
                  <c:v>0.12698412698412698</c:v>
                </c:pt>
                <c:pt idx="19">
                  <c:v>0.14285714285714285</c:v>
                </c:pt>
                <c:pt idx="20">
                  <c:v>0.20634920634920634</c:v>
                </c:pt>
                <c:pt idx="21">
                  <c:v>0.30158730158730157</c:v>
                </c:pt>
              </c:numCache>
            </c:numRef>
          </c:val>
          <c:extLst>
            <c:ext xmlns:c16="http://schemas.microsoft.com/office/drawing/2014/chart" uri="{C3380CC4-5D6E-409C-BE32-E72D297353CC}">
              <c16:uniqueId val="{00000000-7C65-4BB8-9FD6-03A66B00A39D}"/>
            </c:ext>
          </c:extLst>
        </c:ser>
        <c:dLbls>
          <c:dLblPos val="outEnd"/>
          <c:showLegendKey val="0"/>
          <c:showVal val="1"/>
          <c:showCatName val="0"/>
          <c:showSerName val="0"/>
          <c:showPercent val="0"/>
          <c:showBubbleSize val="0"/>
        </c:dLbls>
        <c:gapWidth val="219"/>
        <c:overlap val="-27"/>
        <c:axId val="470580584"/>
        <c:axId val="470577960"/>
      </c:barChart>
      <c:catAx>
        <c:axId val="470580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470577960"/>
        <c:crosses val="autoZero"/>
        <c:auto val="1"/>
        <c:lblAlgn val="ctr"/>
        <c:lblOffset val="100"/>
        <c:noMultiLvlLbl val="0"/>
      </c:catAx>
      <c:valAx>
        <c:axId val="470577960"/>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470580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442921050656808"/>
          <c:y val="0.19833647152171499"/>
          <c:w val="0.52019931250166418"/>
          <c:h val="0.71701061221921736"/>
        </c:manualLayout>
      </c:layout>
      <c:doughnutChart>
        <c:varyColors val="1"/>
        <c:ser>
          <c:idx val="0"/>
          <c:order val="0"/>
          <c:tx>
            <c:strRef>
              <c:f>'[Results GVA GDP etc.xlsx]Sheet2'!$AC$75</c:f>
              <c:strCache>
                <c:ptCount val="1"/>
                <c:pt idx="0">
                  <c:v>2020</c:v>
                </c:pt>
              </c:strCache>
            </c:strRef>
          </c:tx>
          <c:spPr>
            <a:scene3d>
              <a:camera prst="orthographicFront"/>
              <a:lightRig rig="brightRoom" dir="t"/>
            </a:scene3d>
            <a:sp3d prstMaterial="flat">
              <a:bevelT w="50800" h="101600" prst="angle"/>
              <a:contourClr>
                <a:srgbClr val="000000"/>
              </a:contourClr>
            </a:sp3d>
          </c:spPr>
          <c:dPt>
            <c:idx val="0"/>
            <c:bubble3D val="0"/>
            <c:spPr>
              <a:solidFill>
                <a:schemeClr val="accent5">
                  <a:lumMod val="5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F84-48E6-AAA5-FF70ACDDF919}"/>
              </c:ext>
            </c:extLst>
          </c:dPt>
          <c:dPt>
            <c:idx val="1"/>
            <c:bubble3D val="0"/>
            <c:spPr>
              <a:solidFill>
                <a:schemeClr val="accent2">
                  <a:lumMod val="5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F84-48E6-AAA5-FF70ACDDF919}"/>
              </c:ext>
            </c:extLst>
          </c:dPt>
          <c:dPt>
            <c:idx val="2"/>
            <c:bubble3D val="0"/>
            <c:spPr>
              <a:solidFill>
                <a:schemeClr val="bg1">
                  <a:lumMod val="5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AF84-48E6-AAA5-FF70ACDDF919}"/>
              </c:ext>
            </c:extLst>
          </c:dPt>
          <c:dPt>
            <c:idx val="3"/>
            <c:bubble3D val="0"/>
            <c:spPr>
              <a:solidFill>
                <a:schemeClr val="accent4">
                  <a:lumMod val="5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AF84-48E6-AAA5-FF70ACDDF919}"/>
              </c:ext>
            </c:extLst>
          </c:dPt>
          <c:dPt>
            <c:idx val="4"/>
            <c:bubble3D val="0"/>
            <c:spPr>
              <a:solidFill>
                <a:schemeClr val="accent1">
                  <a:lumMod val="5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AF84-48E6-AAA5-FF70ACDDF919}"/>
              </c:ext>
            </c:extLst>
          </c:dPt>
          <c:dPt>
            <c:idx val="5"/>
            <c:bubble3D val="0"/>
            <c:spPr>
              <a:solidFill>
                <a:schemeClr val="accent6">
                  <a:lumMod val="50000"/>
                </a:schemeClr>
              </a:solidFill>
              <a:ln>
                <a:solidFill>
                  <a:schemeClr val="accent6">
                    <a:lumMod val="50000"/>
                  </a:schemeClr>
                </a:solid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AF84-48E6-AAA5-FF70ACDDF919}"/>
              </c:ext>
            </c:extLst>
          </c:dPt>
          <c:dLbls>
            <c:numFmt formatCode="0.00%" sourceLinked="0"/>
            <c:spPr>
              <a:noFill/>
              <a:ln>
                <a:noFill/>
              </a:ln>
              <a:effectLst/>
            </c:spPr>
            <c:txPr>
              <a:bodyPr rot="0" spcFirstLastPara="1" vertOverflow="ellipsis" vert="horz" wrap="square" anchor="ctr" anchorCtr="1"/>
              <a:lstStyle/>
              <a:p>
                <a:pPr>
                  <a:defRPr lang="en-US" sz="900" b="0" i="0" u="none" strike="noStrike" kern="1200" baseline="0">
                    <a:solidFill>
                      <a:schemeClr val="bg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'[Results GVA GDP etc.xlsx]Sheet2'!$AD$74:$AI$74</c:f>
              <c:strCache>
                <c:ptCount val="6"/>
                <c:pt idx="0">
                  <c:v>A: Cultural and natural heritage</c:v>
                </c:pt>
                <c:pt idx="1">
                  <c:v>B: Performance and celebration</c:v>
                </c:pt>
                <c:pt idx="2">
                  <c:v>C: Visual art and crafts</c:v>
                </c:pt>
                <c:pt idx="3">
                  <c:v>D: Books and Press</c:v>
                </c:pt>
                <c:pt idx="4">
                  <c:v>E: Audio-visual and interactive media</c:v>
                </c:pt>
                <c:pt idx="5">
                  <c:v>F: Design and creative services</c:v>
                </c:pt>
              </c:strCache>
            </c:strRef>
          </c:cat>
          <c:val>
            <c:numRef>
              <c:f>'[Results GVA GDP etc.xlsx]Sheet2'!$AD$75:$AI$75</c:f>
              <c:numCache>
                <c:formatCode>_-"R"* #\ ##0_-;\-"R"* #\ ##0_-;_-"R"* "-"??_-;_-@_-</c:formatCode>
                <c:ptCount val="6"/>
                <c:pt idx="0">
                  <c:v>4797.5391033246433</c:v>
                </c:pt>
                <c:pt idx="1">
                  <c:v>7139.427232816558</c:v>
                </c:pt>
                <c:pt idx="2">
                  <c:v>16553.514091825316</c:v>
                </c:pt>
                <c:pt idx="3">
                  <c:v>18986.064585998229</c:v>
                </c:pt>
                <c:pt idx="4">
                  <c:v>32981.558141941168</c:v>
                </c:pt>
                <c:pt idx="5">
                  <c:v>38601.738078133363</c:v>
                </c:pt>
              </c:numCache>
            </c:numRef>
          </c:val>
          <c:extLst>
            <c:ext xmlns:c16="http://schemas.microsoft.com/office/drawing/2014/chart" uri="{C3380CC4-5D6E-409C-BE32-E72D297353CC}">
              <c16:uniqueId val="{0000000C-AF84-48E6-AAA5-FF70ACDDF919}"/>
            </c:ext>
          </c:extLst>
        </c:ser>
        <c:ser>
          <c:idx val="1"/>
          <c:order val="1"/>
          <c:tx>
            <c:strRef>
              <c:f>'[Results GVA GDP etc.xlsx]Sheet2'!$AC$76</c:f>
              <c:strCache>
                <c:ptCount val="1"/>
                <c:pt idx="0">
                  <c:v>2018</c:v>
                </c:pt>
              </c:strCache>
            </c:strRef>
          </c:tx>
          <c:spPr>
            <a:scene3d>
              <a:camera prst="orthographicFront"/>
              <a:lightRig rig="brightRoom" dir="t"/>
            </a:scene3d>
            <a:sp3d prstMaterial="flat">
              <a:bevelT w="50800" h="101600"/>
              <a:contourClr>
                <a:srgbClr val="000000"/>
              </a:contourClr>
            </a:sp3d>
          </c:spPr>
          <c:dPt>
            <c:idx val="0"/>
            <c:bubble3D val="0"/>
            <c:spPr>
              <a:solidFill>
                <a:schemeClr val="accent5">
                  <a:lumMod val="75000"/>
                </a:schemeClr>
              </a:solidFill>
              <a:ln>
                <a:noFill/>
              </a:ln>
              <a:effectLst/>
              <a:scene3d>
                <a:camera prst="orthographicFront"/>
                <a:lightRig rig="brightRoom" dir="t"/>
              </a:scene3d>
              <a:sp3d prstMaterial="flat">
                <a:bevelT w="50800" h="101600"/>
                <a:contourClr>
                  <a:srgbClr val="000000"/>
                </a:contourClr>
              </a:sp3d>
            </c:spPr>
            <c:extLst>
              <c:ext xmlns:c16="http://schemas.microsoft.com/office/drawing/2014/chart" uri="{C3380CC4-5D6E-409C-BE32-E72D297353CC}">
                <c16:uniqueId val="{0000000E-AF84-48E6-AAA5-FF70ACDDF919}"/>
              </c:ext>
            </c:extLst>
          </c:dPt>
          <c:dPt>
            <c:idx val="1"/>
            <c:bubble3D val="0"/>
            <c:spPr>
              <a:solidFill>
                <a:schemeClr val="accent2">
                  <a:lumMod val="75000"/>
                </a:schemeClr>
              </a:solidFill>
              <a:ln>
                <a:noFill/>
              </a:ln>
              <a:effectLst/>
              <a:scene3d>
                <a:camera prst="orthographicFront"/>
                <a:lightRig rig="brightRoom" dir="t"/>
              </a:scene3d>
              <a:sp3d prstMaterial="flat">
                <a:bevelT w="50800" h="101600"/>
                <a:contourClr>
                  <a:srgbClr val="000000"/>
                </a:contourClr>
              </a:sp3d>
            </c:spPr>
            <c:extLst>
              <c:ext xmlns:c16="http://schemas.microsoft.com/office/drawing/2014/chart" uri="{C3380CC4-5D6E-409C-BE32-E72D297353CC}">
                <c16:uniqueId val="{00000010-AF84-48E6-AAA5-FF70ACDDF919}"/>
              </c:ext>
            </c:extLst>
          </c:dPt>
          <c:dPt>
            <c:idx val="2"/>
            <c:bubble3D val="0"/>
            <c:spPr>
              <a:solidFill>
                <a:schemeClr val="bg1">
                  <a:lumMod val="65000"/>
                </a:schemeClr>
              </a:solidFill>
              <a:ln>
                <a:noFill/>
              </a:ln>
              <a:effectLst/>
              <a:scene3d>
                <a:camera prst="orthographicFront"/>
                <a:lightRig rig="brightRoom" dir="t"/>
              </a:scene3d>
              <a:sp3d prstMaterial="flat">
                <a:bevelT w="50800" h="101600"/>
                <a:contourClr>
                  <a:srgbClr val="000000"/>
                </a:contourClr>
              </a:sp3d>
            </c:spPr>
            <c:extLst>
              <c:ext xmlns:c16="http://schemas.microsoft.com/office/drawing/2014/chart" uri="{C3380CC4-5D6E-409C-BE32-E72D297353CC}">
                <c16:uniqueId val="{00000012-AF84-48E6-AAA5-FF70ACDDF919}"/>
              </c:ext>
            </c:extLst>
          </c:dPt>
          <c:dPt>
            <c:idx val="3"/>
            <c:bubble3D val="0"/>
            <c:spPr>
              <a:solidFill>
                <a:schemeClr val="accent4">
                  <a:lumMod val="75000"/>
                </a:schemeClr>
              </a:solidFill>
              <a:ln>
                <a:noFill/>
              </a:ln>
              <a:effectLst/>
              <a:scene3d>
                <a:camera prst="orthographicFront"/>
                <a:lightRig rig="brightRoom" dir="t"/>
              </a:scene3d>
              <a:sp3d prstMaterial="flat">
                <a:bevelT w="50800" h="101600"/>
                <a:contourClr>
                  <a:srgbClr val="000000"/>
                </a:contourClr>
              </a:sp3d>
            </c:spPr>
            <c:extLst>
              <c:ext xmlns:c16="http://schemas.microsoft.com/office/drawing/2014/chart" uri="{C3380CC4-5D6E-409C-BE32-E72D297353CC}">
                <c16:uniqueId val="{00000014-AF84-48E6-AAA5-FF70ACDDF919}"/>
              </c:ext>
            </c:extLst>
          </c:dPt>
          <c:dPt>
            <c:idx val="4"/>
            <c:bubble3D val="0"/>
            <c:spPr>
              <a:solidFill>
                <a:schemeClr val="accent1">
                  <a:lumMod val="75000"/>
                </a:schemeClr>
              </a:solidFill>
              <a:ln>
                <a:noFill/>
              </a:ln>
              <a:effectLst/>
              <a:scene3d>
                <a:camera prst="orthographicFront"/>
                <a:lightRig rig="brightRoom" dir="t"/>
              </a:scene3d>
              <a:sp3d prstMaterial="flat">
                <a:bevelT w="50800" h="101600"/>
                <a:contourClr>
                  <a:srgbClr val="000000"/>
                </a:contourClr>
              </a:sp3d>
            </c:spPr>
            <c:extLst>
              <c:ext xmlns:c16="http://schemas.microsoft.com/office/drawing/2014/chart" uri="{C3380CC4-5D6E-409C-BE32-E72D297353CC}">
                <c16:uniqueId val="{00000016-AF84-48E6-AAA5-FF70ACDDF919}"/>
              </c:ext>
            </c:extLst>
          </c:dPt>
          <c:dPt>
            <c:idx val="5"/>
            <c:bubble3D val="0"/>
            <c:spPr>
              <a:solidFill>
                <a:schemeClr val="accent6">
                  <a:lumMod val="75000"/>
                </a:schemeClr>
              </a:solidFill>
              <a:ln>
                <a:noFill/>
              </a:ln>
              <a:effectLst/>
              <a:scene3d>
                <a:camera prst="orthographicFront"/>
                <a:lightRig rig="brightRoom" dir="t"/>
              </a:scene3d>
              <a:sp3d prstMaterial="flat">
                <a:bevelT w="50800" h="101600"/>
                <a:contourClr>
                  <a:srgbClr val="000000"/>
                </a:contourClr>
              </a:sp3d>
            </c:spPr>
            <c:extLst>
              <c:ext xmlns:c16="http://schemas.microsoft.com/office/drawing/2014/chart" uri="{C3380CC4-5D6E-409C-BE32-E72D297353CC}">
                <c16:uniqueId val="{00000018-AF84-48E6-AAA5-FF70ACDDF919}"/>
              </c:ext>
            </c:extLst>
          </c:dPt>
          <c:dLbls>
            <c:numFmt formatCode="0.00%" sourceLinked="0"/>
            <c:spPr>
              <a:noFill/>
              <a:ln>
                <a:noFill/>
              </a:ln>
              <a:effectLst/>
            </c:spPr>
            <c:txPr>
              <a:bodyPr rot="0" spcFirstLastPara="1" vertOverflow="ellipsis" vert="horz" wrap="square" anchor="ctr" anchorCtr="1"/>
              <a:lstStyle/>
              <a:p>
                <a:pPr>
                  <a:defRPr lang="en-US" sz="900" b="0" i="0" u="none" strike="noStrike" kern="1200" baseline="0">
                    <a:solidFill>
                      <a:schemeClr val="tx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'[Results GVA GDP etc.xlsx]Sheet2'!$AD$74:$AI$74</c:f>
              <c:strCache>
                <c:ptCount val="6"/>
                <c:pt idx="0">
                  <c:v>A: Cultural and natural heritage</c:v>
                </c:pt>
                <c:pt idx="1">
                  <c:v>B: Performance and celebration</c:v>
                </c:pt>
                <c:pt idx="2">
                  <c:v>C: Visual art and crafts</c:v>
                </c:pt>
                <c:pt idx="3">
                  <c:v>D: Books and Press</c:v>
                </c:pt>
                <c:pt idx="4">
                  <c:v>E: Audio-visual and interactive media</c:v>
                </c:pt>
                <c:pt idx="5">
                  <c:v>F: Design and creative services</c:v>
                </c:pt>
              </c:strCache>
            </c:strRef>
          </c:cat>
          <c:val>
            <c:numRef>
              <c:f>'[Results GVA GDP etc.xlsx]Sheet2'!$AD$76:$AI$76</c:f>
              <c:numCache>
                <c:formatCode>_-"R"* #\ ##0_-;\-"R"* #\ ##0_-;_-"R"* "-"??_-;_-@_-</c:formatCode>
                <c:ptCount val="6"/>
                <c:pt idx="0">
                  <c:v>4994.1437865624421</c:v>
                </c:pt>
                <c:pt idx="1">
                  <c:v>7424.7533177082314</c:v>
                </c:pt>
                <c:pt idx="2">
                  <c:v>19666.069540407156</c:v>
                </c:pt>
                <c:pt idx="3">
                  <c:v>21970.700869982476</c:v>
                </c:pt>
                <c:pt idx="4">
                  <c:v>33762.86761617563</c:v>
                </c:pt>
                <c:pt idx="5">
                  <c:v>40511.140272125762</c:v>
                </c:pt>
              </c:numCache>
            </c:numRef>
          </c:val>
          <c:extLst>
            <c:ext xmlns:c16="http://schemas.microsoft.com/office/drawing/2014/chart" uri="{C3380CC4-5D6E-409C-BE32-E72D297353CC}">
              <c16:uniqueId val="{00000019-AF84-48E6-AAA5-FF70ACDDF919}"/>
            </c:ext>
          </c:extLst>
        </c:ser>
        <c:ser>
          <c:idx val="2"/>
          <c:order val="2"/>
          <c:tx>
            <c:strRef>
              <c:f>'[Results GVA GDP etc.xlsx]Sheet2'!$AC$77</c:f>
              <c:strCache>
                <c:ptCount val="1"/>
                <c:pt idx="0">
                  <c:v>2016</c:v>
                </c:pt>
              </c:strCache>
            </c:strRef>
          </c:tx>
          <c:spPr>
            <a:scene3d>
              <a:camera prst="orthographicFront"/>
              <a:lightRig rig="brightRoom" dir="t"/>
            </a:scene3d>
            <a:sp3d prstMaterial="flat">
              <a:bevelT w="50800" h="101600"/>
              <a:contourClr>
                <a:srgbClr val="000000"/>
              </a:contourClr>
            </a:sp3d>
          </c:spPr>
          <c:dPt>
            <c:idx val="0"/>
            <c:bubble3D val="0"/>
            <c:spPr>
              <a:solidFill>
                <a:schemeClr val="accent5">
                  <a:lumMod val="40000"/>
                  <a:lumOff val="60000"/>
                </a:schemeClr>
              </a:solidFill>
              <a:ln>
                <a:noFill/>
              </a:ln>
              <a:effectLst/>
              <a:scene3d>
                <a:camera prst="orthographicFront"/>
                <a:lightRig rig="brightRoom" dir="t"/>
              </a:scene3d>
              <a:sp3d prstMaterial="flat">
                <a:bevelT w="50800" h="101600"/>
                <a:contourClr>
                  <a:srgbClr val="000000"/>
                </a:contourClr>
              </a:sp3d>
            </c:spPr>
            <c:extLst>
              <c:ext xmlns:c16="http://schemas.microsoft.com/office/drawing/2014/chart" uri="{C3380CC4-5D6E-409C-BE32-E72D297353CC}">
                <c16:uniqueId val="{0000001B-AF84-48E6-AAA5-FF70ACDDF919}"/>
              </c:ext>
            </c:extLst>
          </c:dPt>
          <c:dPt>
            <c:idx val="1"/>
            <c:bubble3D val="0"/>
            <c:spPr>
              <a:solidFill>
                <a:schemeClr val="accent2">
                  <a:lumMod val="40000"/>
                  <a:lumOff val="60000"/>
                </a:schemeClr>
              </a:solidFill>
              <a:ln>
                <a:noFill/>
              </a:ln>
              <a:effectLst/>
              <a:scene3d>
                <a:camera prst="orthographicFront"/>
                <a:lightRig rig="brightRoom" dir="t"/>
              </a:scene3d>
              <a:sp3d prstMaterial="flat">
                <a:bevelT w="50800" h="101600"/>
                <a:contourClr>
                  <a:srgbClr val="000000"/>
                </a:contourClr>
              </a:sp3d>
            </c:spPr>
            <c:extLst>
              <c:ext xmlns:c16="http://schemas.microsoft.com/office/drawing/2014/chart" uri="{C3380CC4-5D6E-409C-BE32-E72D297353CC}">
                <c16:uniqueId val="{0000001D-AF84-48E6-AAA5-FF70ACDDF919}"/>
              </c:ext>
            </c:extLst>
          </c:dPt>
          <c:dPt>
            <c:idx val="2"/>
            <c:bubble3D val="0"/>
            <c:spPr>
              <a:solidFill>
                <a:schemeClr val="bg1">
                  <a:lumMod val="85000"/>
                </a:schemeClr>
              </a:solidFill>
              <a:ln>
                <a:noFill/>
              </a:ln>
              <a:effectLst/>
              <a:scene3d>
                <a:camera prst="orthographicFront"/>
                <a:lightRig rig="brightRoom" dir="t"/>
              </a:scene3d>
              <a:sp3d prstMaterial="flat">
                <a:bevelT w="50800" h="101600"/>
                <a:contourClr>
                  <a:srgbClr val="000000"/>
                </a:contourClr>
              </a:sp3d>
            </c:spPr>
            <c:extLst>
              <c:ext xmlns:c16="http://schemas.microsoft.com/office/drawing/2014/chart" uri="{C3380CC4-5D6E-409C-BE32-E72D297353CC}">
                <c16:uniqueId val="{0000001F-AF84-48E6-AAA5-FF70ACDDF919}"/>
              </c:ext>
            </c:extLst>
          </c:dPt>
          <c:dPt>
            <c:idx val="3"/>
            <c:bubble3D val="0"/>
            <c:spPr>
              <a:solidFill>
                <a:schemeClr val="accent4">
                  <a:lumMod val="40000"/>
                  <a:lumOff val="60000"/>
                </a:schemeClr>
              </a:solidFill>
              <a:ln>
                <a:noFill/>
              </a:ln>
              <a:effectLst/>
              <a:scene3d>
                <a:camera prst="orthographicFront"/>
                <a:lightRig rig="brightRoom" dir="t"/>
              </a:scene3d>
              <a:sp3d prstMaterial="flat">
                <a:bevelT w="50800" h="101600"/>
                <a:contourClr>
                  <a:srgbClr val="000000"/>
                </a:contourClr>
              </a:sp3d>
            </c:spPr>
            <c:extLst>
              <c:ext xmlns:c16="http://schemas.microsoft.com/office/drawing/2014/chart" uri="{C3380CC4-5D6E-409C-BE32-E72D297353CC}">
                <c16:uniqueId val="{00000021-AF84-48E6-AAA5-FF70ACDDF919}"/>
              </c:ext>
            </c:extLst>
          </c:dPt>
          <c:dPt>
            <c:idx val="4"/>
            <c:bubble3D val="0"/>
            <c:spPr>
              <a:solidFill>
                <a:schemeClr val="accent1">
                  <a:lumMod val="40000"/>
                  <a:lumOff val="60000"/>
                </a:schemeClr>
              </a:solidFill>
              <a:ln>
                <a:noFill/>
              </a:ln>
              <a:effectLst/>
              <a:scene3d>
                <a:camera prst="orthographicFront"/>
                <a:lightRig rig="brightRoom" dir="t"/>
              </a:scene3d>
              <a:sp3d prstMaterial="flat">
                <a:bevelT w="50800" h="101600"/>
                <a:contourClr>
                  <a:srgbClr val="000000"/>
                </a:contourClr>
              </a:sp3d>
            </c:spPr>
            <c:extLst>
              <c:ext xmlns:c16="http://schemas.microsoft.com/office/drawing/2014/chart" uri="{C3380CC4-5D6E-409C-BE32-E72D297353CC}">
                <c16:uniqueId val="{00000023-AF84-48E6-AAA5-FF70ACDDF919}"/>
              </c:ext>
            </c:extLst>
          </c:dPt>
          <c:dPt>
            <c:idx val="5"/>
            <c:bubble3D val="0"/>
            <c:spPr>
              <a:solidFill>
                <a:schemeClr val="accent6">
                  <a:lumMod val="40000"/>
                  <a:lumOff val="60000"/>
                </a:schemeClr>
              </a:solidFill>
              <a:ln>
                <a:noFill/>
              </a:ln>
              <a:effectLst/>
              <a:scene3d>
                <a:camera prst="orthographicFront"/>
                <a:lightRig rig="brightRoom" dir="t"/>
              </a:scene3d>
              <a:sp3d prstMaterial="flat">
                <a:bevelT w="50800" h="101600"/>
                <a:contourClr>
                  <a:srgbClr val="000000"/>
                </a:contourClr>
              </a:sp3d>
            </c:spPr>
            <c:extLst>
              <c:ext xmlns:c16="http://schemas.microsoft.com/office/drawing/2014/chart" uri="{C3380CC4-5D6E-409C-BE32-E72D297353CC}">
                <c16:uniqueId val="{00000025-AF84-48E6-AAA5-FF70ACDDF919}"/>
              </c:ext>
            </c:extLst>
          </c:dPt>
          <c:dLbls>
            <c:dLbl>
              <c:idx val="0"/>
              <c:layout>
                <c:manualLayout>
                  <c:x val="7.3275865053320597E-3"/>
                  <c:y val="-6.658753273569262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B-AF84-48E6-AAA5-FF70ACDDF919}"/>
                </c:ext>
              </c:extLst>
            </c:dLbl>
            <c:dLbl>
              <c:idx val="1"/>
              <c:layout>
                <c:manualLayout>
                  <c:x val="9.6585321609502534E-2"/>
                  <c:y val="-3.632047240128688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D-AF84-48E6-AAA5-FF70ACDDF919}"/>
                </c:ext>
              </c:extLst>
            </c:dLbl>
            <c:dLbl>
              <c:idx val="2"/>
              <c:layout>
                <c:manualLayout>
                  <c:x val="8.5000003461851895E-2"/>
                  <c:y val="-1.008902011146857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F-AF84-48E6-AAA5-FF70ACDDF919}"/>
                </c:ext>
              </c:extLst>
            </c:dLbl>
            <c:dLbl>
              <c:idx val="3"/>
              <c:layout>
                <c:manualLayout>
                  <c:x val="8.7931038063984709E-2"/>
                  <c:y val="4.0356080445874314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21-AF84-48E6-AAA5-FF70ACDDF919}"/>
                </c:ext>
              </c:extLst>
            </c:dLbl>
            <c:dLbl>
              <c:idx val="4"/>
              <c:layout>
                <c:manualLayout>
                  <c:x val="-0.17146552422477021"/>
                  <c:y val="-1.4797058559937416E-1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23-AF84-48E6-AAA5-FF70ACDDF919}"/>
                </c:ext>
              </c:extLst>
            </c:dLbl>
            <c:dLbl>
              <c:idx val="5"/>
              <c:layout>
                <c:manualLayout>
                  <c:x val="-9.5258624569316774E-2"/>
                  <c:y val="-1.816023620064344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25-AF84-48E6-AAA5-FF70ACDDF919}"/>
                </c:ext>
              </c:extLst>
            </c:dLbl>
            <c:numFmt formatCode="0.00%" sourceLinked="0"/>
            <c:spPr>
              <a:noFill/>
              <a:ln>
                <a:noFill/>
              </a:ln>
              <a:effectLst/>
            </c:spPr>
            <c:txPr>
              <a:bodyPr rot="0" spcFirstLastPara="1" vertOverflow="ellipsis" vert="horz" wrap="square" anchor="ctr" anchorCtr="1"/>
              <a:lstStyle/>
              <a:p>
                <a:pPr>
                  <a:defRPr lang="en-US" sz="900" b="0" i="0" u="none" strike="noStrike" kern="1200" baseline="0">
                    <a:solidFill>
                      <a:schemeClr val="tx1"/>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'[Results GVA GDP etc.xlsx]Sheet2'!$AD$74:$AI$74</c:f>
              <c:strCache>
                <c:ptCount val="6"/>
                <c:pt idx="0">
                  <c:v>A: Cultural and natural heritage</c:v>
                </c:pt>
                <c:pt idx="1">
                  <c:v>B: Performance and celebration</c:v>
                </c:pt>
                <c:pt idx="2">
                  <c:v>C: Visual art and crafts</c:v>
                </c:pt>
                <c:pt idx="3">
                  <c:v>D: Books and Press</c:v>
                </c:pt>
                <c:pt idx="4">
                  <c:v>E: Audio-visual and interactive media</c:v>
                </c:pt>
                <c:pt idx="5">
                  <c:v>F: Design and creative services</c:v>
                </c:pt>
              </c:strCache>
            </c:strRef>
          </c:cat>
          <c:val>
            <c:numRef>
              <c:f>'[Results GVA GDP etc.xlsx]Sheet2'!$AD$77:$AI$77</c:f>
              <c:numCache>
                <c:formatCode>_-"R"* #\ ##0_-;\-"R"* #\ ##0_-;_-"R"* "-"??_-;_-@_-</c:formatCode>
                <c:ptCount val="6"/>
                <c:pt idx="0">
                  <c:v>5158.0423391393651</c:v>
                </c:pt>
                <c:pt idx="1">
                  <c:v>7780.9553019717823</c:v>
                </c:pt>
                <c:pt idx="2">
                  <c:v>18871.386521992885</c:v>
                </c:pt>
                <c:pt idx="3">
                  <c:v>21788.81781097014</c:v>
                </c:pt>
                <c:pt idx="4">
                  <c:v>30230.253564572868</c:v>
                </c:pt>
                <c:pt idx="5">
                  <c:v>38988.888219058754</c:v>
                </c:pt>
              </c:numCache>
            </c:numRef>
          </c:val>
          <c:extLst>
            <c:ext xmlns:c16="http://schemas.microsoft.com/office/drawing/2014/chart" uri="{C3380CC4-5D6E-409C-BE32-E72D297353CC}">
              <c16:uniqueId val="{00000026-AF84-48E6-AAA5-FF70ACDDF919}"/>
            </c:ext>
          </c:extLst>
        </c:ser>
        <c:dLbls>
          <c:showLegendKey val="0"/>
          <c:showVal val="0"/>
          <c:showCatName val="0"/>
          <c:showSerName val="0"/>
          <c:showPercent val="1"/>
          <c:showBubbleSize val="0"/>
          <c:showLeaderLines val="1"/>
        </c:dLbls>
        <c:firstSliceAng val="0"/>
        <c:holeSize val="50"/>
      </c:doughnut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lang="en-US" sz="900" b="0" i="0" u="none" strike="noStrike" kern="1200" baseline="0">
          <a:solidFill>
            <a:schemeClr val="tx1"/>
          </a:solidFill>
          <a:latin typeface="+mn-lt"/>
          <a:ea typeface="+mn-ea"/>
          <a:cs typeface="+mn-cs"/>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ZA" sz="1000"/>
              <a:t>Cultural and Natural Heritage</a:t>
            </a:r>
          </a:p>
        </c:rich>
      </c:tx>
      <c:overlay val="0"/>
    </c:title>
    <c:autoTitleDeleted val="0"/>
    <c:plotArea>
      <c:layout/>
      <c:lineChart>
        <c:grouping val="standard"/>
        <c:varyColors val="0"/>
        <c:ser>
          <c:idx val="1"/>
          <c:order val="0"/>
          <c:tx>
            <c:strRef>
              <c:f>Sheet2!$X$4</c:f>
              <c:strCache>
                <c:ptCount val="1"/>
              </c:strCache>
            </c:strRef>
          </c:tx>
          <c:spPr>
            <a:ln w="28575" cap="rnd">
              <a:solidFill>
                <a:schemeClr val="accent2"/>
              </a:solidFill>
              <a:round/>
            </a:ln>
            <a:effectLst/>
          </c:spPr>
          <c:marker>
            <c:symbol val="none"/>
          </c:marker>
          <c:cat>
            <c:numRef>
              <c:f>Sheet2!$V$5:$V$54</c:f>
              <c:numCache>
                <c:formatCode>General</c:formatCode>
                <c:ptCount val="50"/>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numCache>
            </c:numRef>
          </c:cat>
          <c:val>
            <c:numRef>
              <c:f>Sheet2!$X$5:$X$54</c:f>
              <c:numCache>
                <c:formatCode>General</c:formatCode>
                <c:ptCount val="50"/>
                <c:pt idx="0">
                  <c:v>0</c:v>
                </c:pt>
                <c:pt idx="1">
                  <c:v>1.5</c:v>
                </c:pt>
                <c:pt idx="2">
                  <c:v>3</c:v>
                </c:pt>
                <c:pt idx="3">
                  <c:v>6</c:v>
                </c:pt>
                <c:pt idx="4">
                  <c:v>9</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numCache>
            </c:numRef>
          </c:val>
          <c:smooth val="0"/>
          <c:extLst>
            <c:ext xmlns:c16="http://schemas.microsoft.com/office/drawing/2014/chart" uri="{C3380CC4-5D6E-409C-BE32-E72D297353CC}">
              <c16:uniqueId val="{00000000-DC63-4C44-9618-F185E2E4C083}"/>
            </c:ext>
          </c:extLst>
        </c:ser>
        <c:ser>
          <c:idx val="0"/>
          <c:order val="1"/>
          <c:spPr>
            <a:ln w="28575" cap="rnd">
              <a:solidFill>
                <a:schemeClr val="accent1"/>
              </a:solidFill>
              <a:round/>
            </a:ln>
            <a:effectLst/>
          </c:spPr>
          <c:marker>
            <c:symbol val="none"/>
          </c:marker>
          <c:val>
            <c:numRef>
              <c:f>Sheet2!$W$5:$W$54</c:f>
              <c:numCache>
                <c:formatCode>General</c:formatCode>
                <c:ptCount val="50"/>
                <c:pt idx="0">
                  <c:v>0</c:v>
                </c:pt>
                <c:pt idx="1">
                  <c:v>0.20350908406921364</c:v>
                </c:pt>
                <c:pt idx="2">
                  <c:v>0.28766522723523064</c:v>
                </c:pt>
                <c:pt idx="3">
                  <c:v>0.37182137040124763</c:v>
                </c:pt>
                <c:pt idx="4">
                  <c:v>0.45597751356726451</c:v>
                </c:pt>
                <c:pt idx="5">
                  <c:v>0.54013365673328162</c:v>
                </c:pt>
                <c:pt idx="6">
                  <c:v>0.69075140360741549</c:v>
                </c:pt>
                <c:pt idx="7">
                  <c:v>0.84136915048154937</c:v>
                </c:pt>
                <c:pt idx="8">
                  <c:v>0.99198689735568324</c:v>
                </c:pt>
                <c:pt idx="9">
                  <c:v>1.142604644229817</c:v>
                </c:pt>
                <c:pt idx="10">
                  <c:v>1.390608620475436</c:v>
                </c:pt>
                <c:pt idx="11">
                  <c:v>1.638612596721055</c:v>
                </c:pt>
                <c:pt idx="12">
                  <c:v>1.8866165729666737</c:v>
                </c:pt>
                <c:pt idx="13">
                  <c:v>2.1346205492122925</c:v>
                </c:pt>
                <c:pt idx="14">
                  <c:v>2.4917440990431614</c:v>
                </c:pt>
                <c:pt idx="15">
                  <c:v>2.8488676488740303</c:v>
                </c:pt>
                <c:pt idx="16">
                  <c:v>3.2059911987048997</c:v>
                </c:pt>
                <c:pt idx="17">
                  <c:v>3.5631147485357682</c:v>
                </c:pt>
                <c:pt idx="18">
                  <c:v>4.2235770380860593</c:v>
                </c:pt>
                <c:pt idx="19">
                  <c:v>4.8840393276363496</c:v>
                </c:pt>
                <c:pt idx="20">
                  <c:v>5.5445016171866408</c:v>
                </c:pt>
                <c:pt idx="21">
                  <c:v>6.204963906736932</c:v>
                </c:pt>
                <c:pt idx="22">
                  <c:v>7.3079785450199095</c:v>
                </c:pt>
                <c:pt idx="23">
                  <c:v>8.410993183302887</c:v>
                </c:pt>
                <c:pt idx="24">
                  <c:v>9.5140078215858637</c:v>
                </c:pt>
                <c:pt idx="25">
                  <c:v>10.61702245986884</c:v>
                </c:pt>
                <c:pt idx="26">
                  <c:v>13.453366206743315</c:v>
                </c:pt>
                <c:pt idx="27">
                  <c:v>16.289709953617788</c:v>
                </c:pt>
                <c:pt idx="28">
                  <c:v>19.126053700492264</c:v>
                </c:pt>
                <c:pt idx="29">
                  <c:v>21.962397447366733</c:v>
                </c:pt>
                <c:pt idx="30">
                  <c:v>27.573154694268119</c:v>
                </c:pt>
                <c:pt idx="31">
                  <c:v>33.183911941169505</c:v>
                </c:pt>
                <c:pt idx="32">
                  <c:v>38.794669188070891</c:v>
                </c:pt>
                <c:pt idx="33">
                  <c:v>44.40542643497227</c:v>
                </c:pt>
                <c:pt idx="34">
                  <c:v>46.733413992761996</c:v>
                </c:pt>
                <c:pt idx="35">
                  <c:v>49.061401550551714</c:v>
                </c:pt>
                <c:pt idx="36">
                  <c:v>51.38938910834144</c:v>
                </c:pt>
                <c:pt idx="37">
                  <c:v>53.717376666131166</c:v>
                </c:pt>
                <c:pt idx="38">
                  <c:v>56.498620300626023</c:v>
                </c:pt>
                <c:pt idx="39">
                  <c:v>59.279863935120879</c:v>
                </c:pt>
                <c:pt idx="40">
                  <c:v>62.06110756961575</c:v>
                </c:pt>
                <c:pt idx="41">
                  <c:v>64.842351204110599</c:v>
                </c:pt>
                <c:pt idx="42">
                  <c:v>68.835083656908353</c:v>
                </c:pt>
                <c:pt idx="43">
                  <c:v>72.827816109706092</c:v>
                </c:pt>
                <c:pt idx="44">
                  <c:v>76.820548562503816</c:v>
                </c:pt>
                <c:pt idx="45">
                  <c:v>80.81328101530157</c:v>
                </c:pt>
                <c:pt idx="46">
                  <c:v>85.609960761476174</c:v>
                </c:pt>
                <c:pt idx="47">
                  <c:v>90.406640507650778</c:v>
                </c:pt>
                <c:pt idx="48">
                  <c:v>95.203320253825382</c:v>
                </c:pt>
                <c:pt idx="49">
                  <c:v>100</c:v>
                </c:pt>
              </c:numCache>
            </c:numRef>
          </c:val>
          <c:smooth val="0"/>
          <c:extLst>
            <c:ext xmlns:c16="http://schemas.microsoft.com/office/drawing/2014/chart" uri="{C3380CC4-5D6E-409C-BE32-E72D297353CC}">
              <c16:uniqueId val="{00000001-DC63-4C44-9618-F185E2E4C083}"/>
            </c:ext>
          </c:extLst>
        </c:ser>
        <c:dLbls>
          <c:showLegendKey val="0"/>
          <c:showVal val="0"/>
          <c:showCatName val="0"/>
          <c:showSerName val="0"/>
          <c:showPercent val="0"/>
          <c:showBubbleSize val="0"/>
        </c:dLbls>
        <c:smooth val="0"/>
        <c:axId val="27282224"/>
        <c:axId val="27284720"/>
      </c:lineChart>
      <c:catAx>
        <c:axId val="27282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Cumulative share of HH from lowest to the highest</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84720"/>
        <c:crosses val="autoZero"/>
        <c:auto val="1"/>
        <c:lblAlgn val="ctr"/>
        <c:lblOffset val="100"/>
        <c:noMultiLvlLbl val="0"/>
      </c:catAx>
      <c:valAx>
        <c:axId val="2728472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lang="en-ZA" sz="900" b="0" i="0" u="none" strike="noStrike" kern="1200" baseline="0">
                    <a:solidFill>
                      <a:sysClr val="windowText" lastClr="000000">
                        <a:lumMod val="65000"/>
                        <a:lumOff val="35000"/>
                      </a:sysClr>
                    </a:solidFill>
                    <a:latin typeface="+mn-lt"/>
                    <a:ea typeface="+mn-ea"/>
                    <a:cs typeface="+mn-cs"/>
                  </a:defRPr>
                </a:pPr>
                <a:r>
                  <a:rPr lang="en-ZA" sz="900" b="0" i="0" u="none" strike="noStrike" kern="1200" baseline="0">
                    <a:solidFill>
                      <a:sysClr val="windowText" lastClr="000000">
                        <a:lumMod val="65000"/>
                        <a:lumOff val="35000"/>
                      </a:sysClr>
                    </a:solidFill>
                    <a:latin typeface="+mn-lt"/>
                    <a:ea typeface="+mn-ea"/>
                    <a:cs typeface="+mn-cs"/>
                  </a:rPr>
                  <a:t>Cumulative share of income</a:t>
                </a:r>
              </a:p>
              <a:p>
                <a:pPr marL="0" marR="0" lvl="0" indent="0" algn="ctr" defTabSz="914400" rtl="0" eaLnBrk="1" fontAlgn="auto" latinLnBrk="0" hangingPunct="1">
                  <a:lnSpc>
                    <a:spcPct val="100000"/>
                  </a:lnSpc>
                  <a:spcBef>
                    <a:spcPts val="0"/>
                  </a:spcBef>
                  <a:spcAft>
                    <a:spcPts val="0"/>
                  </a:spcAft>
                  <a:buClrTx/>
                  <a:buSzTx/>
                  <a:buFontTx/>
                  <a:buNone/>
                  <a:tabLst/>
                  <a:defRPr lang="en-ZA" sz="900" b="0" i="0" u="none" strike="noStrike" kern="1200" baseline="0">
                    <a:solidFill>
                      <a:sysClr val="windowText" lastClr="000000">
                        <a:lumMod val="65000"/>
                        <a:lumOff val="35000"/>
                      </a:sysClr>
                    </a:solidFill>
                    <a:latin typeface="+mn-lt"/>
                    <a:ea typeface="+mn-ea"/>
                    <a:cs typeface="+mn-cs"/>
                  </a:defRPr>
                </a:pPr>
                <a:r>
                  <a:rPr lang="en-ZA" sz="900" b="0" i="0" u="none" strike="noStrike" kern="1200" baseline="0">
                    <a:solidFill>
                      <a:sysClr val="windowText" lastClr="000000">
                        <a:lumMod val="65000"/>
                        <a:lumOff val="35000"/>
                      </a:sysClr>
                    </a:solidFill>
                    <a:latin typeface="+mn-lt"/>
                    <a:ea typeface="+mn-ea"/>
                    <a:cs typeface="+mn-cs"/>
                  </a:rPr>
                  <a:t> </a:t>
                </a:r>
              </a:p>
            </c:rich>
          </c:tx>
          <c:layout>
            <c:manualLayout>
              <c:xMode val="edge"/>
              <c:yMode val="edge"/>
              <c:x val="3.6111111111111108E-2"/>
              <c:y val="0.14053949903660887"/>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82224"/>
        <c:crosses val="autoZero"/>
        <c:crossBetween val="between"/>
      </c:valAx>
    </c:plotArea>
    <c:plotVisOnly val="1"/>
    <c:dispBlanksAs val="gap"/>
    <c:showDLblsOverMax val="0"/>
    <c:extLst/>
  </c:chart>
  <c:spPr>
    <a:ln>
      <a:noFill/>
    </a:ln>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ZA" sz="1000"/>
              <a:t>Performance and Celebration</a:t>
            </a:r>
          </a:p>
        </c:rich>
      </c:tx>
      <c:overlay val="0"/>
    </c:title>
    <c:autoTitleDeleted val="0"/>
    <c:plotArea>
      <c:layout/>
      <c:lineChart>
        <c:grouping val="standard"/>
        <c:varyColors val="0"/>
        <c:ser>
          <c:idx val="0"/>
          <c:order val="0"/>
          <c:marker>
            <c:symbol val="none"/>
          </c:marker>
          <c:cat>
            <c:numRef>
              <c:f>Sheet2!$V$5:$V$54</c:f>
              <c:numCache>
                <c:formatCode>General</c:formatCode>
                <c:ptCount val="50"/>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numCache>
            </c:numRef>
          </c:cat>
          <c:val>
            <c:numRef>
              <c:f>Sheet2!$Y$5:$Y$54</c:f>
              <c:numCache>
                <c:formatCode>General</c:formatCode>
                <c:ptCount val="50"/>
                <c:pt idx="0">
                  <c:v>0</c:v>
                </c:pt>
                <c:pt idx="1">
                  <c:v>0.21481059804178351</c:v>
                </c:pt>
                <c:pt idx="2">
                  <c:v>0.3041209901705319</c:v>
                </c:pt>
                <c:pt idx="3">
                  <c:v>0.39343138229927926</c:v>
                </c:pt>
                <c:pt idx="4">
                  <c:v>0.48274177442802779</c:v>
                </c:pt>
                <c:pt idx="5">
                  <c:v>0.57205216655677615</c:v>
                </c:pt>
                <c:pt idx="6">
                  <c:v>0.72943812788282092</c:v>
                </c:pt>
                <c:pt idx="7">
                  <c:v>0.88682408920886469</c:v>
                </c:pt>
                <c:pt idx="8">
                  <c:v>1.0442100505349095</c:v>
                </c:pt>
                <c:pt idx="9">
                  <c:v>1.2015960118609499</c:v>
                </c:pt>
                <c:pt idx="10">
                  <c:v>1.4569454640145358</c:v>
                </c:pt>
                <c:pt idx="11">
                  <c:v>1.7122949161681218</c:v>
                </c:pt>
                <c:pt idx="12">
                  <c:v>1.9676443683217075</c:v>
                </c:pt>
                <c:pt idx="13">
                  <c:v>2.2229938204752933</c:v>
                </c:pt>
                <c:pt idx="14">
                  <c:v>2.5878678609183412</c:v>
                </c:pt>
                <c:pt idx="15">
                  <c:v>2.9527419013613896</c:v>
                </c:pt>
                <c:pt idx="16">
                  <c:v>3.3176159418044477</c:v>
                </c:pt>
                <c:pt idx="17">
                  <c:v>3.6824899822474957</c:v>
                </c:pt>
                <c:pt idx="18">
                  <c:v>4.351476344171445</c:v>
                </c:pt>
                <c:pt idx="19">
                  <c:v>5.0204627060953841</c:v>
                </c:pt>
                <c:pt idx="20">
                  <c:v>5.6894490680193339</c:v>
                </c:pt>
                <c:pt idx="21">
                  <c:v>6.3584354299432837</c:v>
                </c:pt>
                <c:pt idx="22">
                  <c:v>7.47264510875518</c:v>
                </c:pt>
                <c:pt idx="23">
                  <c:v>8.5868547875670842</c:v>
                </c:pt>
                <c:pt idx="24">
                  <c:v>9.7010644663789893</c:v>
                </c:pt>
                <c:pt idx="25">
                  <c:v>10.815274145190887</c:v>
                </c:pt>
                <c:pt idx="26">
                  <c:v>13.649817950136791</c:v>
                </c:pt>
                <c:pt idx="27">
                  <c:v>16.484361755082698</c:v>
                </c:pt>
                <c:pt idx="28">
                  <c:v>19.318905560028604</c:v>
                </c:pt>
                <c:pt idx="29">
                  <c:v>22.153449364974513</c:v>
                </c:pt>
                <c:pt idx="30">
                  <c:v>27.740764025036718</c:v>
                </c:pt>
                <c:pt idx="31">
                  <c:v>33.32807868509903</c:v>
                </c:pt>
                <c:pt idx="32">
                  <c:v>38.915393345161242</c:v>
                </c:pt>
                <c:pt idx="33">
                  <c:v>44.50270800522356</c:v>
                </c:pt>
                <c:pt idx="34">
                  <c:v>46.830862454226839</c:v>
                </c:pt>
                <c:pt idx="35">
                  <c:v>49.159016903230231</c:v>
                </c:pt>
                <c:pt idx="36">
                  <c:v>51.487171352233609</c:v>
                </c:pt>
                <c:pt idx="37">
                  <c:v>53.815325801236888</c:v>
                </c:pt>
                <c:pt idx="38">
                  <c:v>56.582571048030495</c:v>
                </c:pt>
                <c:pt idx="39">
                  <c:v>59.349816294824222</c:v>
                </c:pt>
                <c:pt idx="40">
                  <c:v>62.117061541617822</c:v>
                </c:pt>
                <c:pt idx="41">
                  <c:v>64.884306788411436</c:v>
                </c:pt>
                <c:pt idx="42">
                  <c:v>68.860668369561253</c:v>
                </c:pt>
                <c:pt idx="43">
                  <c:v>72.837029950710956</c:v>
                </c:pt>
                <c:pt idx="44">
                  <c:v>76.813391531860773</c:v>
                </c:pt>
                <c:pt idx="45">
                  <c:v>80.789753113010605</c:v>
                </c:pt>
                <c:pt idx="46">
                  <c:v>85.5923148347579</c:v>
                </c:pt>
                <c:pt idx="47">
                  <c:v>90.394876556505295</c:v>
                </c:pt>
                <c:pt idx="48">
                  <c:v>95.197438278252704</c:v>
                </c:pt>
                <c:pt idx="49">
                  <c:v>100</c:v>
                </c:pt>
              </c:numCache>
            </c:numRef>
          </c:val>
          <c:smooth val="0"/>
          <c:extLst>
            <c:ext xmlns:c16="http://schemas.microsoft.com/office/drawing/2014/chart" uri="{C3380CC4-5D6E-409C-BE32-E72D297353CC}">
              <c16:uniqueId val="{00000000-D0D0-45A4-ACDC-8B210C82C4AA}"/>
            </c:ext>
          </c:extLst>
        </c:ser>
        <c:ser>
          <c:idx val="1"/>
          <c:order val="1"/>
          <c:marker>
            <c:symbol val="none"/>
          </c:marker>
          <c:val>
            <c:numRef>
              <c:f>Sheet2!$X$5:$X$54</c:f>
              <c:numCache>
                <c:formatCode>General</c:formatCode>
                <c:ptCount val="50"/>
                <c:pt idx="0">
                  <c:v>0</c:v>
                </c:pt>
                <c:pt idx="1">
                  <c:v>1.5</c:v>
                </c:pt>
                <c:pt idx="2">
                  <c:v>3</c:v>
                </c:pt>
                <c:pt idx="3">
                  <c:v>6</c:v>
                </c:pt>
                <c:pt idx="4">
                  <c:v>9</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numCache>
            </c:numRef>
          </c:val>
          <c:smooth val="0"/>
          <c:extLst>
            <c:ext xmlns:c16="http://schemas.microsoft.com/office/drawing/2014/chart" uri="{C3380CC4-5D6E-409C-BE32-E72D297353CC}">
              <c16:uniqueId val="{00000001-D0D0-45A4-ACDC-8B210C82C4AA}"/>
            </c:ext>
          </c:extLst>
        </c:ser>
        <c:dLbls>
          <c:showLegendKey val="0"/>
          <c:showVal val="0"/>
          <c:showCatName val="0"/>
          <c:showSerName val="0"/>
          <c:showPercent val="0"/>
          <c:showBubbleSize val="0"/>
        </c:dLbls>
        <c:smooth val="0"/>
        <c:axId val="27282224"/>
        <c:axId val="27284720"/>
      </c:lineChart>
      <c:catAx>
        <c:axId val="27282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Cumulative share of HH from lowest to the highest</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84720"/>
        <c:crosses val="autoZero"/>
        <c:auto val="1"/>
        <c:lblAlgn val="ctr"/>
        <c:lblOffset val="100"/>
        <c:noMultiLvlLbl val="0"/>
      </c:catAx>
      <c:valAx>
        <c:axId val="2728472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lang="en-ZA" sz="900" b="0" i="0" u="none" strike="noStrike" kern="1200" baseline="0">
                    <a:solidFill>
                      <a:sysClr val="windowText" lastClr="000000">
                        <a:lumMod val="65000"/>
                        <a:lumOff val="35000"/>
                      </a:sysClr>
                    </a:solidFill>
                    <a:latin typeface="+mn-lt"/>
                    <a:ea typeface="+mn-ea"/>
                    <a:cs typeface="+mn-cs"/>
                  </a:defRPr>
                </a:pPr>
                <a:r>
                  <a:rPr lang="en-ZA" sz="900" b="0" i="0" u="none" strike="noStrike" kern="1200" baseline="0">
                    <a:solidFill>
                      <a:sysClr val="windowText" lastClr="000000">
                        <a:lumMod val="65000"/>
                        <a:lumOff val="35000"/>
                      </a:sysClr>
                    </a:solidFill>
                    <a:latin typeface="+mn-lt"/>
                    <a:ea typeface="+mn-ea"/>
                    <a:cs typeface="+mn-cs"/>
                  </a:rPr>
                  <a:t>Cumulative share of income</a:t>
                </a:r>
              </a:p>
              <a:p>
                <a:pPr marL="0" marR="0" lvl="0" indent="0" algn="ctr" defTabSz="914400" rtl="0" eaLnBrk="1" fontAlgn="auto" latinLnBrk="0" hangingPunct="1">
                  <a:lnSpc>
                    <a:spcPct val="100000"/>
                  </a:lnSpc>
                  <a:spcBef>
                    <a:spcPts val="0"/>
                  </a:spcBef>
                  <a:spcAft>
                    <a:spcPts val="0"/>
                  </a:spcAft>
                  <a:buClrTx/>
                  <a:buSzTx/>
                  <a:buFontTx/>
                  <a:buNone/>
                  <a:tabLst/>
                  <a:defRPr lang="en-ZA" sz="900" b="0" i="0" u="none" strike="noStrike" kern="1200" baseline="0">
                    <a:solidFill>
                      <a:sysClr val="windowText" lastClr="000000">
                        <a:lumMod val="65000"/>
                        <a:lumOff val="35000"/>
                      </a:sysClr>
                    </a:solidFill>
                    <a:latin typeface="+mn-lt"/>
                    <a:ea typeface="+mn-ea"/>
                    <a:cs typeface="+mn-cs"/>
                  </a:defRPr>
                </a:pPr>
                <a:r>
                  <a:rPr lang="en-ZA" sz="900" b="0" i="0" u="none" strike="noStrike" kern="1200" baseline="0">
                    <a:solidFill>
                      <a:sysClr val="windowText" lastClr="000000">
                        <a:lumMod val="65000"/>
                        <a:lumOff val="35000"/>
                      </a:sysClr>
                    </a:solidFill>
                    <a:latin typeface="+mn-lt"/>
                    <a:ea typeface="+mn-ea"/>
                    <a:cs typeface="+mn-cs"/>
                  </a:rPr>
                  <a:t> </a:t>
                </a:r>
              </a:p>
            </c:rich>
          </c:tx>
          <c:layout>
            <c:manualLayout>
              <c:xMode val="edge"/>
              <c:yMode val="edge"/>
              <c:x val="3.6111111111111108E-2"/>
              <c:y val="0.14053949903660887"/>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82224"/>
        <c:crosses val="autoZero"/>
        <c:crossBetween val="between"/>
      </c:valAx>
    </c:plotArea>
    <c:plotVisOnly val="1"/>
    <c:dispBlanksAs val="gap"/>
    <c:showDLblsOverMax val="0"/>
    <c:extLst/>
  </c:chart>
  <c:spPr>
    <a:ln>
      <a:noFill/>
    </a:ln>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ZA" sz="1000" b="1"/>
              <a:t>Visual</a:t>
            </a:r>
            <a:r>
              <a:rPr lang="en-ZA" sz="1000" b="1" baseline="0"/>
              <a:t> Arts and Crafts</a:t>
            </a:r>
            <a:endParaRPr lang="en-ZA" sz="10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Sheet2!$X$4</c:f>
              <c:strCache>
                <c:ptCount val="1"/>
              </c:strCache>
            </c:strRef>
          </c:tx>
          <c:spPr>
            <a:ln w="28575" cap="rnd">
              <a:solidFill>
                <a:schemeClr val="accent2"/>
              </a:solidFill>
              <a:round/>
            </a:ln>
            <a:effectLst/>
          </c:spPr>
          <c:marker>
            <c:symbol val="none"/>
          </c:marker>
          <c:cat>
            <c:numRef>
              <c:f>Sheet2!$V$5:$V$54</c:f>
              <c:numCache>
                <c:formatCode>General</c:formatCode>
                <c:ptCount val="50"/>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numCache>
            </c:numRef>
          </c:cat>
          <c:val>
            <c:numRef>
              <c:f>Sheet2!$X$5:$X$54</c:f>
              <c:numCache>
                <c:formatCode>General</c:formatCode>
                <c:ptCount val="50"/>
                <c:pt idx="0">
                  <c:v>0</c:v>
                </c:pt>
                <c:pt idx="1">
                  <c:v>1.5</c:v>
                </c:pt>
                <c:pt idx="2">
                  <c:v>3</c:v>
                </c:pt>
                <c:pt idx="3">
                  <c:v>6</c:v>
                </c:pt>
                <c:pt idx="4">
                  <c:v>9</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numCache>
            </c:numRef>
          </c:val>
          <c:smooth val="0"/>
          <c:extLst>
            <c:ext xmlns:c16="http://schemas.microsoft.com/office/drawing/2014/chart" uri="{C3380CC4-5D6E-409C-BE32-E72D297353CC}">
              <c16:uniqueId val="{00000000-0DD5-49C1-A22C-8F63C45B0B6B}"/>
            </c:ext>
          </c:extLst>
        </c:ser>
        <c:ser>
          <c:idx val="0"/>
          <c:order val="1"/>
          <c:spPr>
            <a:ln w="28575" cap="rnd">
              <a:solidFill>
                <a:schemeClr val="accent1"/>
              </a:solidFill>
              <a:round/>
            </a:ln>
            <a:effectLst/>
          </c:spPr>
          <c:marker>
            <c:symbol val="none"/>
          </c:marker>
          <c:val>
            <c:numRef>
              <c:f>Sheet2!$Z$5:$Z$54</c:f>
              <c:numCache>
                <c:formatCode>General</c:formatCode>
                <c:ptCount val="50"/>
                <c:pt idx="0">
                  <c:v>0</c:v>
                </c:pt>
                <c:pt idx="1">
                  <c:v>0.76941644991314317</c:v>
                </c:pt>
                <c:pt idx="2">
                  <c:v>1.098811661919658</c:v>
                </c:pt>
                <c:pt idx="3">
                  <c:v>1.4282068739261728</c:v>
                </c:pt>
                <c:pt idx="4">
                  <c:v>1.7576020859326875</c:v>
                </c:pt>
                <c:pt idx="5">
                  <c:v>2.0869972979392024</c:v>
                </c:pt>
                <c:pt idx="6">
                  <c:v>2.5563829068660131</c:v>
                </c:pt>
                <c:pt idx="7">
                  <c:v>3.0257685157928238</c:v>
                </c:pt>
                <c:pt idx="8">
                  <c:v>3.495154124719634</c:v>
                </c:pt>
                <c:pt idx="9">
                  <c:v>3.9645397336464452</c:v>
                </c:pt>
                <c:pt idx="10">
                  <c:v>4.5661140867229353</c:v>
                </c:pt>
                <c:pt idx="11">
                  <c:v>5.1676884397994201</c:v>
                </c:pt>
                <c:pt idx="12">
                  <c:v>5.7692627928759048</c:v>
                </c:pt>
                <c:pt idx="13">
                  <c:v>6.3708371459523638</c:v>
                </c:pt>
                <c:pt idx="14">
                  <c:v>7.1017057567620441</c:v>
                </c:pt>
                <c:pt idx="15">
                  <c:v>7.8325743675717234</c:v>
                </c:pt>
                <c:pt idx="16">
                  <c:v>8.5634429783814046</c:v>
                </c:pt>
                <c:pt idx="17">
                  <c:v>9.2943115891910839</c:v>
                </c:pt>
                <c:pt idx="18">
                  <c:v>10.365881462801635</c:v>
                </c:pt>
                <c:pt idx="19">
                  <c:v>11.437451336412124</c:v>
                </c:pt>
                <c:pt idx="20">
                  <c:v>12.509021210022611</c:v>
                </c:pt>
                <c:pt idx="21">
                  <c:v>13.580591083633101</c:v>
                </c:pt>
                <c:pt idx="22">
                  <c:v>15.183058729139692</c:v>
                </c:pt>
                <c:pt idx="23">
                  <c:v>16.785526374646224</c:v>
                </c:pt>
                <c:pt idx="24">
                  <c:v>18.387994020152817</c:v>
                </c:pt>
                <c:pt idx="25">
                  <c:v>19.99046166565935</c:v>
                </c:pt>
                <c:pt idx="26">
                  <c:v>22.822514709513349</c:v>
                </c:pt>
                <c:pt idx="27">
                  <c:v>25.654567753367346</c:v>
                </c:pt>
                <c:pt idx="28">
                  <c:v>28.486620797221278</c:v>
                </c:pt>
                <c:pt idx="29">
                  <c:v>31.318673841075277</c:v>
                </c:pt>
                <c:pt idx="30">
                  <c:v>35.962603284250754</c:v>
                </c:pt>
                <c:pt idx="31">
                  <c:v>40.606532727426298</c:v>
                </c:pt>
                <c:pt idx="32">
                  <c:v>45.250462170601772</c:v>
                </c:pt>
                <c:pt idx="33">
                  <c:v>49.894391613777245</c:v>
                </c:pt>
                <c:pt idx="34">
                  <c:v>52.18396245259251</c:v>
                </c:pt>
                <c:pt idx="35">
                  <c:v>54.473533291407719</c:v>
                </c:pt>
                <c:pt idx="36">
                  <c:v>56.763104130222978</c:v>
                </c:pt>
                <c:pt idx="37">
                  <c:v>59.052674969038179</c:v>
                </c:pt>
                <c:pt idx="38">
                  <c:v>61.211363365524683</c:v>
                </c:pt>
                <c:pt idx="39">
                  <c:v>63.370051762011137</c:v>
                </c:pt>
                <c:pt idx="40">
                  <c:v>65.528740158497328</c:v>
                </c:pt>
                <c:pt idx="41">
                  <c:v>67.687428554984166</c:v>
                </c:pt>
                <c:pt idx="42">
                  <c:v>70.932402981867313</c:v>
                </c:pt>
                <c:pt idx="43">
                  <c:v>74.177377408750473</c:v>
                </c:pt>
                <c:pt idx="44">
                  <c:v>77.42235183563362</c:v>
                </c:pt>
                <c:pt idx="45">
                  <c:v>80.667326262516752</c:v>
                </c:pt>
                <c:pt idx="46">
                  <c:v>85.500494696887415</c:v>
                </c:pt>
                <c:pt idx="47">
                  <c:v>90.333663131258064</c:v>
                </c:pt>
                <c:pt idx="48">
                  <c:v>95.166831565629337</c:v>
                </c:pt>
                <c:pt idx="49">
                  <c:v>100</c:v>
                </c:pt>
              </c:numCache>
            </c:numRef>
          </c:val>
          <c:smooth val="0"/>
          <c:extLst>
            <c:ext xmlns:c16="http://schemas.microsoft.com/office/drawing/2014/chart" uri="{C3380CC4-5D6E-409C-BE32-E72D297353CC}">
              <c16:uniqueId val="{00000001-0DD5-49C1-A22C-8F63C45B0B6B}"/>
            </c:ext>
          </c:extLst>
        </c:ser>
        <c:dLbls>
          <c:showLegendKey val="0"/>
          <c:showVal val="0"/>
          <c:showCatName val="0"/>
          <c:showSerName val="0"/>
          <c:showPercent val="0"/>
          <c:showBubbleSize val="0"/>
        </c:dLbls>
        <c:smooth val="0"/>
        <c:axId val="27282224"/>
        <c:axId val="27284720"/>
      </c:lineChart>
      <c:catAx>
        <c:axId val="27282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Cumulative share of HH from lowest to the highest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84720"/>
        <c:crosses val="autoZero"/>
        <c:auto val="1"/>
        <c:lblAlgn val="ctr"/>
        <c:lblOffset val="100"/>
        <c:noMultiLvlLbl val="0"/>
      </c:catAx>
      <c:valAx>
        <c:axId val="2728472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lang="en-ZA" sz="900" b="0" i="0" u="none" strike="noStrike" kern="1200" baseline="0">
                    <a:solidFill>
                      <a:sysClr val="windowText" lastClr="000000">
                        <a:lumMod val="65000"/>
                        <a:lumOff val="35000"/>
                      </a:sysClr>
                    </a:solidFill>
                    <a:latin typeface="+mn-lt"/>
                    <a:ea typeface="+mn-ea"/>
                    <a:cs typeface="+mn-cs"/>
                  </a:defRPr>
                </a:pPr>
                <a:r>
                  <a:rPr lang="en-ZA" sz="900" b="0" i="0" u="none" strike="noStrike" kern="1200" baseline="0">
                    <a:solidFill>
                      <a:sysClr val="windowText" lastClr="000000">
                        <a:lumMod val="65000"/>
                        <a:lumOff val="35000"/>
                      </a:sysClr>
                    </a:solidFill>
                    <a:latin typeface="+mn-lt"/>
                    <a:ea typeface="+mn-ea"/>
                    <a:cs typeface="+mn-cs"/>
                  </a:rPr>
                  <a:t>Cumulative share of income</a:t>
                </a:r>
              </a:p>
              <a:p>
                <a:pPr marL="0" marR="0" lvl="0" indent="0" algn="ctr" defTabSz="914400" rtl="0" eaLnBrk="1" fontAlgn="auto" latinLnBrk="0" hangingPunct="1">
                  <a:lnSpc>
                    <a:spcPct val="100000"/>
                  </a:lnSpc>
                  <a:spcBef>
                    <a:spcPts val="0"/>
                  </a:spcBef>
                  <a:spcAft>
                    <a:spcPts val="0"/>
                  </a:spcAft>
                  <a:buClrTx/>
                  <a:buSzTx/>
                  <a:buFontTx/>
                  <a:buNone/>
                  <a:tabLst/>
                  <a:defRPr lang="en-ZA" sz="900">
                    <a:solidFill>
                      <a:sysClr val="windowText" lastClr="000000">
                        <a:lumMod val="65000"/>
                        <a:lumOff val="35000"/>
                      </a:sysClr>
                    </a:solidFill>
                  </a:defRPr>
                </a:pPr>
                <a:r>
                  <a:rPr lang="en-ZA" sz="900" b="0" i="0" u="none" strike="noStrike" kern="1200" baseline="0">
                    <a:solidFill>
                      <a:sysClr val="windowText" lastClr="000000">
                        <a:lumMod val="65000"/>
                        <a:lumOff val="35000"/>
                      </a:sysClr>
                    </a:solidFill>
                    <a:latin typeface="+mn-lt"/>
                    <a:ea typeface="+mn-ea"/>
                    <a:cs typeface="+mn-cs"/>
                  </a:rPr>
                  <a:t> </a:t>
                </a:r>
              </a:p>
            </c:rich>
          </c:tx>
          <c:layout>
            <c:manualLayout>
              <c:xMode val="edge"/>
              <c:yMode val="edge"/>
              <c:x val="3.6111111111111108E-2"/>
              <c:y val="0.14053949903660887"/>
            </c:manualLayout>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lang="en-ZA" sz="9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8222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ZA" sz="1000" b="1"/>
              <a:t>Books and Press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Sheet2!$X$4</c:f>
              <c:strCache>
                <c:ptCount val="1"/>
              </c:strCache>
            </c:strRef>
          </c:tx>
          <c:spPr>
            <a:ln w="28575" cap="rnd">
              <a:solidFill>
                <a:schemeClr val="accent2"/>
              </a:solidFill>
              <a:round/>
            </a:ln>
            <a:effectLst/>
          </c:spPr>
          <c:marker>
            <c:symbol val="none"/>
          </c:marker>
          <c:cat>
            <c:numRef>
              <c:f>Sheet2!$V$5:$V$54</c:f>
              <c:numCache>
                <c:formatCode>General</c:formatCode>
                <c:ptCount val="50"/>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numCache>
            </c:numRef>
          </c:cat>
          <c:val>
            <c:numRef>
              <c:f>Sheet2!$X$5:$X$54</c:f>
              <c:numCache>
                <c:formatCode>General</c:formatCode>
                <c:ptCount val="50"/>
                <c:pt idx="0">
                  <c:v>0</c:v>
                </c:pt>
                <c:pt idx="1">
                  <c:v>1.5</c:v>
                </c:pt>
                <c:pt idx="2">
                  <c:v>3</c:v>
                </c:pt>
                <c:pt idx="3">
                  <c:v>6</c:v>
                </c:pt>
                <c:pt idx="4">
                  <c:v>9</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numCache>
            </c:numRef>
          </c:val>
          <c:smooth val="0"/>
          <c:extLst>
            <c:ext xmlns:c16="http://schemas.microsoft.com/office/drawing/2014/chart" uri="{C3380CC4-5D6E-409C-BE32-E72D297353CC}">
              <c16:uniqueId val="{00000000-403C-4ED3-821A-E8B62D2EDAD1}"/>
            </c:ext>
          </c:extLst>
        </c:ser>
        <c:ser>
          <c:idx val="0"/>
          <c:order val="1"/>
          <c:spPr>
            <a:ln w="28575" cap="rnd">
              <a:solidFill>
                <a:schemeClr val="accent1"/>
              </a:solidFill>
              <a:round/>
            </a:ln>
            <a:effectLst/>
          </c:spPr>
          <c:marker>
            <c:symbol val="none"/>
          </c:marker>
          <c:val>
            <c:numRef>
              <c:f>Sheet2!$AA$5:$AA$54</c:f>
              <c:numCache>
                <c:formatCode>General</c:formatCode>
                <c:ptCount val="50"/>
                <c:pt idx="0">
                  <c:v>0</c:v>
                </c:pt>
                <c:pt idx="1">
                  <c:v>0.66361630422230655</c:v>
                </c:pt>
                <c:pt idx="2">
                  <c:v>0.9429616448027226</c:v>
                </c:pt>
                <c:pt idx="3">
                  <c:v>1.2223069853831328</c:v>
                </c:pt>
                <c:pt idx="4">
                  <c:v>1.5016523259635515</c:v>
                </c:pt>
                <c:pt idx="5">
                  <c:v>1.7809976665439697</c:v>
                </c:pt>
                <c:pt idx="6">
                  <c:v>2.2062288299565442</c:v>
                </c:pt>
                <c:pt idx="7">
                  <c:v>2.6314599933691269</c:v>
                </c:pt>
                <c:pt idx="8">
                  <c:v>3.0566911567817012</c:v>
                </c:pt>
                <c:pt idx="9">
                  <c:v>3.4819223201942839</c:v>
                </c:pt>
                <c:pt idx="10">
                  <c:v>4.0770902158914328</c:v>
                </c:pt>
                <c:pt idx="11">
                  <c:v>4.6722581115885804</c:v>
                </c:pt>
                <c:pt idx="12">
                  <c:v>5.2674260072857377</c:v>
                </c:pt>
                <c:pt idx="13">
                  <c:v>5.8625939029828853</c:v>
                </c:pt>
                <c:pt idx="14">
                  <c:v>6.6466826083039425</c:v>
                </c:pt>
                <c:pt idx="15">
                  <c:v>7.4307713136250095</c:v>
                </c:pt>
                <c:pt idx="16">
                  <c:v>8.2148600189460161</c:v>
                </c:pt>
                <c:pt idx="17">
                  <c:v>8.9989487242670663</c:v>
                </c:pt>
                <c:pt idx="18">
                  <c:v>10.164103999611369</c:v>
                </c:pt>
                <c:pt idx="19">
                  <c:v>11.329259274955671</c:v>
                </c:pt>
                <c:pt idx="20">
                  <c:v>12.494414550299975</c:v>
                </c:pt>
                <c:pt idx="21">
                  <c:v>13.659569825644279</c:v>
                </c:pt>
                <c:pt idx="22">
                  <c:v>15.466356658123651</c:v>
                </c:pt>
                <c:pt idx="23">
                  <c:v>17.273143490603022</c:v>
                </c:pt>
                <c:pt idx="24">
                  <c:v>19.079930323082394</c:v>
                </c:pt>
                <c:pt idx="25">
                  <c:v>20.886717155561772</c:v>
                </c:pt>
                <c:pt idx="26">
                  <c:v>24.057898229843698</c:v>
                </c:pt>
                <c:pt idx="27">
                  <c:v>27.229079304125626</c:v>
                </c:pt>
                <c:pt idx="28">
                  <c:v>30.400260378407555</c:v>
                </c:pt>
                <c:pt idx="29">
                  <c:v>33.571441452689484</c:v>
                </c:pt>
                <c:pt idx="30">
                  <c:v>38.651681993287383</c:v>
                </c:pt>
                <c:pt idx="31">
                  <c:v>43.731922533885367</c:v>
                </c:pt>
                <c:pt idx="32">
                  <c:v>48.812163074483266</c:v>
                </c:pt>
                <c:pt idx="33">
                  <c:v>53.892403615081165</c:v>
                </c:pt>
                <c:pt idx="34">
                  <c:v>55.970185997697378</c:v>
                </c:pt>
                <c:pt idx="35">
                  <c:v>58.047968380313499</c:v>
                </c:pt>
                <c:pt idx="36">
                  <c:v>60.125750762929705</c:v>
                </c:pt>
                <c:pt idx="37">
                  <c:v>62.203533145545919</c:v>
                </c:pt>
                <c:pt idx="38">
                  <c:v>64.56342735186908</c:v>
                </c:pt>
                <c:pt idx="39">
                  <c:v>66.923321558192256</c:v>
                </c:pt>
                <c:pt idx="40">
                  <c:v>69.283215764515418</c:v>
                </c:pt>
                <c:pt idx="41">
                  <c:v>71.643109970838566</c:v>
                </c:pt>
                <c:pt idx="42">
                  <c:v>74.554685043343341</c:v>
                </c:pt>
                <c:pt idx="43">
                  <c:v>77.466260115848087</c:v>
                </c:pt>
                <c:pt idx="44">
                  <c:v>80.377835188352847</c:v>
                </c:pt>
                <c:pt idx="45">
                  <c:v>83.289410260857522</c:v>
                </c:pt>
                <c:pt idx="46">
                  <c:v>87.467057695642723</c:v>
                </c:pt>
                <c:pt idx="47">
                  <c:v>91.644705130428775</c:v>
                </c:pt>
                <c:pt idx="48">
                  <c:v>95.8223525652148</c:v>
                </c:pt>
                <c:pt idx="49">
                  <c:v>100</c:v>
                </c:pt>
              </c:numCache>
            </c:numRef>
          </c:val>
          <c:smooth val="0"/>
          <c:extLst>
            <c:ext xmlns:c16="http://schemas.microsoft.com/office/drawing/2014/chart" uri="{C3380CC4-5D6E-409C-BE32-E72D297353CC}">
              <c16:uniqueId val="{00000001-403C-4ED3-821A-E8B62D2EDAD1}"/>
            </c:ext>
          </c:extLst>
        </c:ser>
        <c:dLbls>
          <c:showLegendKey val="0"/>
          <c:showVal val="0"/>
          <c:showCatName val="0"/>
          <c:showSerName val="0"/>
          <c:showPercent val="0"/>
          <c:showBubbleSize val="0"/>
        </c:dLbls>
        <c:smooth val="0"/>
        <c:axId val="27282224"/>
        <c:axId val="27284720"/>
      </c:lineChart>
      <c:catAx>
        <c:axId val="27282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Cumulative share of HH from lowest to the highest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84720"/>
        <c:crosses val="autoZero"/>
        <c:auto val="1"/>
        <c:lblAlgn val="ctr"/>
        <c:lblOffset val="100"/>
        <c:noMultiLvlLbl val="0"/>
      </c:catAx>
      <c:valAx>
        <c:axId val="2728472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lang="en-ZA" sz="900" b="0" i="0" u="none" strike="noStrike" kern="1200" baseline="0">
                    <a:solidFill>
                      <a:sysClr val="windowText" lastClr="000000">
                        <a:lumMod val="65000"/>
                        <a:lumOff val="35000"/>
                      </a:sysClr>
                    </a:solidFill>
                    <a:latin typeface="+mn-lt"/>
                    <a:ea typeface="+mn-ea"/>
                    <a:cs typeface="+mn-cs"/>
                  </a:defRPr>
                </a:pPr>
                <a:r>
                  <a:rPr lang="en-ZA" sz="900" b="0" i="0" u="none" strike="noStrike" kern="1200" baseline="0">
                    <a:solidFill>
                      <a:sysClr val="windowText" lastClr="000000">
                        <a:lumMod val="65000"/>
                        <a:lumOff val="35000"/>
                      </a:sysClr>
                    </a:solidFill>
                    <a:latin typeface="+mn-lt"/>
                    <a:ea typeface="+mn-ea"/>
                    <a:cs typeface="+mn-cs"/>
                  </a:rPr>
                  <a:t>Cumulative share of income</a:t>
                </a:r>
              </a:p>
              <a:p>
                <a:pPr marL="0" marR="0" lvl="0" indent="0" algn="ctr" defTabSz="914400" rtl="0" eaLnBrk="1" fontAlgn="auto" latinLnBrk="0" hangingPunct="1">
                  <a:lnSpc>
                    <a:spcPct val="100000"/>
                  </a:lnSpc>
                  <a:spcBef>
                    <a:spcPts val="0"/>
                  </a:spcBef>
                  <a:spcAft>
                    <a:spcPts val="0"/>
                  </a:spcAft>
                  <a:buClrTx/>
                  <a:buSzTx/>
                  <a:buFontTx/>
                  <a:buNone/>
                  <a:tabLst/>
                  <a:defRPr lang="en-ZA" sz="900">
                    <a:solidFill>
                      <a:sysClr val="windowText" lastClr="000000">
                        <a:lumMod val="65000"/>
                        <a:lumOff val="35000"/>
                      </a:sysClr>
                    </a:solidFill>
                  </a:defRPr>
                </a:pPr>
                <a:r>
                  <a:rPr lang="en-ZA" sz="900" b="0" i="0" u="none" strike="noStrike" kern="1200" baseline="0">
                    <a:solidFill>
                      <a:sysClr val="windowText" lastClr="000000">
                        <a:lumMod val="65000"/>
                        <a:lumOff val="35000"/>
                      </a:sysClr>
                    </a:solidFill>
                    <a:latin typeface="+mn-lt"/>
                    <a:ea typeface="+mn-ea"/>
                    <a:cs typeface="+mn-cs"/>
                  </a:rPr>
                  <a:t> </a:t>
                </a:r>
              </a:p>
            </c:rich>
          </c:tx>
          <c:layout>
            <c:manualLayout>
              <c:xMode val="edge"/>
              <c:yMode val="edge"/>
              <c:x val="3.6111111111111108E-2"/>
              <c:y val="0.14053949903660887"/>
            </c:manualLayout>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lang="en-ZA" sz="9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8222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ZA" sz="1000"/>
              <a:t>Audio-visual and Interactive</a:t>
            </a:r>
            <a:r>
              <a:rPr lang="en-ZA" sz="1000" baseline="0"/>
              <a:t> Media</a:t>
            </a:r>
            <a:endParaRPr lang="en-ZA" sz="1000"/>
          </a:p>
        </c:rich>
      </c:tx>
      <c:overlay val="0"/>
    </c:title>
    <c:autoTitleDeleted val="0"/>
    <c:plotArea>
      <c:layout/>
      <c:lineChart>
        <c:grouping val="standard"/>
        <c:varyColors val="0"/>
        <c:ser>
          <c:idx val="1"/>
          <c:order val="0"/>
          <c:tx>
            <c:strRef>
              <c:f>Sheet2!$X$4</c:f>
              <c:strCache>
                <c:ptCount val="1"/>
              </c:strCache>
            </c:strRef>
          </c:tx>
          <c:spPr>
            <a:ln w="28575" cap="rnd">
              <a:solidFill>
                <a:schemeClr val="accent2"/>
              </a:solidFill>
              <a:round/>
            </a:ln>
            <a:effectLst/>
          </c:spPr>
          <c:marker>
            <c:symbol val="none"/>
          </c:marker>
          <c:cat>
            <c:numRef>
              <c:f>Sheet2!$V$5:$V$54</c:f>
              <c:numCache>
                <c:formatCode>General</c:formatCode>
                <c:ptCount val="50"/>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numCache>
            </c:numRef>
          </c:cat>
          <c:val>
            <c:numRef>
              <c:f>Sheet2!$X$5:$X$54</c:f>
              <c:numCache>
                <c:formatCode>General</c:formatCode>
                <c:ptCount val="50"/>
                <c:pt idx="0">
                  <c:v>0</c:v>
                </c:pt>
                <c:pt idx="1">
                  <c:v>1.5</c:v>
                </c:pt>
                <c:pt idx="2">
                  <c:v>3</c:v>
                </c:pt>
                <c:pt idx="3">
                  <c:v>6</c:v>
                </c:pt>
                <c:pt idx="4">
                  <c:v>9</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numCache>
            </c:numRef>
          </c:val>
          <c:smooth val="0"/>
          <c:extLst>
            <c:ext xmlns:c16="http://schemas.microsoft.com/office/drawing/2014/chart" uri="{C3380CC4-5D6E-409C-BE32-E72D297353CC}">
              <c16:uniqueId val="{00000000-BC53-42FA-8CE1-B2A6D3F5798E}"/>
            </c:ext>
          </c:extLst>
        </c:ser>
        <c:ser>
          <c:idx val="0"/>
          <c:order val="1"/>
          <c:marker>
            <c:symbol val="none"/>
          </c:marker>
          <c:val>
            <c:numRef>
              <c:f>Sheet2!$AB$5:$AB$54</c:f>
              <c:numCache>
                <c:formatCode>General</c:formatCode>
                <c:ptCount val="50"/>
                <c:pt idx="0">
                  <c:v>0</c:v>
                </c:pt>
                <c:pt idx="1">
                  <c:v>0.20174301832409833</c:v>
                </c:pt>
                <c:pt idx="2">
                  <c:v>0.28538075374060895</c:v>
                </c:pt>
                <c:pt idx="3">
                  <c:v>0.36901848915712043</c:v>
                </c:pt>
                <c:pt idx="4">
                  <c:v>0.45265622457363103</c:v>
                </c:pt>
                <c:pt idx="5">
                  <c:v>0.53629395999014251</c:v>
                </c:pt>
                <c:pt idx="6">
                  <c:v>0.68634906347725266</c:v>
                </c:pt>
                <c:pt idx="7">
                  <c:v>0.83640416696435893</c:v>
                </c:pt>
                <c:pt idx="8">
                  <c:v>0.98645927045146764</c:v>
                </c:pt>
                <c:pt idx="9">
                  <c:v>1.1365143739385841</c:v>
                </c:pt>
                <c:pt idx="10">
                  <c:v>1.3838232231913039</c:v>
                </c:pt>
                <c:pt idx="11">
                  <c:v>1.6311320724440321</c:v>
                </c:pt>
                <c:pt idx="12">
                  <c:v>1.8784409216967521</c:v>
                </c:pt>
                <c:pt idx="13">
                  <c:v>2.1257497709494722</c:v>
                </c:pt>
                <c:pt idx="14">
                  <c:v>2.4822558344539734</c:v>
                </c:pt>
                <c:pt idx="15">
                  <c:v>2.8387618979584661</c:v>
                </c:pt>
                <c:pt idx="16">
                  <c:v>3.1952679614629593</c:v>
                </c:pt>
                <c:pt idx="17">
                  <c:v>3.551774024967453</c:v>
                </c:pt>
                <c:pt idx="18">
                  <c:v>4.211594256823699</c:v>
                </c:pt>
                <c:pt idx="19">
                  <c:v>4.8714144886799451</c:v>
                </c:pt>
                <c:pt idx="20">
                  <c:v>5.531234720536184</c:v>
                </c:pt>
                <c:pt idx="21">
                  <c:v>6.1910549523924301</c:v>
                </c:pt>
                <c:pt idx="22">
                  <c:v>7.2943330435723404</c:v>
                </c:pt>
                <c:pt idx="23">
                  <c:v>8.3976111347522195</c:v>
                </c:pt>
                <c:pt idx="24">
                  <c:v>9.5008892259321289</c:v>
                </c:pt>
                <c:pt idx="25">
                  <c:v>10.60416731711204</c:v>
                </c:pt>
                <c:pt idx="26">
                  <c:v>13.439416159393874</c:v>
                </c:pt>
                <c:pt idx="27">
                  <c:v>16.274665001675789</c:v>
                </c:pt>
                <c:pt idx="28">
                  <c:v>19.109913843957621</c:v>
                </c:pt>
                <c:pt idx="29">
                  <c:v>21.945162686239456</c:v>
                </c:pt>
                <c:pt idx="30">
                  <c:v>27.55547125841068</c:v>
                </c:pt>
                <c:pt idx="31">
                  <c:v>33.165779830581918</c:v>
                </c:pt>
                <c:pt idx="32">
                  <c:v>38.776088402753139</c:v>
                </c:pt>
                <c:pt idx="33">
                  <c:v>44.386396974924367</c:v>
                </c:pt>
                <c:pt idx="34">
                  <c:v>46.714874544390632</c:v>
                </c:pt>
                <c:pt idx="35">
                  <c:v>49.043352113856905</c:v>
                </c:pt>
                <c:pt idx="36">
                  <c:v>51.371829683323099</c:v>
                </c:pt>
                <c:pt idx="37">
                  <c:v>53.700307252789358</c:v>
                </c:pt>
                <c:pt idx="38">
                  <c:v>56.48233273982369</c:v>
                </c:pt>
                <c:pt idx="39">
                  <c:v>59.264358226857958</c:v>
                </c:pt>
                <c:pt idx="40">
                  <c:v>62.046383713892297</c:v>
                </c:pt>
                <c:pt idx="41">
                  <c:v>64.828409200926544</c:v>
                </c:pt>
                <c:pt idx="42">
                  <c:v>68.820894480496662</c:v>
                </c:pt>
                <c:pt idx="43">
                  <c:v>72.813379760066795</c:v>
                </c:pt>
                <c:pt idx="44">
                  <c:v>76.805865039636927</c:v>
                </c:pt>
                <c:pt idx="45">
                  <c:v>80.798350319206421</c:v>
                </c:pt>
                <c:pt idx="46">
                  <c:v>85.598762739404634</c:v>
                </c:pt>
                <c:pt idx="47">
                  <c:v>90.399175159603601</c:v>
                </c:pt>
                <c:pt idx="48">
                  <c:v>95.199587579801815</c:v>
                </c:pt>
                <c:pt idx="49">
                  <c:v>100</c:v>
                </c:pt>
              </c:numCache>
            </c:numRef>
          </c:val>
          <c:smooth val="0"/>
          <c:extLst>
            <c:ext xmlns:c16="http://schemas.microsoft.com/office/drawing/2014/chart" uri="{C3380CC4-5D6E-409C-BE32-E72D297353CC}">
              <c16:uniqueId val="{00000001-BC53-42FA-8CE1-B2A6D3F5798E}"/>
            </c:ext>
          </c:extLst>
        </c:ser>
        <c:dLbls>
          <c:showLegendKey val="0"/>
          <c:showVal val="0"/>
          <c:showCatName val="0"/>
          <c:showSerName val="0"/>
          <c:showPercent val="0"/>
          <c:showBubbleSize val="0"/>
        </c:dLbls>
        <c:smooth val="0"/>
        <c:axId val="27282224"/>
        <c:axId val="27284720"/>
      </c:lineChart>
      <c:catAx>
        <c:axId val="27282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Cumulative share of HH from lowest to the highest</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84720"/>
        <c:crosses val="autoZero"/>
        <c:auto val="1"/>
        <c:lblAlgn val="ctr"/>
        <c:lblOffset val="100"/>
        <c:noMultiLvlLbl val="0"/>
      </c:catAx>
      <c:valAx>
        <c:axId val="2728472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lang="en-ZA" sz="900" b="0" i="0" u="none" strike="noStrike" kern="1200" baseline="0">
                    <a:solidFill>
                      <a:sysClr val="windowText" lastClr="000000">
                        <a:lumMod val="65000"/>
                        <a:lumOff val="35000"/>
                      </a:sysClr>
                    </a:solidFill>
                    <a:latin typeface="+mn-lt"/>
                    <a:ea typeface="+mn-ea"/>
                    <a:cs typeface="+mn-cs"/>
                  </a:defRPr>
                </a:pPr>
                <a:r>
                  <a:rPr lang="en-ZA" sz="900" b="0" i="0" u="none" strike="noStrike" kern="1200" baseline="0">
                    <a:solidFill>
                      <a:sysClr val="windowText" lastClr="000000">
                        <a:lumMod val="65000"/>
                        <a:lumOff val="35000"/>
                      </a:sysClr>
                    </a:solidFill>
                    <a:latin typeface="+mn-lt"/>
                    <a:ea typeface="+mn-ea"/>
                    <a:cs typeface="+mn-cs"/>
                  </a:rPr>
                  <a:t>Cumulative share of income</a:t>
                </a:r>
              </a:p>
              <a:p>
                <a:pPr marL="0" marR="0" lvl="0" indent="0" algn="ctr" defTabSz="914400" rtl="0" eaLnBrk="1" fontAlgn="auto" latinLnBrk="0" hangingPunct="1">
                  <a:lnSpc>
                    <a:spcPct val="100000"/>
                  </a:lnSpc>
                  <a:spcBef>
                    <a:spcPts val="0"/>
                  </a:spcBef>
                  <a:spcAft>
                    <a:spcPts val="0"/>
                  </a:spcAft>
                  <a:buClrTx/>
                  <a:buSzTx/>
                  <a:buFontTx/>
                  <a:buNone/>
                  <a:tabLst/>
                  <a:defRPr lang="en-ZA" sz="900" b="0" i="0" u="none" strike="noStrike" kern="1200" baseline="0">
                    <a:solidFill>
                      <a:sysClr val="windowText" lastClr="000000">
                        <a:lumMod val="65000"/>
                        <a:lumOff val="35000"/>
                      </a:sysClr>
                    </a:solidFill>
                    <a:latin typeface="+mn-lt"/>
                    <a:ea typeface="+mn-ea"/>
                    <a:cs typeface="+mn-cs"/>
                  </a:defRPr>
                </a:pPr>
                <a:r>
                  <a:rPr lang="en-ZA" sz="900" b="0" i="0" u="none" strike="noStrike" kern="1200" baseline="0">
                    <a:solidFill>
                      <a:sysClr val="windowText" lastClr="000000">
                        <a:lumMod val="65000"/>
                        <a:lumOff val="35000"/>
                      </a:sysClr>
                    </a:solidFill>
                    <a:latin typeface="+mn-lt"/>
                    <a:ea typeface="+mn-ea"/>
                    <a:cs typeface="+mn-cs"/>
                  </a:rPr>
                  <a:t> </a:t>
                </a:r>
              </a:p>
            </c:rich>
          </c:tx>
          <c:layout>
            <c:manualLayout>
              <c:xMode val="edge"/>
              <c:yMode val="edge"/>
              <c:x val="3.6111111111111108E-2"/>
              <c:y val="0.14053949903660887"/>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82224"/>
        <c:crosses val="autoZero"/>
        <c:crossBetween val="between"/>
      </c:valAx>
    </c:plotArea>
    <c:plotVisOnly val="1"/>
    <c:dispBlanksAs val="gap"/>
    <c:showDLblsOverMax val="0"/>
    <c:extLst/>
  </c:chart>
  <c:spPr>
    <a:ln>
      <a:noFill/>
    </a:ln>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[gini.xlsx]Sheet2!$AC$4</c:f>
          <c:strCache>
            <c:ptCount val="1"/>
            <c:pt idx="0">
              <c:v>Design and Creative Services</c:v>
            </c:pt>
          </c:strCache>
        </c:strRef>
      </c:tx>
      <c:layout>
        <c:manualLayout>
          <c:xMode val="edge"/>
          <c:yMode val="edge"/>
          <c:x val="0.16772263144526284"/>
          <c:y val="2.312145764388147E-2"/>
        </c:manualLayout>
      </c:layout>
      <c:overlay val="0"/>
      <c:spPr>
        <a:noFill/>
        <a:ln>
          <a:noFill/>
        </a:ln>
        <a:effectLst/>
      </c:spPr>
      <c:txPr>
        <a:bodyPr rot="0" spcFirstLastPara="1" vertOverflow="ellipsis" vert="horz" wrap="square" anchor="ctr" anchorCtr="1"/>
        <a:lstStyle/>
        <a:p>
          <a:pPr algn="ctr">
            <a:defRPr sz="1000" b="1" i="0" u="none" strike="noStrike" kern="1200" spc="0" baseline="0">
              <a:solidFill>
                <a:schemeClr val="tx1"/>
              </a:solidFill>
              <a:latin typeface="+mn-lt"/>
              <a:ea typeface="+mn-ea"/>
              <a:cs typeface="Arial" panose="020B0604020202020204" pitchFamily="34" charset="0"/>
            </a:defRPr>
          </a:pPr>
          <a:endParaRPr lang="en-US"/>
        </a:p>
      </c:txPr>
    </c:title>
    <c:autoTitleDeleted val="0"/>
    <c:plotArea>
      <c:layout/>
      <c:lineChart>
        <c:grouping val="standard"/>
        <c:varyColors val="0"/>
        <c:ser>
          <c:idx val="1"/>
          <c:order val="0"/>
          <c:spPr>
            <a:ln w="28575" cap="rnd">
              <a:solidFill>
                <a:schemeClr val="accent2"/>
              </a:solidFill>
              <a:round/>
            </a:ln>
            <a:effectLst/>
          </c:spPr>
          <c:marker>
            <c:symbol val="none"/>
          </c:marker>
          <c:cat>
            <c:numRef>
              <c:f>[gini.xlsx]Sheet2!$V$5:$V$54</c:f>
              <c:numCache>
                <c:formatCode>General</c:formatCode>
                <c:ptCount val="50"/>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numCache>
            </c:numRef>
          </c:cat>
          <c:val>
            <c:numRef>
              <c:f>[gini.xlsx]Sheet2!$X$5:$X$54</c:f>
              <c:numCache>
                <c:formatCode>General</c:formatCode>
                <c:ptCount val="50"/>
                <c:pt idx="0">
                  <c:v>0</c:v>
                </c:pt>
                <c:pt idx="1">
                  <c:v>1.5</c:v>
                </c:pt>
                <c:pt idx="2">
                  <c:v>3</c:v>
                </c:pt>
                <c:pt idx="3">
                  <c:v>6</c:v>
                </c:pt>
                <c:pt idx="4">
                  <c:v>9</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numCache>
            </c:numRef>
          </c:val>
          <c:smooth val="0"/>
          <c:extLst>
            <c:ext xmlns:c16="http://schemas.microsoft.com/office/drawing/2014/chart" uri="{C3380CC4-5D6E-409C-BE32-E72D297353CC}">
              <c16:uniqueId val="{00000000-C330-42B1-A53F-EFC5E1CF8090}"/>
            </c:ext>
          </c:extLst>
        </c:ser>
        <c:ser>
          <c:idx val="0"/>
          <c:order val="1"/>
          <c:spPr>
            <a:ln w="28575" cap="rnd">
              <a:solidFill>
                <a:schemeClr val="accent1"/>
              </a:solidFill>
              <a:round/>
            </a:ln>
            <a:effectLst/>
          </c:spPr>
          <c:marker>
            <c:symbol val="none"/>
          </c:marker>
          <c:cat>
            <c:numRef>
              <c:f>[gini.xlsx]Sheet2!$V$5:$V$54</c:f>
              <c:numCache>
                <c:formatCode>General</c:formatCode>
                <c:ptCount val="50"/>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pt idx="23">
                  <c:v>48</c:v>
                </c:pt>
                <c:pt idx="24">
                  <c:v>50</c:v>
                </c:pt>
                <c:pt idx="25">
                  <c:v>52</c:v>
                </c:pt>
                <c:pt idx="26">
                  <c:v>54</c:v>
                </c:pt>
                <c:pt idx="27">
                  <c:v>56</c:v>
                </c:pt>
                <c:pt idx="28">
                  <c:v>58</c:v>
                </c:pt>
                <c:pt idx="29">
                  <c:v>60</c:v>
                </c:pt>
                <c:pt idx="30">
                  <c:v>62</c:v>
                </c:pt>
                <c:pt idx="31">
                  <c:v>64</c:v>
                </c:pt>
                <c:pt idx="32">
                  <c:v>66</c:v>
                </c:pt>
                <c:pt idx="33">
                  <c:v>68</c:v>
                </c:pt>
                <c:pt idx="34">
                  <c:v>70</c:v>
                </c:pt>
                <c:pt idx="35">
                  <c:v>72</c:v>
                </c:pt>
                <c:pt idx="36">
                  <c:v>74</c:v>
                </c:pt>
                <c:pt idx="37">
                  <c:v>76</c:v>
                </c:pt>
                <c:pt idx="38">
                  <c:v>78</c:v>
                </c:pt>
                <c:pt idx="39">
                  <c:v>80</c:v>
                </c:pt>
                <c:pt idx="40">
                  <c:v>82</c:v>
                </c:pt>
                <c:pt idx="41">
                  <c:v>84</c:v>
                </c:pt>
                <c:pt idx="42">
                  <c:v>86</c:v>
                </c:pt>
                <c:pt idx="43">
                  <c:v>88</c:v>
                </c:pt>
                <c:pt idx="44">
                  <c:v>90</c:v>
                </c:pt>
                <c:pt idx="45">
                  <c:v>92</c:v>
                </c:pt>
                <c:pt idx="46">
                  <c:v>94</c:v>
                </c:pt>
                <c:pt idx="47">
                  <c:v>96</c:v>
                </c:pt>
                <c:pt idx="48">
                  <c:v>98</c:v>
                </c:pt>
                <c:pt idx="49">
                  <c:v>100</c:v>
                </c:pt>
              </c:numCache>
            </c:numRef>
          </c:cat>
          <c:val>
            <c:numRef>
              <c:f>[gini.xlsx]Sheet2!$AC$5:$AC$54</c:f>
              <c:numCache>
                <c:formatCode>General</c:formatCode>
                <c:ptCount val="50"/>
                <c:pt idx="0">
                  <c:v>0</c:v>
                </c:pt>
                <c:pt idx="1">
                  <c:v>0.56095261606368785</c:v>
                </c:pt>
                <c:pt idx="2">
                  <c:v>0.7918678124266425</c:v>
                </c:pt>
                <c:pt idx="3">
                  <c:v>1.0227830087895973</c:v>
                </c:pt>
                <c:pt idx="4">
                  <c:v>1.2536982051525523</c:v>
                </c:pt>
                <c:pt idx="5">
                  <c:v>1.484613401515507</c:v>
                </c:pt>
                <c:pt idx="6">
                  <c:v>1.8336552858883759</c:v>
                </c:pt>
                <c:pt idx="7">
                  <c:v>2.1826971702612408</c:v>
                </c:pt>
                <c:pt idx="8">
                  <c:v>2.5317390546341061</c:v>
                </c:pt>
                <c:pt idx="9">
                  <c:v>2.8807809390069714</c:v>
                </c:pt>
                <c:pt idx="10">
                  <c:v>3.3743750629201514</c:v>
                </c:pt>
                <c:pt idx="11">
                  <c:v>3.8679691868333275</c:v>
                </c:pt>
                <c:pt idx="12">
                  <c:v>4.3615633107464973</c:v>
                </c:pt>
                <c:pt idx="13">
                  <c:v>4.8551574346596658</c:v>
                </c:pt>
                <c:pt idx="14">
                  <c:v>5.5065353105995207</c:v>
                </c:pt>
                <c:pt idx="15">
                  <c:v>6.1579131865393402</c:v>
                </c:pt>
                <c:pt idx="16">
                  <c:v>6.8092910624791587</c:v>
                </c:pt>
                <c:pt idx="17">
                  <c:v>7.4606689384189799</c:v>
                </c:pt>
                <c:pt idx="18">
                  <c:v>8.4683440327130253</c:v>
                </c:pt>
                <c:pt idx="19">
                  <c:v>9.4760191270070351</c:v>
                </c:pt>
                <c:pt idx="20">
                  <c:v>10.483694221301082</c:v>
                </c:pt>
                <c:pt idx="21">
                  <c:v>11.491369315595128</c:v>
                </c:pt>
                <c:pt idx="22">
                  <c:v>13.015316517179286</c:v>
                </c:pt>
                <c:pt idx="23">
                  <c:v>14.539263718763406</c:v>
                </c:pt>
                <c:pt idx="24">
                  <c:v>16.063210920347565</c:v>
                </c:pt>
                <c:pt idx="25">
                  <c:v>17.587158121931722</c:v>
                </c:pt>
                <c:pt idx="26">
                  <c:v>20.676293341560246</c:v>
                </c:pt>
                <c:pt idx="27">
                  <c:v>23.765428561188767</c:v>
                </c:pt>
                <c:pt idx="28">
                  <c:v>26.854563780817291</c:v>
                </c:pt>
                <c:pt idx="29">
                  <c:v>29.943699000445818</c:v>
                </c:pt>
                <c:pt idx="30">
                  <c:v>35.174760777985135</c:v>
                </c:pt>
                <c:pt idx="31">
                  <c:v>40.405822555524495</c:v>
                </c:pt>
                <c:pt idx="32">
                  <c:v>45.636884333063669</c:v>
                </c:pt>
                <c:pt idx="33">
                  <c:v>50.867946110602858</c:v>
                </c:pt>
                <c:pt idx="34">
                  <c:v>53.043632359126725</c:v>
                </c:pt>
                <c:pt idx="35">
                  <c:v>55.219318607650244</c:v>
                </c:pt>
                <c:pt idx="36">
                  <c:v>57.39500485617377</c:v>
                </c:pt>
                <c:pt idx="37">
                  <c:v>59.570691104697651</c:v>
                </c:pt>
                <c:pt idx="38">
                  <c:v>62.00048169283675</c:v>
                </c:pt>
                <c:pt idx="39">
                  <c:v>64.430272280976226</c:v>
                </c:pt>
                <c:pt idx="40">
                  <c:v>66.860062869115694</c:v>
                </c:pt>
                <c:pt idx="41">
                  <c:v>69.289853457255163</c:v>
                </c:pt>
                <c:pt idx="42">
                  <c:v>72.637936937206149</c:v>
                </c:pt>
                <c:pt idx="43">
                  <c:v>75.986020417157164</c:v>
                </c:pt>
                <c:pt idx="44">
                  <c:v>79.33410389710815</c:v>
                </c:pt>
                <c:pt idx="45">
                  <c:v>82.682187377059165</c:v>
                </c:pt>
                <c:pt idx="46">
                  <c:v>87.01164053279436</c:v>
                </c:pt>
                <c:pt idx="47">
                  <c:v>91.341093688529568</c:v>
                </c:pt>
                <c:pt idx="48">
                  <c:v>95.670546844264791</c:v>
                </c:pt>
                <c:pt idx="49">
                  <c:v>100</c:v>
                </c:pt>
              </c:numCache>
            </c:numRef>
          </c:val>
          <c:smooth val="0"/>
          <c:extLst>
            <c:ext xmlns:c16="http://schemas.microsoft.com/office/drawing/2014/chart" uri="{C3380CC4-5D6E-409C-BE32-E72D297353CC}">
              <c16:uniqueId val="{00000001-C330-42B1-A53F-EFC5E1CF8090}"/>
            </c:ext>
          </c:extLst>
        </c:ser>
        <c:dLbls>
          <c:showLegendKey val="0"/>
          <c:showVal val="0"/>
          <c:showCatName val="0"/>
          <c:showSerName val="0"/>
          <c:showPercent val="0"/>
          <c:showBubbleSize val="0"/>
        </c:dLbls>
        <c:smooth val="0"/>
        <c:axId val="27282224"/>
        <c:axId val="27284720"/>
      </c:lineChart>
      <c:catAx>
        <c:axId val="27282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Cumulative share of HH from lowest to the highest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84720"/>
        <c:crosses val="autoZero"/>
        <c:auto val="1"/>
        <c:lblAlgn val="ctr"/>
        <c:lblOffset val="100"/>
        <c:noMultiLvlLbl val="0"/>
      </c:catAx>
      <c:valAx>
        <c:axId val="2728472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lang="en-ZA" sz="1000" b="0" i="0" u="none" strike="noStrike" kern="1200" baseline="0">
                    <a:solidFill>
                      <a:sysClr val="windowText" lastClr="000000">
                        <a:lumMod val="65000"/>
                        <a:lumOff val="35000"/>
                      </a:sysClr>
                    </a:solidFill>
                    <a:latin typeface="+mn-lt"/>
                    <a:ea typeface="+mn-ea"/>
                    <a:cs typeface="+mn-cs"/>
                  </a:defRPr>
                </a:pPr>
                <a:r>
                  <a:rPr lang="en-ZA" sz="1000" b="0" i="0" u="none" strike="noStrike" kern="1200" baseline="0">
                    <a:solidFill>
                      <a:sysClr val="windowText" lastClr="000000">
                        <a:lumMod val="65000"/>
                        <a:lumOff val="35000"/>
                      </a:sysClr>
                    </a:solidFill>
                    <a:latin typeface="+mn-lt"/>
                    <a:ea typeface="+mn-ea"/>
                    <a:cs typeface="+mn-cs"/>
                  </a:rPr>
                  <a:t>Cumulative share of income</a:t>
                </a:r>
              </a:p>
              <a:p>
                <a:pPr marL="0" marR="0" lvl="0" indent="0" algn="ctr" defTabSz="914400" rtl="0" eaLnBrk="1" fontAlgn="auto" latinLnBrk="0" hangingPunct="1">
                  <a:lnSpc>
                    <a:spcPct val="100000"/>
                  </a:lnSpc>
                  <a:spcBef>
                    <a:spcPts val="0"/>
                  </a:spcBef>
                  <a:spcAft>
                    <a:spcPts val="0"/>
                  </a:spcAft>
                  <a:buClrTx/>
                  <a:buSzTx/>
                  <a:buFontTx/>
                  <a:buNone/>
                  <a:tabLst/>
                  <a:defRPr lang="en-ZA">
                    <a:solidFill>
                      <a:sysClr val="windowText" lastClr="000000">
                        <a:lumMod val="65000"/>
                        <a:lumOff val="35000"/>
                      </a:sysClr>
                    </a:solidFill>
                  </a:defRPr>
                </a:pPr>
                <a:r>
                  <a:rPr lang="en-ZA" sz="1000" b="0" i="0" u="none" strike="noStrike" kern="1200" baseline="0">
                    <a:solidFill>
                      <a:sysClr val="windowText" lastClr="000000">
                        <a:lumMod val="65000"/>
                        <a:lumOff val="35000"/>
                      </a:sysClr>
                    </a:solidFill>
                    <a:latin typeface="+mn-lt"/>
                    <a:ea typeface="+mn-ea"/>
                    <a:cs typeface="+mn-cs"/>
                  </a:rPr>
                  <a:t> </a:t>
                </a:r>
              </a:p>
            </c:rich>
          </c:tx>
          <c:layout>
            <c:manualLayout>
              <c:xMode val="edge"/>
              <c:yMode val="edge"/>
              <c:x val="3.6111111111111108E-2"/>
              <c:y val="0.14053949903660887"/>
            </c:manualLayout>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lang="en-ZA"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8222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Sheet2!$B$24</c:f>
              <c:strCache>
                <c:ptCount val="1"/>
                <c:pt idx="0">
                  <c:v>Durable goods: Recreational and entertainment goods</c:v>
                </c:pt>
              </c:strCache>
            </c:strRef>
          </c:tx>
          <c:spPr>
            <a:ln w="28575" cap="rnd">
              <a:solidFill>
                <a:schemeClr val="accent1"/>
              </a:solidFill>
              <a:round/>
            </a:ln>
            <a:effectLst/>
          </c:spPr>
          <c:marker>
            <c:symbol val="none"/>
          </c:marker>
          <c:cat>
            <c:numRef>
              <c:f>Sheet2!$C$23:$BA$23</c:f>
              <c:numCache>
                <c:formatCode>General</c:formatCode>
                <c:ptCount val="51"/>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pt idx="47">
                  <c:v>2017</c:v>
                </c:pt>
                <c:pt idx="48">
                  <c:v>2018</c:v>
                </c:pt>
                <c:pt idx="49">
                  <c:v>2019</c:v>
                </c:pt>
                <c:pt idx="50">
                  <c:v>2020</c:v>
                </c:pt>
              </c:numCache>
            </c:numRef>
          </c:cat>
          <c:val>
            <c:numRef>
              <c:f>Sheet2!$C$24:$BA$24</c:f>
              <c:numCache>
                <c:formatCode>_-"R"* #\ ##0_-;\-"R"* #\ ##0_-;_-"R"* "-"??_-;_-@_-</c:formatCode>
                <c:ptCount val="51"/>
                <c:pt idx="0">
                  <c:v>779.89816013452821</c:v>
                </c:pt>
                <c:pt idx="1">
                  <c:v>893.88089808076052</c:v>
                </c:pt>
                <c:pt idx="2">
                  <c:v>1069.3764993956502</c:v>
                </c:pt>
                <c:pt idx="3">
                  <c:v>1146.4049461119967</c:v>
                </c:pt>
                <c:pt idx="4">
                  <c:v>1091.556259108653</c:v>
                </c:pt>
                <c:pt idx="5">
                  <c:v>2049.7111155304397</c:v>
                </c:pt>
                <c:pt idx="6">
                  <c:v>2506.7002844369986</c:v>
                </c:pt>
                <c:pt idx="7">
                  <c:v>2026.9380953265411</c:v>
                </c:pt>
                <c:pt idx="8">
                  <c:v>1998.7282933436582</c:v>
                </c:pt>
                <c:pt idx="9">
                  <c:v>2085.0917742397824</c:v>
                </c:pt>
                <c:pt idx="10">
                  <c:v>2533.7730592860253</c:v>
                </c:pt>
                <c:pt idx="11">
                  <c:v>2904.2060785683188</c:v>
                </c:pt>
                <c:pt idx="12">
                  <c:v>3122.2904959470161</c:v>
                </c:pt>
                <c:pt idx="13">
                  <c:v>3791.3894104185397</c:v>
                </c:pt>
                <c:pt idx="14">
                  <c:v>3626.0314457994</c:v>
                </c:pt>
                <c:pt idx="15">
                  <c:v>2848.4779220922487</c:v>
                </c:pt>
                <c:pt idx="16">
                  <c:v>2345.116708822381</c:v>
                </c:pt>
                <c:pt idx="17">
                  <c:v>2415.078455987129</c:v>
                </c:pt>
                <c:pt idx="18">
                  <c:v>3083.5578420161751</c:v>
                </c:pt>
                <c:pt idx="19">
                  <c:v>3446.7152598368248</c:v>
                </c:pt>
                <c:pt idx="20">
                  <c:v>3921.647476765947</c:v>
                </c:pt>
                <c:pt idx="21">
                  <c:v>3999.1338697763736</c:v>
                </c:pt>
                <c:pt idx="22">
                  <c:v>7365.008572984766</c:v>
                </c:pt>
                <c:pt idx="23">
                  <c:v>6524.7396823999998</c:v>
                </c:pt>
                <c:pt idx="24">
                  <c:v>6436.5145364</c:v>
                </c:pt>
                <c:pt idx="25">
                  <c:v>6189.4841278000004</c:v>
                </c:pt>
                <c:pt idx="26">
                  <c:v>6456.1201244000003</c:v>
                </c:pt>
                <c:pt idx="27">
                  <c:v>6781.5728849999996</c:v>
                </c:pt>
                <c:pt idx="28">
                  <c:v>7714.7988732000013</c:v>
                </c:pt>
                <c:pt idx="29">
                  <c:v>8455.8900991999999</c:v>
                </c:pt>
                <c:pt idx="30">
                  <c:v>9969.4414918000002</c:v>
                </c:pt>
                <c:pt idx="31">
                  <c:v>10610.544218999999</c:v>
                </c:pt>
                <c:pt idx="32">
                  <c:v>8795.0667713999901</c:v>
                </c:pt>
                <c:pt idx="33">
                  <c:v>10328.223752</c:v>
                </c:pt>
                <c:pt idx="34">
                  <c:v>13076.927187900001</c:v>
                </c:pt>
                <c:pt idx="35">
                  <c:v>15523.7045688</c:v>
                </c:pt>
                <c:pt idx="36">
                  <c:v>21803.3744013</c:v>
                </c:pt>
                <c:pt idx="37">
                  <c:v>25397.078679499999</c:v>
                </c:pt>
                <c:pt idx="38">
                  <c:v>28545.7361103</c:v>
                </c:pt>
                <c:pt idx="39">
                  <c:v>27261.570097100001</c:v>
                </c:pt>
                <c:pt idx="40">
                  <c:v>32135.5192709</c:v>
                </c:pt>
                <c:pt idx="41">
                  <c:v>38738.756532500003</c:v>
                </c:pt>
                <c:pt idx="42">
                  <c:v>43607.445700099997</c:v>
                </c:pt>
                <c:pt idx="43">
                  <c:v>45602.054187399997</c:v>
                </c:pt>
                <c:pt idx="44">
                  <c:v>47852.204338800002</c:v>
                </c:pt>
                <c:pt idx="45">
                  <c:v>54581.288177800001</c:v>
                </c:pt>
                <c:pt idx="46">
                  <c:v>58374.752437499999</c:v>
                </c:pt>
                <c:pt idx="47">
                  <c:v>65279.963739300001</c:v>
                </c:pt>
                <c:pt idx="48">
                  <c:v>70436.757473299906</c:v>
                </c:pt>
                <c:pt idx="49">
                  <c:v>72319.871839900006</c:v>
                </c:pt>
                <c:pt idx="50">
                  <c:v>74008.233087400004</c:v>
                </c:pt>
              </c:numCache>
            </c:numRef>
          </c:val>
          <c:smooth val="0"/>
          <c:extLst>
            <c:ext xmlns:c16="http://schemas.microsoft.com/office/drawing/2014/chart" uri="{C3380CC4-5D6E-409C-BE32-E72D297353CC}">
              <c16:uniqueId val="{00000000-3B54-400E-BFB7-3A50566344CF}"/>
            </c:ext>
          </c:extLst>
        </c:ser>
        <c:ser>
          <c:idx val="1"/>
          <c:order val="1"/>
          <c:tx>
            <c:strRef>
              <c:f>Sheet2!$B$25</c:f>
              <c:strCache>
                <c:ptCount val="1"/>
                <c:pt idx="0">
                  <c:v>Semi-durable goods: Recreational and entertainment goods</c:v>
                </c:pt>
              </c:strCache>
            </c:strRef>
          </c:tx>
          <c:spPr>
            <a:ln w="28575" cap="rnd">
              <a:solidFill>
                <a:schemeClr val="accent2"/>
              </a:solidFill>
              <a:round/>
            </a:ln>
            <a:effectLst/>
          </c:spPr>
          <c:marker>
            <c:symbol val="none"/>
          </c:marker>
          <c:cat>
            <c:numRef>
              <c:f>Sheet2!$C$23:$BA$23</c:f>
              <c:numCache>
                <c:formatCode>General</c:formatCode>
                <c:ptCount val="51"/>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pt idx="47">
                  <c:v>2017</c:v>
                </c:pt>
                <c:pt idx="48">
                  <c:v>2018</c:v>
                </c:pt>
                <c:pt idx="49">
                  <c:v>2019</c:v>
                </c:pt>
                <c:pt idx="50">
                  <c:v>2020</c:v>
                </c:pt>
              </c:numCache>
            </c:numRef>
          </c:cat>
          <c:val>
            <c:numRef>
              <c:f>Sheet2!$C$25:$BA$25</c:f>
              <c:numCache>
                <c:formatCode>_-"R"* #\ ##0_-;\-"R"* #\ ##0_-;_-"R"* "-"??_-;_-@_-</c:formatCode>
                <c:ptCount val="51"/>
                <c:pt idx="0">
                  <c:v>3121.0663824833532</c:v>
                </c:pt>
                <c:pt idx="1">
                  <c:v>3237.0233245762884</c:v>
                </c:pt>
                <c:pt idx="2">
                  <c:v>3275.4677074166098</c:v>
                </c:pt>
                <c:pt idx="3">
                  <c:v>3274.8091171009787</c:v>
                </c:pt>
                <c:pt idx="4">
                  <c:v>3938.0923805289544</c:v>
                </c:pt>
                <c:pt idx="5">
                  <c:v>3929.0580432808806</c:v>
                </c:pt>
                <c:pt idx="6">
                  <c:v>4066.1375001616416</c:v>
                </c:pt>
                <c:pt idx="7">
                  <c:v>3971.6151532765548</c:v>
                </c:pt>
                <c:pt idx="8">
                  <c:v>3502.8000735267419</c:v>
                </c:pt>
                <c:pt idx="9">
                  <c:v>3413.4813000175054</c:v>
                </c:pt>
                <c:pt idx="10">
                  <c:v>4080.8324256891897</c:v>
                </c:pt>
                <c:pt idx="11">
                  <c:v>4606.3945189270535</c:v>
                </c:pt>
                <c:pt idx="12">
                  <c:v>4655.7128375113252</c:v>
                </c:pt>
                <c:pt idx="13">
                  <c:v>4938.4636631052481</c:v>
                </c:pt>
                <c:pt idx="14">
                  <c:v>4713.5284642973702</c:v>
                </c:pt>
                <c:pt idx="15">
                  <c:v>4306.5903738316201</c:v>
                </c:pt>
                <c:pt idx="16">
                  <c:v>3925.5746288756941</c:v>
                </c:pt>
                <c:pt idx="17">
                  <c:v>3778.3519098131965</c:v>
                </c:pt>
                <c:pt idx="18">
                  <c:v>4549.4292316593701</c:v>
                </c:pt>
                <c:pt idx="19">
                  <c:v>5516.4696008954861</c:v>
                </c:pt>
                <c:pt idx="20">
                  <c:v>6075.7231316246944</c:v>
                </c:pt>
                <c:pt idx="21">
                  <c:v>6057.9971353239707</c:v>
                </c:pt>
                <c:pt idx="22">
                  <c:v>5788.9764985703132</c:v>
                </c:pt>
                <c:pt idx="23">
                  <c:v>5717.3038370000004</c:v>
                </c:pt>
                <c:pt idx="24">
                  <c:v>5747.4520327999999</c:v>
                </c:pt>
                <c:pt idx="25">
                  <c:v>6007.9324438000003</c:v>
                </c:pt>
                <c:pt idx="26">
                  <c:v>6142.9963606000001</c:v>
                </c:pt>
                <c:pt idx="27">
                  <c:v>6430.0071839000002</c:v>
                </c:pt>
                <c:pt idx="28">
                  <c:v>6871.3767692999991</c:v>
                </c:pt>
                <c:pt idx="29">
                  <c:v>7362.1893957000002</c:v>
                </c:pt>
                <c:pt idx="30">
                  <c:v>7722.7618166000011</c:v>
                </c:pt>
                <c:pt idx="31">
                  <c:v>8062.8334642999998</c:v>
                </c:pt>
                <c:pt idx="32">
                  <c:v>8535.5571732999997</c:v>
                </c:pt>
                <c:pt idx="33">
                  <c:v>8630.8254718000007</c:v>
                </c:pt>
                <c:pt idx="34">
                  <c:v>9487.0342302999998</c:v>
                </c:pt>
                <c:pt idx="35">
                  <c:v>10536.191441499999</c:v>
                </c:pt>
                <c:pt idx="36">
                  <c:v>12367.995813699999</c:v>
                </c:pt>
                <c:pt idx="37">
                  <c:v>13090.3465832</c:v>
                </c:pt>
                <c:pt idx="38">
                  <c:v>13707.781631600001</c:v>
                </c:pt>
                <c:pt idx="39">
                  <c:v>12724.950451000001</c:v>
                </c:pt>
                <c:pt idx="40">
                  <c:v>12457.234473</c:v>
                </c:pt>
                <c:pt idx="41">
                  <c:v>13534.3838861</c:v>
                </c:pt>
                <c:pt idx="42">
                  <c:v>14866.4425935</c:v>
                </c:pt>
                <c:pt idx="43">
                  <c:v>15290.476814400001</c:v>
                </c:pt>
                <c:pt idx="44">
                  <c:v>15881.9237871</c:v>
                </c:pt>
                <c:pt idx="45">
                  <c:v>16434.574942200001</c:v>
                </c:pt>
                <c:pt idx="46">
                  <c:v>16351.153724600001</c:v>
                </c:pt>
                <c:pt idx="47">
                  <c:v>17729.266399100001</c:v>
                </c:pt>
                <c:pt idx="48">
                  <c:v>19228.467129000001</c:v>
                </c:pt>
                <c:pt idx="49">
                  <c:v>19387.018227500001</c:v>
                </c:pt>
                <c:pt idx="50">
                  <c:v>15720.639347300001</c:v>
                </c:pt>
              </c:numCache>
            </c:numRef>
          </c:val>
          <c:smooth val="0"/>
          <c:extLst>
            <c:ext xmlns:c16="http://schemas.microsoft.com/office/drawing/2014/chart" uri="{C3380CC4-5D6E-409C-BE32-E72D297353CC}">
              <c16:uniqueId val="{00000001-3B54-400E-BFB7-3A50566344CF}"/>
            </c:ext>
          </c:extLst>
        </c:ser>
        <c:ser>
          <c:idx val="2"/>
          <c:order val="2"/>
          <c:tx>
            <c:strRef>
              <c:f>Sheet2!$B$26</c:f>
              <c:strCache>
                <c:ptCount val="1"/>
                <c:pt idx="0">
                  <c:v>Non-durable goods: Recreational and entertainment goods</c:v>
                </c:pt>
              </c:strCache>
            </c:strRef>
          </c:tx>
          <c:spPr>
            <a:ln w="28575" cap="rnd">
              <a:solidFill>
                <a:schemeClr val="accent3"/>
              </a:solidFill>
              <a:round/>
            </a:ln>
            <a:effectLst/>
          </c:spPr>
          <c:marker>
            <c:symbol val="none"/>
          </c:marker>
          <c:cat>
            <c:numRef>
              <c:f>Sheet2!$C$23:$BA$23</c:f>
              <c:numCache>
                <c:formatCode>General</c:formatCode>
                <c:ptCount val="51"/>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pt idx="47">
                  <c:v>2017</c:v>
                </c:pt>
                <c:pt idx="48">
                  <c:v>2018</c:v>
                </c:pt>
                <c:pt idx="49">
                  <c:v>2019</c:v>
                </c:pt>
                <c:pt idx="50">
                  <c:v>2020</c:v>
                </c:pt>
              </c:numCache>
            </c:numRef>
          </c:cat>
          <c:val>
            <c:numRef>
              <c:f>Sheet2!$C$26:$BA$26</c:f>
              <c:numCache>
                <c:formatCode>_-"R"* #\ ##0_-;\-"R"* #\ ##0_-;_-"R"* "-"??_-;_-@_-</c:formatCode>
                <c:ptCount val="51"/>
                <c:pt idx="0">
                  <c:v>6271.0840709725699</c:v>
                </c:pt>
                <c:pt idx="1">
                  <c:v>7055.9355636638556</c:v>
                </c:pt>
                <c:pt idx="2">
                  <c:v>7293.5478973764284</c:v>
                </c:pt>
                <c:pt idx="3">
                  <c:v>8116.4358595593912</c:v>
                </c:pt>
                <c:pt idx="4">
                  <c:v>8319.7962727137219</c:v>
                </c:pt>
                <c:pt idx="5">
                  <c:v>8843.1189536764941</c:v>
                </c:pt>
                <c:pt idx="6">
                  <c:v>9015.7653563584045</c:v>
                </c:pt>
                <c:pt idx="7">
                  <c:v>9158.21400591372</c:v>
                </c:pt>
                <c:pt idx="8">
                  <c:v>8980.2834914899231</c:v>
                </c:pt>
                <c:pt idx="9">
                  <c:v>8780.5097854809774</c:v>
                </c:pt>
                <c:pt idx="10">
                  <c:v>9391.2371364557948</c:v>
                </c:pt>
                <c:pt idx="11">
                  <c:v>10293.964323624454</c:v>
                </c:pt>
                <c:pt idx="12">
                  <c:v>10664.459158061851</c:v>
                </c:pt>
                <c:pt idx="13">
                  <c:v>11003.275824296201</c:v>
                </c:pt>
                <c:pt idx="14">
                  <c:v>11206.949093122799</c:v>
                </c:pt>
                <c:pt idx="15">
                  <c:v>10673.286002696344</c:v>
                </c:pt>
                <c:pt idx="16">
                  <c:v>10160.455956185715</c:v>
                </c:pt>
                <c:pt idx="17">
                  <c:v>10235.107887273576</c:v>
                </c:pt>
                <c:pt idx="18">
                  <c:v>11138.750835495712</c:v>
                </c:pt>
                <c:pt idx="19">
                  <c:v>12336.568177079582</c:v>
                </c:pt>
                <c:pt idx="20">
                  <c:v>13721.411105295991</c:v>
                </c:pt>
                <c:pt idx="21">
                  <c:v>13336.250274747827</c:v>
                </c:pt>
                <c:pt idx="22">
                  <c:v>13197.645595808244</c:v>
                </c:pt>
                <c:pt idx="23">
                  <c:v>14817.581485799999</c:v>
                </c:pt>
                <c:pt idx="24">
                  <c:v>12875.710213099999</c:v>
                </c:pt>
                <c:pt idx="25">
                  <c:v>13330.603253200001</c:v>
                </c:pt>
                <c:pt idx="26">
                  <c:v>13515.5433744</c:v>
                </c:pt>
                <c:pt idx="27">
                  <c:v>13642.3168446</c:v>
                </c:pt>
                <c:pt idx="28">
                  <c:v>13785.4962932</c:v>
                </c:pt>
                <c:pt idx="29">
                  <c:v>14425.329454500001</c:v>
                </c:pt>
                <c:pt idx="30">
                  <c:v>14710.196899299999</c:v>
                </c:pt>
                <c:pt idx="31">
                  <c:v>15093.500215</c:v>
                </c:pt>
                <c:pt idx="32">
                  <c:v>15451.448836699999</c:v>
                </c:pt>
                <c:pt idx="33">
                  <c:v>15625.948789800001</c:v>
                </c:pt>
                <c:pt idx="34">
                  <c:v>16180.769153400001</c:v>
                </c:pt>
                <c:pt idx="35">
                  <c:v>17364.9825102</c:v>
                </c:pt>
                <c:pt idx="36">
                  <c:v>19233.772605999999</c:v>
                </c:pt>
                <c:pt idx="37">
                  <c:v>20383.6825532</c:v>
                </c:pt>
                <c:pt idx="38">
                  <c:v>20831.118330400001</c:v>
                </c:pt>
                <c:pt idx="39">
                  <c:v>20054.0715308</c:v>
                </c:pt>
                <c:pt idx="40">
                  <c:v>19892.994651000001</c:v>
                </c:pt>
                <c:pt idx="41">
                  <c:v>22320.562676500002</c:v>
                </c:pt>
                <c:pt idx="42">
                  <c:v>24463.969344100002</c:v>
                </c:pt>
                <c:pt idx="43">
                  <c:v>24818.287632799998</c:v>
                </c:pt>
                <c:pt idx="44">
                  <c:v>25346.6484065</c:v>
                </c:pt>
                <c:pt idx="45">
                  <c:v>26056.254060800002</c:v>
                </c:pt>
                <c:pt idx="46">
                  <c:v>26318.210077200001</c:v>
                </c:pt>
                <c:pt idx="47">
                  <c:v>26008.257718199999</c:v>
                </c:pt>
                <c:pt idx="48">
                  <c:v>26294.728019999999</c:v>
                </c:pt>
                <c:pt idx="49">
                  <c:v>25434.9183868</c:v>
                </c:pt>
                <c:pt idx="50">
                  <c:v>19872.327965</c:v>
                </c:pt>
              </c:numCache>
            </c:numRef>
          </c:val>
          <c:smooth val="0"/>
          <c:extLst>
            <c:ext xmlns:c16="http://schemas.microsoft.com/office/drawing/2014/chart" uri="{C3380CC4-5D6E-409C-BE32-E72D297353CC}">
              <c16:uniqueId val="{00000002-3B54-400E-BFB7-3A50566344CF}"/>
            </c:ext>
          </c:extLst>
        </c:ser>
        <c:ser>
          <c:idx val="3"/>
          <c:order val="3"/>
          <c:tx>
            <c:strRef>
              <c:f>Sheet2!$B$27</c:f>
              <c:strCache>
                <c:ptCount val="1"/>
                <c:pt idx="0">
                  <c:v>Services: Recreational, entertainment and educational services</c:v>
                </c:pt>
              </c:strCache>
            </c:strRef>
          </c:tx>
          <c:spPr>
            <a:ln w="28575" cap="rnd">
              <a:solidFill>
                <a:schemeClr val="accent4"/>
              </a:solidFill>
              <a:round/>
            </a:ln>
            <a:effectLst/>
          </c:spPr>
          <c:marker>
            <c:symbol val="none"/>
          </c:marker>
          <c:cat>
            <c:numRef>
              <c:f>Sheet2!$C$23:$BA$23</c:f>
              <c:numCache>
                <c:formatCode>General</c:formatCode>
                <c:ptCount val="51"/>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pt idx="47">
                  <c:v>2017</c:v>
                </c:pt>
                <c:pt idx="48">
                  <c:v>2018</c:v>
                </c:pt>
                <c:pt idx="49">
                  <c:v>2019</c:v>
                </c:pt>
                <c:pt idx="50">
                  <c:v>2020</c:v>
                </c:pt>
              </c:numCache>
            </c:numRef>
          </c:cat>
          <c:val>
            <c:numRef>
              <c:f>Sheet2!$C$27:$BA$27</c:f>
              <c:numCache>
                <c:formatCode>_-"R"* #\ ##0_-;\-"R"* #\ ##0_-;_-"R"* "-"??_-;_-@_-</c:formatCode>
                <c:ptCount val="51"/>
                <c:pt idx="0">
                  <c:v>60249.337055411117</c:v>
                </c:pt>
                <c:pt idx="1">
                  <c:v>66215.897967688579</c:v>
                </c:pt>
                <c:pt idx="2">
                  <c:v>69141.155491047539</c:v>
                </c:pt>
                <c:pt idx="3">
                  <c:v>74872.739888868426</c:v>
                </c:pt>
                <c:pt idx="4">
                  <c:v>78397.070823105852</c:v>
                </c:pt>
                <c:pt idx="5">
                  <c:v>85538.518811066431</c:v>
                </c:pt>
                <c:pt idx="6">
                  <c:v>84634.112293825994</c:v>
                </c:pt>
                <c:pt idx="7">
                  <c:v>82737.479845333452</c:v>
                </c:pt>
                <c:pt idx="8">
                  <c:v>80380.518915111112</c:v>
                </c:pt>
                <c:pt idx="9">
                  <c:v>80891.428312535689</c:v>
                </c:pt>
                <c:pt idx="10">
                  <c:v>89773.958760643713</c:v>
                </c:pt>
                <c:pt idx="11">
                  <c:v>90412.82608698972</c:v>
                </c:pt>
                <c:pt idx="12">
                  <c:v>91060.961751681461</c:v>
                </c:pt>
                <c:pt idx="13">
                  <c:v>91604.926312596377</c:v>
                </c:pt>
                <c:pt idx="14">
                  <c:v>96459.186289510122</c:v>
                </c:pt>
                <c:pt idx="15">
                  <c:v>94842.416895554954</c:v>
                </c:pt>
                <c:pt idx="16">
                  <c:v>85738.34679848759</c:v>
                </c:pt>
                <c:pt idx="17">
                  <c:v>83460.275384375695</c:v>
                </c:pt>
                <c:pt idx="18">
                  <c:v>81333.142612014402</c:v>
                </c:pt>
                <c:pt idx="19">
                  <c:v>78517.234146855117</c:v>
                </c:pt>
                <c:pt idx="20">
                  <c:v>75740.015713027416</c:v>
                </c:pt>
                <c:pt idx="21">
                  <c:v>72809.522363505574</c:v>
                </c:pt>
                <c:pt idx="22">
                  <c:v>71850.423664054586</c:v>
                </c:pt>
                <c:pt idx="23">
                  <c:v>70383.001897199996</c:v>
                </c:pt>
                <c:pt idx="24">
                  <c:v>76758.757344600002</c:v>
                </c:pt>
                <c:pt idx="25">
                  <c:v>85061.0155352</c:v>
                </c:pt>
                <c:pt idx="26">
                  <c:v>85952.157586300003</c:v>
                </c:pt>
                <c:pt idx="27">
                  <c:v>87334.073520499995</c:v>
                </c:pt>
                <c:pt idx="28">
                  <c:v>117277.73794619998</c:v>
                </c:pt>
                <c:pt idx="29">
                  <c:v>126918.86173049999</c:v>
                </c:pt>
                <c:pt idx="30">
                  <c:v>139153.7685377</c:v>
                </c:pt>
                <c:pt idx="31">
                  <c:v>143908.67866040001</c:v>
                </c:pt>
                <c:pt idx="32">
                  <c:v>148289.0508196</c:v>
                </c:pt>
                <c:pt idx="33">
                  <c:v>153876.98503340001</c:v>
                </c:pt>
                <c:pt idx="34">
                  <c:v>161085.76457209999</c:v>
                </c:pt>
                <c:pt idx="35">
                  <c:v>165235.81740890001</c:v>
                </c:pt>
                <c:pt idx="36">
                  <c:v>170468.5863125</c:v>
                </c:pt>
                <c:pt idx="37">
                  <c:v>177014.3906054</c:v>
                </c:pt>
                <c:pt idx="38">
                  <c:v>186446.72023760001</c:v>
                </c:pt>
                <c:pt idx="39">
                  <c:v>186326.43032079999</c:v>
                </c:pt>
                <c:pt idx="40">
                  <c:v>185602.93356129999</c:v>
                </c:pt>
                <c:pt idx="41">
                  <c:v>189977.8232592</c:v>
                </c:pt>
                <c:pt idx="42">
                  <c:v>197896.94934359999</c:v>
                </c:pt>
                <c:pt idx="43">
                  <c:v>201456.0040781</c:v>
                </c:pt>
                <c:pt idx="44">
                  <c:v>205416.3393081</c:v>
                </c:pt>
                <c:pt idx="45">
                  <c:v>210848.2278317</c:v>
                </c:pt>
                <c:pt idx="46">
                  <c:v>218607.3150532</c:v>
                </c:pt>
                <c:pt idx="47">
                  <c:v>221553.20188800001</c:v>
                </c:pt>
                <c:pt idx="48">
                  <c:v>225990.79619200001</c:v>
                </c:pt>
                <c:pt idx="49">
                  <c:v>226032.95014279999</c:v>
                </c:pt>
                <c:pt idx="50">
                  <c:v>204439.04678440001</c:v>
                </c:pt>
              </c:numCache>
            </c:numRef>
          </c:val>
          <c:smooth val="0"/>
          <c:extLst>
            <c:ext xmlns:c16="http://schemas.microsoft.com/office/drawing/2014/chart" uri="{C3380CC4-5D6E-409C-BE32-E72D297353CC}">
              <c16:uniqueId val="{00000003-3B54-400E-BFB7-3A50566344CF}"/>
            </c:ext>
          </c:extLst>
        </c:ser>
        <c:dLbls>
          <c:showLegendKey val="0"/>
          <c:showVal val="0"/>
          <c:showCatName val="0"/>
          <c:showSerName val="0"/>
          <c:showPercent val="0"/>
          <c:showBubbleSize val="0"/>
        </c:dLbls>
        <c:smooth val="0"/>
        <c:axId val="1430090191"/>
        <c:axId val="1430085615"/>
      </c:lineChart>
      <c:catAx>
        <c:axId val="14300901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0085615"/>
        <c:crosses val="autoZero"/>
        <c:auto val="1"/>
        <c:lblAlgn val="ctr"/>
        <c:lblOffset val="100"/>
        <c:noMultiLvlLbl val="0"/>
      </c:catAx>
      <c:valAx>
        <c:axId val="14300856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Expenditure on GDP - Rm 2015 constant prices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quot;R&quot;* #\ ##0_-;\-&quot;R&quot;* #\ ##0_-;_-&quot;R&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00901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Sheet2!$B$36</c:f>
              <c:strCache>
                <c:ptCount val="1"/>
                <c:pt idx="0">
                  <c:v>Durable goods: Recreational and entertainment goods</c:v>
                </c:pt>
              </c:strCache>
            </c:strRef>
          </c:tx>
          <c:spPr>
            <a:ln w="28575" cap="rnd">
              <a:solidFill>
                <a:schemeClr val="accent1"/>
              </a:solidFill>
              <a:round/>
            </a:ln>
            <a:effectLst/>
          </c:spPr>
          <c:marker>
            <c:symbol val="none"/>
          </c:marker>
          <c:cat>
            <c:numRef>
              <c:f>Sheet2!$C$35:$BA$35</c:f>
              <c:numCache>
                <c:formatCode>General</c:formatCode>
                <c:ptCount val="51"/>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pt idx="47">
                  <c:v>2017</c:v>
                </c:pt>
                <c:pt idx="48">
                  <c:v>2018</c:v>
                </c:pt>
                <c:pt idx="49">
                  <c:v>2019</c:v>
                </c:pt>
                <c:pt idx="50">
                  <c:v>2020</c:v>
                </c:pt>
              </c:numCache>
            </c:numRef>
          </c:cat>
          <c:val>
            <c:numRef>
              <c:f>Sheet2!$C$36:$BA$36</c:f>
              <c:numCache>
                <c:formatCode>General</c:formatCode>
                <c:ptCount val="51"/>
                <c:pt idx="0">
                  <c:v>1.4288745945203585</c:v>
                </c:pt>
                <c:pt idx="1">
                  <c:v>1.6377057558057622</c:v>
                </c:pt>
                <c:pt idx="2">
                  <c:v>1.9592364619759939</c:v>
                </c:pt>
                <c:pt idx="3">
                  <c:v>2.100362568170894</c:v>
                </c:pt>
                <c:pt idx="4">
                  <c:v>1.9998726588366316</c:v>
                </c:pt>
                <c:pt idx="5">
                  <c:v>3.7553366436743874</c:v>
                </c:pt>
                <c:pt idx="6">
                  <c:v>4.592600079850361</c:v>
                </c:pt>
                <c:pt idx="7">
                  <c:v>3.7136135166391386</c:v>
                </c:pt>
                <c:pt idx="8">
                  <c:v>3.661929500148013</c:v>
                </c:pt>
                <c:pt idx="9">
                  <c:v>3.820158599862173</c:v>
                </c:pt>
                <c:pt idx="10">
                  <c:v>4.6422009151418191</c:v>
                </c:pt>
                <c:pt idx="11">
                  <c:v>5.3208822575014905</c:v>
                </c:pt>
                <c:pt idx="12">
                  <c:v>5.7204411991451574</c:v>
                </c:pt>
                <c:pt idx="13">
                  <c:v>6.9463172031923985</c:v>
                </c:pt>
                <c:pt idx="14">
                  <c:v>6.6433599624609556</c:v>
                </c:pt>
                <c:pt idx="15">
                  <c:v>5.2187810460120616</c:v>
                </c:pt>
                <c:pt idx="16">
                  <c:v>4.2965580093732871</c:v>
                </c:pt>
                <c:pt idx="17">
                  <c:v>4.4247370053267092</c:v>
                </c:pt>
                <c:pt idx="18">
                  <c:v>5.6494779529046717</c:v>
                </c:pt>
                <c:pt idx="19">
                  <c:v>6.3148294496257726</c:v>
                </c:pt>
                <c:pt idx="20">
                  <c:v>7.1849668772768354</c:v>
                </c:pt>
                <c:pt idx="21">
                  <c:v>7.3269320004853835</c:v>
                </c:pt>
                <c:pt idx="22">
                  <c:v>13.493651064066231</c:v>
                </c:pt>
                <c:pt idx="23">
                  <c:v>11.954169460320333</c:v>
                </c:pt>
                <c:pt idx="24">
                  <c:v>11.792529548648398</c:v>
                </c:pt>
                <c:pt idx="25">
                  <c:v>11.339937796333407</c:v>
                </c:pt>
                <c:pt idx="26">
                  <c:v>11.82844952901994</c:v>
                </c:pt>
                <c:pt idx="27">
                  <c:v>12.424721202821093</c:v>
                </c:pt>
                <c:pt idx="28">
                  <c:v>14.134512267407171</c:v>
                </c:pt>
                <c:pt idx="29">
                  <c:v>15.492287524718568</c:v>
                </c:pt>
                <c:pt idx="30">
                  <c:v>18.265310007569404</c:v>
                </c:pt>
                <c:pt idx="31">
                  <c:v>19.439893364985945</c:v>
                </c:pt>
                <c:pt idx="32">
                  <c:v>16.113703184779784</c:v>
                </c:pt>
                <c:pt idx="33">
                  <c:v>18.922645648002177</c:v>
                </c:pt>
                <c:pt idx="34">
                  <c:v>23.958626892977612</c:v>
                </c:pt>
                <c:pt idx="35">
                  <c:v>28.441440440597738</c:v>
                </c:pt>
                <c:pt idx="36">
                  <c:v>39.946610146457019</c:v>
                </c:pt>
                <c:pt idx="37">
                  <c:v>46.530742544529801</c:v>
                </c:pt>
                <c:pt idx="38">
                  <c:v>52.299491388535039</c:v>
                </c:pt>
                <c:pt idx="39">
                  <c:v>49.946732675664798</c:v>
                </c:pt>
                <c:pt idx="40">
                  <c:v>58.87643979053351</c:v>
                </c:pt>
                <c:pt idx="41">
                  <c:v>70.974426998328568</c:v>
                </c:pt>
                <c:pt idx="42">
                  <c:v>79.894497099532686</c:v>
                </c:pt>
                <c:pt idx="43">
                  <c:v>83.548878580604566</c:v>
                </c:pt>
                <c:pt idx="44">
                  <c:v>87.671445538112209</c:v>
                </c:pt>
                <c:pt idx="45">
                  <c:v>100</c:v>
                </c:pt>
                <c:pt idx="46">
                  <c:v>106.95011859621688</c:v>
                </c:pt>
                <c:pt idx="47">
                  <c:v>119.60136141647808</c:v>
                </c:pt>
                <c:pt idx="48">
                  <c:v>129.04927645505597</c:v>
                </c:pt>
                <c:pt idx="49">
                  <c:v>132.49938624445085</c:v>
                </c:pt>
                <c:pt idx="50">
                  <c:v>135.59268305708764</c:v>
                </c:pt>
              </c:numCache>
            </c:numRef>
          </c:val>
          <c:smooth val="0"/>
          <c:extLst>
            <c:ext xmlns:c16="http://schemas.microsoft.com/office/drawing/2014/chart" uri="{C3380CC4-5D6E-409C-BE32-E72D297353CC}">
              <c16:uniqueId val="{00000000-2516-4910-87CD-C699333FCFA6}"/>
            </c:ext>
          </c:extLst>
        </c:ser>
        <c:ser>
          <c:idx val="1"/>
          <c:order val="1"/>
          <c:tx>
            <c:strRef>
              <c:f>Sheet2!$B$37</c:f>
              <c:strCache>
                <c:ptCount val="1"/>
                <c:pt idx="0">
                  <c:v>Semi-durable goods: Recreational and entertainment goods</c:v>
                </c:pt>
              </c:strCache>
            </c:strRef>
          </c:tx>
          <c:spPr>
            <a:ln w="28575" cap="rnd">
              <a:solidFill>
                <a:schemeClr val="accent2"/>
              </a:solidFill>
              <a:round/>
            </a:ln>
            <a:effectLst/>
          </c:spPr>
          <c:marker>
            <c:symbol val="none"/>
          </c:marker>
          <c:cat>
            <c:numRef>
              <c:f>Sheet2!$C$35:$BA$35</c:f>
              <c:numCache>
                <c:formatCode>General</c:formatCode>
                <c:ptCount val="51"/>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pt idx="47">
                  <c:v>2017</c:v>
                </c:pt>
                <c:pt idx="48">
                  <c:v>2018</c:v>
                </c:pt>
                <c:pt idx="49">
                  <c:v>2019</c:v>
                </c:pt>
                <c:pt idx="50">
                  <c:v>2020</c:v>
                </c:pt>
              </c:numCache>
            </c:numRef>
          </c:cat>
          <c:val>
            <c:numRef>
              <c:f>Sheet2!$C$37:$BA$37</c:f>
              <c:numCache>
                <c:formatCode>General</c:formatCode>
                <c:ptCount val="51"/>
                <c:pt idx="0">
                  <c:v>18.990855519294339</c:v>
                </c:pt>
                <c:pt idx="1">
                  <c:v>19.696422547956491</c:v>
                </c:pt>
                <c:pt idx="2">
                  <c:v>19.930346351739246</c:v>
                </c:pt>
                <c:pt idx="3">
                  <c:v>19.92633900553195</c:v>
                </c:pt>
                <c:pt idx="4">
                  <c:v>23.962240547012197</c:v>
                </c:pt>
                <c:pt idx="5">
                  <c:v>23.907269017296048</c:v>
                </c:pt>
                <c:pt idx="6">
                  <c:v>24.741360908098613</c:v>
                </c:pt>
                <c:pt idx="7">
                  <c:v>24.166217667597905</c:v>
                </c:pt>
                <c:pt idx="8">
                  <c:v>21.313603094975104</c:v>
                </c:pt>
                <c:pt idx="9">
                  <c:v>20.770122208956639</c:v>
                </c:pt>
                <c:pt idx="10">
                  <c:v>24.830775605948908</c:v>
                </c:pt>
                <c:pt idx="11">
                  <c:v>28.028680602495843</c:v>
                </c:pt>
                <c:pt idx="12">
                  <c:v>28.328769401614302</c:v>
                </c:pt>
                <c:pt idx="13">
                  <c:v>30.04923267242204</c:v>
                </c:pt>
                <c:pt idx="14">
                  <c:v>28.680562052104996</c:v>
                </c:pt>
                <c:pt idx="15">
                  <c:v>26.20445243626801</c:v>
                </c:pt>
                <c:pt idx="16">
                  <c:v>23.886073370816369</c:v>
                </c:pt>
                <c:pt idx="17">
                  <c:v>22.990262438192456</c:v>
                </c:pt>
                <c:pt idx="18">
                  <c:v>27.682062040908278</c:v>
                </c:pt>
                <c:pt idx="19">
                  <c:v>33.566244458994376</c:v>
                </c:pt>
                <c:pt idx="20">
                  <c:v>36.969152856054173</c:v>
                </c:pt>
                <c:pt idx="21">
                  <c:v>36.8612949019357</c:v>
                </c:pt>
                <c:pt idx="22">
                  <c:v>35.224376163849705</c:v>
                </c:pt>
                <c:pt idx="23">
                  <c:v>34.788267156939675</c:v>
                </c:pt>
                <c:pt idx="24">
                  <c:v>34.971710877912258</c:v>
                </c:pt>
                <c:pt idx="25">
                  <c:v>36.556664622783082</c:v>
                </c:pt>
                <c:pt idx="26">
                  <c:v>37.378492490403723</c:v>
                </c:pt>
                <c:pt idx="27">
                  <c:v>39.124876709706086</c:v>
                </c:pt>
                <c:pt idx="28">
                  <c:v>41.810492777978517</c:v>
                </c:pt>
                <c:pt idx="29">
                  <c:v>44.79695654796452</c:v>
                </c:pt>
                <c:pt idx="30">
                  <c:v>46.990943445515114</c:v>
                </c:pt>
                <c:pt idx="31">
                  <c:v>49.060188612463591</c:v>
                </c:pt>
                <c:pt idx="32">
                  <c:v>51.936586150352817</c:v>
                </c:pt>
                <c:pt idx="33">
                  <c:v>52.516268307238875</c:v>
                </c:pt>
                <c:pt idx="34">
                  <c:v>57.726069969352224</c:v>
                </c:pt>
                <c:pt idx="35">
                  <c:v>64.109911443134536</c:v>
                </c:pt>
                <c:pt idx="36">
                  <c:v>75.255951901390446</c:v>
                </c:pt>
                <c:pt idx="37">
                  <c:v>79.651263444527345</c:v>
                </c:pt>
                <c:pt idx="38">
                  <c:v>83.408190840407698</c:v>
                </c:pt>
                <c:pt idx="39">
                  <c:v>77.427925551791517</c:v>
                </c:pt>
                <c:pt idx="40">
                  <c:v>75.798945313838601</c:v>
                </c:pt>
                <c:pt idx="41">
                  <c:v>82.353111861426882</c:v>
                </c:pt>
                <c:pt idx="42">
                  <c:v>90.458333396421367</c:v>
                </c:pt>
                <c:pt idx="43">
                  <c:v>93.038468400772373</c:v>
                </c:pt>
                <c:pt idx="44">
                  <c:v>96.637265295612082</c:v>
                </c:pt>
                <c:pt idx="45">
                  <c:v>100</c:v>
                </c:pt>
                <c:pt idx="46">
                  <c:v>99.492404166865342</c:v>
                </c:pt>
                <c:pt idx="47">
                  <c:v>107.877851793876</c:v>
                </c:pt>
                <c:pt idx="48">
                  <c:v>117.00008790386151</c:v>
                </c:pt>
                <c:pt idx="49">
                  <c:v>117.96482900034636</c:v>
                </c:pt>
                <c:pt idx="50">
                  <c:v>95.655892547200679</c:v>
                </c:pt>
              </c:numCache>
            </c:numRef>
          </c:val>
          <c:smooth val="0"/>
          <c:extLst>
            <c:ext xmlns:c16="http://schemas.microsoft.com/office/drawing/2014/chart" uri="{C3380CC4-5D6E-409C-BE32-E72D297353CC}">
              <c16:uniqueId val="{00000001-2516-4910-87CD-C699333FCFA6}"/>
            </c:ext>
          </c:extLst>
        </c:ser>
        <c:ser>
          <c:idx val="2"/>
          <c:order val="2"/>
          <c:tx>
            <c:strRef>
              <c:f>Sheet2!$B$38</c:f>
              <c:strCache>
                <c:ptCount val="1"/>
                <c:pt idx="0">
                  <c:v>Non-durable goods: Recreational and entertainment goods</c:v>
                </c:pt>
              </c:strCache>
            </c:strRef>
          </c:tx>
          <c:spPr>
            <a:ln w="28575" cap="rnd">
              <a:solidFill>
                <a:schemeClr val="accent3"/>
              </a:solidFill>
              <a:round/>
            </a:ln>
            <a:effectLst/>
          </c:spPr>
          <c:marker>
            <c:symbol val="none"/>
          </c:marker>
          <c:cat>
            <c:numRef>
              <c:f>Sheet2!$C$35:$BA$35</c:f>
              <c:numCache>
                <c:formatCode>General</c:formatCode>
                <c:ptCount val="51"/>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pt idx="47">
                  <c:v>2017</c:v>
                </c:pt>
                <c:pt idx="48">
                  <c:v>2018</c:v>
                </c:pt>
                <c:pt idx="49">
                  <c:v>2019</c:v>
                </c:pt>
                <c:pt idx="50">
                  <c:v>2020</c:v>
                </c:pt>
              </c:numCache>
            </c:numRef>
          </c:cat>
          <c:val>
            <c:numRef>
              <c:f>Sheet2!$C$38:$BA$38</c:f>
              <c:numCache>
                <c:formatCode>General</c:formatCode>
                <c:ptCount val="51"/>
                <c:pt idx="0">
                  <c:v>24.067481290056278</c:v>
                </c:pt>
                <c:pt idx="1">
                  <c:v>27.079623752514248</c:v>
                </c:pt>
                <c:pt idx="2">
                  <c:v>27.991544296265953</c:v>
                </c:pt>
                <c:pt idx="3">
                  <c:v>31.149665030976418</c:v>
                </c:pt>
                <c:pt idx="4">
                  <c:v>31.930131834377274</c:v>
                </c:pt>
                <c:pt idx="5">
                  <c:v>33.938565893016879</c:v>
                </c:pt>
                <c:pt idx="6">
                  <c:v>34.601156925016546</c:v>
                </c:pt>
                <c:pt idx="7">
                  <c:v>35.14785350397576</c:v>
                </c:pt>
                <c:pt idx="8">
                  <c:v>34.464982842641973</c:v>
                </c:pt>
                <c:pt idx="9">
                  <c:v>33.698281283995854</c:v>
                </c:pt>
                <c:pt idx="10">
                  <c:v>36.042161373396809</c:v>
                </c:pt>
                <c:pt idx="11">
                  <c:v>39.506693094120067</c:v>
                </c:pt>
                <c:pt idx="12">
                  <c:v>40.928596770576704</c:v>
                </c:pt>
                <c:pt idx="13">
                  <c:v>42.228924382687602</c:v>
                </c:pt>
                <c:pt idx="14">
                  <c:v>43.010591879294537</c:v>
                </c:pt>
                <c:pt idx="15">
                  <c:v>40.9624728780705</c:v>
                </c:pt>
                <c:pt idx="16">
                  <c:v>38.99430797871856</c:v>
                </c:pt>
                <c:pt idx="17">
                  <c:v>39.280810907779923</c:v>
                </c:pt>
                <c:pt idx="18">
                  <c:v>42.748857182250397</c:v>
                </c:pt>
                <c:pt idx="19">
                  <c:v>47.345900712716698</c:v>
                </c:pt>
                <c:pt idx="20">
                  <c:v>52.660720429261524</c:v>
                </c:pt>
                <c:pt idx="21">
                  <c:v>51.182530856618328</c:v>
                </c:pt>
                <c:pt idx="22">
                  <c:v>50.650586861076377</c:v>
                </c:pt>
                <c:pt idx="23">
                  <c:v>56.867658149266056</c:v>
                </c:pt>
                <c:pt idx="24">
                  <c:v>49.41504708641407</c:v>
                </c:pt>
                <c:pt idx="25">
                  <c:v>51.16085843381093</c:v>
                </c:pt>
                <c:pt idx="26">
                  <c:v>51.870630915950755</c:v>
                </c:pt>
                <c:pt idx="27">
                  <c:v>52.357168504601006</c:v>
                </c:pt>
                <c:pt idx="28">
                  <c:v>52.906669780824004</c:v>
                </c:pt>
                <c:pt idx="29">
                  <c:v>55.362253610360682</c:v>
                </c:pt>
                <c:pt idx="30">
                  <c:v>56.455532191906919</c:v>
                </c:pt>
                <c:pt idx="31">
                  <c:v>57.926592900808494</c:v>
                </c:pt>
                <c:pt idx="32">
                  <c:v>59.300346092133537</c:v>
                </c:pt>
                <c:pt idx="33">
                  <c:v>59.970050772986049</c:v>
                </c:pt>
                <c:pt idx="34">
                  <c:v>62.099368219405534</c:v>
                </c:pt>
                <c:pt idx="35">
                  <c:v>66.644201694074383</c:v>
                </c:pt>
                <c:pt idx="36">
                  <c:v>73.816338147147562</c:v>
                </c:pt>
                <c:pt idx="37">
                  <c:v>78.22952027423608</c:v>
                </c:pt>
                <c:pt idx="38">
                  <c:v>79.946711763680227</c:v>
                </c:pt>
                <c:pt idx="39">
                  <c:v>76.964522544205977</c:v>
                </c:pt>
                <c:pt idx="40">
                  <c:v>76.346333607975382</c:v>
                </c:pt>
                <c:pt idx="41">
                  <c:v>85.662976053337943</c:v>
                </c:pt>
                <c:pt idx="42">
                  <c:v>93.889049772908479</c:v>
                </c:pt>
                <c:pt idx="43">
                  <c:v>95.248870289983671</c:v>
                </c:pt>
                <c:pt idx="44">
                  <c:v>97.276639793869833</c:v>
                </c:pt>
                <c:pt idx="45">
                  <c:v>100</c:v>
                </c:pt>
                <c:pt idx="46">
                  <c:v>101.00534795135458</c:v>
                </c:pt>
                <c:pt idx="47">
                  <c:v>99.815797226692652</c:v>
                </c:pt>
                <c:pt idx="48">
                  <c:v>100.91522733330562</c:v>
                </c:pt>
                <c:pt idx="49">
                  <c:v>97.615406755897567</c:v>
                </c:pt>
                <c:pt idx="50">
                  <c:v>76.267017962864699</c:v>
                </c:pt>
              </c:numCache>
            </c:numRef>
          </c:val>
          <c:smooth val="0"/>
          <c:extLst>
            <c:ext xmlns:c16="http://schemas.microsoft.com/office/drawing/2014/chart" uri="{C3380CC4-5D6E-409C-BE32-E72D297353CC}">
              <c16:uniqueId val="{00000002-2516-4910-87CD-C699333FCFA6}"/>
            </c:ext>
          </c:extLst>
        </c:ser>
        <c:ser>
          <c:idx val="3"/>
          <c:order val="3"/>
          <c:tx>
            <c:strRef>
              <c:f>Sheet2!$B$39</c:f>
              <c:strCache>
                <c:ptCount val="1"/>
                <c:pt idx="0">
                  <c:v>Services: Recreational, entertainment and educational services</c:v>
                </c:pt>
              </c:strCache>
            </c:strRef>
          </c:tx>
          <c:spPr>
            <a:ln w="28575" cap="rnd">
              <a:solidFill>
                <a:schemeClr val="accent4"/>
              </a:solidFill>
              <a:round/>
            </a:ln>
            <a:effectLst/>
          </c:spPr>
          <c:marker>
            <c:symbol val="none"/>
          </c:marker>
          <c:cat>
            <c:numRef>
              <c:f>Sheet2!$C$35:$BA$35</c:f>
              <c:numCache>
                <c:formatCode>General</c:formatCode>
                <c:ptCount val="51"/>
                <c:pt idx="0">
                  <c:v>1970</c:v>
                </c:pt>
                <c:pt idx="1">
                  <c:v>1971</c:v>
                </c:pt>
                <c:pt idx="2">
                  <c:v>1972</c:v>
                </c:pt>
                <c:pt idx="3">
                  <c:v>1973</c:v>
                </c:pt>
                <c:pt idx="4">
                  <c:v>1974</c:v>
                </c:pt>
                <c:pt idx="5">
                  <c:v>1975</c:v>
                </c:pt>
                <c:pt idx="6">
                  <c:v>1976</c:v>
                </c:pt>
                <c:pt idx="7">
                  <c:v>1977</c:v>
                </c:pt>
                <c:pt idx="8">
                  <c:v>1978</c:v>
                </c:pt>
                <c:pt idx="9">
                  <c:v>1979</c:v>
                </c:pt>
                <c:pt idx="10">
                  <c:v>1980</c:v>
                </c:pt>
                <c:pt idx="11">
                  <c:v>1981</c:v>
                </c:pt>
                <c:pt idx="12">
                  <c:v>1982</c:v>
                </c:pt>
                <c:pt idx="13">
                  <c:v>1983</c:v>
                </c:pt>
                <c:pt idx="14">
                  <c:v>1984</c:v>
                </c:pt>
                <c:pt idx="15">
                  <c:v>1985</c:v>
                </c:pt>
                <c:pt idx="16">
                  <c:v>1986</c:v>
                </c:pt>
                <c:pt idx="17">
                  <c:v>1987</c:v>
                </c:pt>
                <c:pt idx="18">
                  <c:v>1988</c:v>
                </c:pt>
                <c:pt idx="19">
                  <c:v>1989</c:v>
                </c:pt>
                <c:pt idx="20">
                  <c:v>1990</c:v>
                </c:pt>
                <c:pt idx="21">
                  <c:v>1991</c:v>
                </c:pt>
                <c:pt idx="22">
                  <c:v>1992</c:v>
                </c:pt>
                <c:pt idx="23">
                  <c:v>1993</c:v>
                </c:pt>
                <c:pt idx="24">
                  <c:v>1994</c:v>
                </c:pt>
                <c:pt idx="25">
                  <c:v>1995</c:v>
                </c:pt>
                <c:pt idx="26">
                  <c:v>1996</c:v>
                </c:pt>
                <c:pt idx="27">
                  <c:v>1997</c:v>
                </c:pt>
                <c:pt idx="28">
                  <c:v>1998</c:v>
                </c:pt>
                <c:pt idx="29">
                  <c:v>1999</c:v>
                </c:pt>
                <c:pt idx="30">
                  <c:v>2000</c:v>
                </c:pt>
                <c:pt idx="31">
                  <c:v>2001</c:v>
                </c:pt>
                <c:pt idx="32">
                  <c:v>2002</c:v>
                </c:pt>
                <c:pt idx="33">
                  <c:v>2003</c:v>
                </c:pt>
                <c:pt idx="34">
                  <c:v>2004</c:v>
                </c:pt>
                <c:pt idx="35">
                  <c:v>2005</c:v>
                </c:pt>
                <c:pt idx="36">
                  <c:v>2006</c:v>
                </c:pt>
                <c:pt idx="37">
                  <c:v>2007</c:v>
                </c:pt>
                <c:pt idx="38">
                  <c:v>2008</c:v>
                </c:pt>
                <c:pt idx="39">
                  <c:v>2009</c:v>
                </c:pt>
                <c:pt idx="40">
                  <c:v>2010</c:v>
                </c:pt>
                <c:pt idx="41">
                  <c:v>2011</c:v>
                </c:pt>
                <c:pt idx="42">
                  <c:v>2012</c:v>
                </c:pt>
                <c:pt idx="43">
                  <c:v>2013</c:v>
                </c:pt>
                <c:pt idx="44">
                  <c:v>2014</c:v>
                </c:pt>
                <c:pt idx="45">
                  <c:v>2015</c:v>
                </c:pt>
                <c:pt idx="46">
                  <c:v>2016</c:v>
                </c:pt>
                <c:pt idx="47">
                  <c:v>2017</c:v>
                </c:pt>
                <c:pt idx="48">
                  <c:v>2018</c:v>
                </c:pt>
                <c:pt idx="49">
                  <c:v>2019</c:v>
                </c:pt>
                <c:pt idx="50">
                  <c:v>2020</c:v>
                </c:pt>
              </c:numCache>
            </c:numRef>
          </c:cat>
          <c:val>
            <c:numRef>
              <c:f>Sheet2!$C$39:$BA$39</c:f>
              <c:numCache>
                <c:formatCode>General</c:formatCode>
                <c:ptCount val="51"/>
                <c:pt idx="0">
                  <c:v>28.574741971984896</c:v>
                </c:pt>
                <c:pt idx="1">
                  <c:v>31.404531424633269</c:v>
                </c:pt>
                <c:pt idx="2">
                  <c:v>32.791907336416557</c:v>
                </c:pt>
                <c:pt idx="3">
                  <c:v>35.510253350875772</c:v>
                </c:pt>
                <c:pt idx="4">
                  <c:v>37.181754681705335</c:v>
                </c:pt>
                <c:pt idx="5">
                  <c:v>40.568763461148777</c:v>
                </c:pt>
                <c:pt idx="6">
                  <c:v>40.139826245720847</c:v>
                </c:pt>
                <c:pt idx="7">
                  <c:v>39.240301280300486</c:v>
                </c:pt>
                <c:pt idx="8">
                  <c:v>38.122454118642722</c:v>
                </c:pt>
                <c:pt idx="9">
                  <c:v>38.364765568294743</c:v>
                </c:pt>
                <c:pt idx="10">
                  <c:v>42.577525874346776</c:v>
                </c:pt>
                <c:pt idx="11">
                  <c:v>42.88052454448782</c:v>
                </c:pt>
                <c:pt idx="12">
                  <c:v>43.187918953896414</c:v>
                </c:pt>
                <c:pt idx="13">
                  <c:v>43.445907634431649</c:v>
                </c:pt>
                <c:pt idx="14">
                  <c:v>45.748160789145579</c:v>
                </c:pt>
                <c:pt idx="15">
                  <c:v>44.981367816502868</c:v>
                </c:pt>
                <c:pt idx="16">
                  <c:v>40.663536838888838</c:v>
                </c:pt>
                <c:pt idx="17">
                  <c:v>39.583104986300413</c:v>
                </c:pt>
                <c:pt idx="18">
                  <c:v>38.574259527063646</c:v>
                </c:pt>
                <c:pt idx="19">
                  <c:v>37.238745117425374</c:v>
                </c:pt>
                <c:pt idx="20">
                  <c:v>35.921580414459747</c:v>
                </c:pt>
                <c:pt idx="21">
                  <c:v>34.53172128229717</c:v>
                </c:pt>
                <c:pt idx="22">
                  <c:v>34.076844943371263</c:v>
                </c:pt>
                <c:pt idx="23">
                  <c:v>33.380883785933463</c:v>
                </c:pt>
                <c:pt idx="24">
                  <c:v>36.404743892782051</c:v>
                </c:pt>
                <c:pt idx="25">
                  <c:v>40.342295692945584</c:v>
                </c:pt>
                <c:pt idx="26">
                  <c:v>40.764941906415928</c:v>
                </c:pt>
                <c:pt idx="27">
                  <c:v>41.420349802612733</c:v>
                </c:pt>
                <c:pt idx="28">
                  <c:v>55.621875105258937</c:v>
                </c:pt>
                <c:pt idx="29">
                  <c:v>60.194417110210289</c:v>
                </c:pt>
                <c:pt idx="30">
                  <c:v>65.997125026240752</c:v>
                </c:pt>
                <c:pt idx="31">
                  <c:v>68.252259049228797</c:v>
                </c:pt>
                <c:pt idx="32">
                  <c:v>70.329759156413189</c:v>
                </c:pt>
                <c:pt idx="33">
                  <c:v>72.97997550931531</c:v>
                </c:pt>
                <c:pt idx="34">
                  <c:v>76.398917946172801</c:v>
                </c:pt>
                <c:pt idx="35">
                  <c:v>78.367183403975289</c:v>
                </c:pt>
                <c:pt idx="36">
                  <c:v>80.848953802243386</c:v>
                </c:pt>
                <c:pt idx="37">
                  <c:v>83.953463790406474</c:v>
                </c:pt>
                <c:pt idx="38">
                  <c:v>88.426979991704087</c:v>
                </c:pt>
                <c:pt idx="39">
                  <c:v>88.369929516090878</c:v>
                </c:pt>
                <c:pt idx="40">
                  <c:v>88.026793238902187</c:v>
                </c:pt>
                <c:pt idx="41">
                  <c:v>90.101693152878255</c:v>
                </c:pt>
                <c:pt idx="42">
                  <c:v>93.857535051972178</c:v>
                </c:pt>
                <c:pt idx="43">
                  <c:v>95.545505006047804</c:v>
                </c:pt>
                <c:pt idx="44">
                  <c:v>97.423792184805194</c:v>
                </c:pt>
                <c:pt idx="45">
                  <c:v>100</c:v>
                </c:pt>
                <c:pt idx="46">
                  <c:v>103.67993950022351</c:v>
                </c:pt>
                <c:pt idx="47">
                  <c:v>105.07709937445846</c:v>
                </c:pt>
                <c:pt idx="48">
                  <c:v>107.18173850262896</c:v>
                </c:pt>
                <c:pt idx="49">
                  <c:v>107.20173105899687</c:v>
                </c:pt>
                <c:pt idx="50">
                  <c:v>96.960286973616007</c:v>
                </c:pt>
              </c:numCache>
            </c:numRef>
          </c:val>
          <c:smooth val="0"/>
          <c:extLst>
            <c:ext xmlns:c16="http://schemas.microsoft.com/office/drawing/2014/chart" uri="{C3380CC4-5D6E-409C-BE32-E72D297353CC}">
              <c16:uniqueId val="{00000003-2516-4910-87CD-C699333FCFA6}"/>
            </c:ext>
          </c:extLst>
        </c:ser>
        <c:dLbls>
          <c:showLegendKey val="0"/>
          <c:showVal val="0"/>
          <c:showCatName val="0"/>
          <c:showSerName val="0"/>
          <c:showPercent val="0"/>
          <c:showBubbleSize val="0"/>
        </c:dLbls>
        <c:smooth val="0"/>
        <c:axId val="67621535"/>
        <c:axId val="67621951"/>
      </c:lineChart>
      <c:catAx>
        <c:axId val="676215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21951"/>
        <c:crosses val="autoZero"/>
        <c:auto val="1"/>
        <c:lblAlgn val="ctr"/>
        <c:lblOffset val="100"/>
        <c:noMultiLvlLbl val="0"/>
      </c:catAx>
      <c:valAx>
        <c:axId val="67621951"/>
        <c:scaling>
          <c:orientation val="minMax"/>
          <c:max val="14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215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Monthly!$B$10</c:f>
              <c:strCache>
                <c:ptCount val="1"/>
                <c:pt idx="0">
                  <c:v>CPI: South Africa</c:v>
                </c:pt>
              </c:strCache>
            </c:strRef>
          </c:tx>
          <c:spPr>
            <a:ln w="28575" cap="rnd">
              <a:solidFill>
                <a:schemeClr val="accent1"/>
              </a:solidFill>
              <a:round/>
            </a:ln>
            <a:effectLst/>
          </c:spPr>
          <c:marker>
            <c:symbol val="none"/>
          </c:marker>
          <c:cat>
            <c:strRef>
              <c:f>Monthly!$A$11:$A$248</c:f>
              <c:strCache>
                <c:ptCount val="238"/>
                <c:pt idx="0">
                  <c:v>2002/01/31</c:v>
                </c:pt>
                <c:pt idx="1">
                  <c:v>2002/02/28</c:v>
                </c:pt>
                <c:pt idx="2">
                  <c:v>2002/03/31</c:v>
                </c:pt>
                <c:pt idx="3">
                  <c:v>2002/04/30</c:v>
                </c:pt>
                <c:pt idx="4">
                  <c:v>2002/05/31</c:v>
                </c:pt>
                <c:pt idx="5">
                  <c:v>2002/06/30</c:v>
                </c:pt>
                <c:pt idx="6">
                  <c:v>2002/07/31</c:v>
                </c:pt>
                <c:pt idx="7">
                  <c:v>2002/08/31</c:v>
                </c:pt>
                <c:pt idx="8">
                  <c:v>2002/09/30</c:v>
                </c:pt>
                <c:pt idx="9">
                  <c:v>2002/10/31</c:v>
                </c:pt>
                <c:pt idx="10">
                  <c:v>2002/11/30</c:v>
                </c:pt>
                <c:pt idx="11">
                  <c:v>2002/12/31</c:v>
                </c:pt>
                <c:pt idx="12">
                  <c:v>2003/01/31</c:v>
                </c:pt>
                <c:pt idx="13">
                  <c:v>2003/02/28</c:v>
                </c:pt>
                <c:pt idx="14">
                  <c:v>2003/03/31</c:v>
                </c:pt>
                <c:pt idx="15">
                  <c:v>2003/04/30</c:v>
                </c:pt>
                <c:pt idx="16">
                  <c:v>2003/05/31</c:v>
                </c:pt>
                <c:pt idx="17">
                  <c:v>2003/06/30</c:v>
                </c:pt>
                <c:pt idx="18">
                  <c:v>2003/07/31</c:v>
                </c:pt>
                <c:pt idx="19">
                  <c:v>2003/08/31</c:v>
                </c:pt>
                <c:pt idx="20">
                  <c:v>2003/09/30</c:v>
                </c:pt>
                <c:pt idx="21">
                  <c:v>2003/10/31</c:v>
                </c:pt>
                <c:pt idx="22">
                  <c:v>2003/11/30</c:v>
                </c:pt>
                <c:pt idx="23">
                  <c:v>2003/12/31</c:v>
                </c:pt>
                <c:pt idx="24">
                  <c:v>2004/01/31</c:v>
                </c:pt>
                <c:pt idx="25">
                  <c:v>2004/02/29</c:v>
                </c:pt>
                <c:pt idx="26">
                  <c:v>2004/03/31</c:v>
                </c:pt>
                <c:pt idx="27">
                  <c:v>2004/04/30</c:v>
                </c:pt>
                <c:pt idx="28">
                  <c:v>2004/05/31</c:v>
                </c:pt>
                <c:pt idx="29">
                  <c:v>2004/06/30</c:v>
                </c:pt>
                <c:pt idx="30">
                  <c:v>2004/07/31</c:v>
                </c:pt>
                <c:pt idx="31">
                  <c:v>2004/08/31</c:v>
                </c:pt>
                <c:pt idx="32">
                  <c:v>2004/09/30</c:v>
                </c:pt>
                <c:pt idx="33">
                  <c:v>2004/10/31</c:v>
                </c:pt>
                <c:pt idx="34">
                  <c:v>2004/11/30</c:v>
                </c:pt>
                <c:pt idx="35">
                  <c:v>2004/12/31</c:v>
                </c:pt>
                <c:pt idx="36">
                  <c:v>2005/01/31</c:v>
                </c:pt>
                <c:pt idx="37">
                  <c:v>2005/02/28</c:v>
                </c:pt>
                <c:pt idx="38">
                  <c:v>2005/03/31</c:v>
                </c:pt>
                <c:pt idx="39">
                  <c:v>2005/04/30</c:v>
                </c:pt>
                <c:pt idx="40">
                  <c:v>2005/05/31</c:v>
                </c:pt>
                <c:pt idx="41">
                  <c:v>2005/06/30</c:v>
                </c:pt>
                <c:pt idx="42">
                  <c:v>2005/07/31</c:v>
                </c:pt>
                <c:pt idx="43">
                  <c:v>2005/08/31</c:v>
                </c:pt>
                <c:pt idx="44">
                  <c:v>2005/09/30</c:v>
                </c:pt>
                <c:pt idx="45">
                  <c:v>2005/10/31</c:v>
                </c:pt>
                <c:pt idx="46">
                  <c:v>2005/11/30</c:v>
                </c:pt>
                <c:pt idx="47">
                  <c:v>2005/12/31</c:v>
                </c:pt>
                <c:pt idx="48">
                  <c:v>2006/01/31</c:v>
                </c:pt>
                <c:pt idx="49">
                  <c:v>2006/02/28</c:v>
                </c:pt>
                <c:pt idx="50">
                  <c:v>2006/03/31</c:v>
                </c:pt>
                <c:pt idx="51">
                  <c:v>2006/04/30</c:v>
                </c:pt>
                <c:pt idx="52">
                  <c:v>2006/05/31</c:v>
                </c:pt>
                <c:pt idx="53">
                  <c:v>2006/06/30</c:v>
                </c:pt>
                <c:pt idx="54">
                  <c:v>2006/07/31</c:v>
                </c:pt>
                <c:pt idx="55">
                  <c:v>2006/08/31</c:v>
                </c:pt>
                <c:pt idx="56">
                  <c:v>2006/09/30</c:v>
                </c:pt>
                <c:pt idx="57">
                  <c:v>2006/10/31</c:v>
                </c:pt>
                <c:pt idx="58">
                  <c:v>2006/11/30</c:v>
                </c:pt>
                <c:pt idx="59">
                  <c:v>2006/12/31</c:v>
                </c:pt>
                <c:pt idx="60">
                  <c:v>2007/01/31</c:v>
                </c:pt>
                <c:pt idx="61">
                  <c:v>2007/02/28</c:v>
                </c:pt>
                <c:pt idx="62">
                  <c:v>2007/03/31</c:v>
                </c:pt>
                <c:pt idx="63">
                  <c:v>2007/04/30</c:v>
                </c:pt>
                <c:pt idx="64">
                  <c:v>2007/05/31</c:v>
                </c:pt>
                <c:pt idx="65">
                  <c:v>2007/06/30</c:v>
                </c:pt>
                <c:pt idx="66">
                  <c:v>2007/07/31</c:v>
                </c:pt>
                <c:pt idx="67">
                  <c:v>2007/08/31</c:v>
                </c:pt>
                <c:pt idx="68">
                  <c:v>2007/09/30</c:v>
                </c:pt>
                <c:pt idx="69">
                  <c:v>2007/10/31</c:v>
                </c:pt>
                <c:pt idx="70">
                  <c:v>2007/11/30</c:v>
                </c:pt>
                <c:pt idx="71">
                  <c:v>2007/12/31</c:v>
                </c:pt>
                <c:pt idx="72">
                  <c:v>2008/01/31</c:v>
                </c:pt>
                <c:pt idx="73">
                  <c:v>2008/02/29</c:v>
                </c:pt>
                <c:pt idx="74">
                  <c:v>2008/03/31</c:v>
                </c:pt>
                <c:pt idx="75">
                  <c:v>2008/04/30</c:v>
                </c:pt>
                <c:pt idx="76">
                  <c:v>2008/05/31</c:v>
                </c:pt>
                <c:pt idx="77">
                  <c:v>2008/06/30</c:v>
                </c:pt>
                <c:pt idx="78">
                  <c:v>2008/07/31</c:v>
                </c:pt>
                <c:pt idx="79">
                  <c:v>2008/08/31</c:v>
                </c:pt>
                <c:pt idx="80">
                  <c:v>2008/09/30</c:v>
                </c:pt>
                <c:pt idx="81">
                  <c:v>2008/10/31</c:v>
                </c:pt>
                <c:pt idx="82">
                  <c:v>2008/11/30</c:v>
                </c:pt>
                <c:pt idx="83">
                  <c:v>2008/12/31</c:v>
                </c:pt>
                <c:pt idx="84">
                  <c:v>2009/01/31</c:v>
                </c:pt>
                <c:pt idx="85">
                  <c:v>2009/02/28</c:v>
                </c:pt>
                <c:pt idx="86">
                  <c:v>2009/03/31</c:v>
                </c:pt>
                <c:pt idx="87">
                  <c:v>2009/04/30</c:v>
                </c:pt>
                <c:pt idx="88">
                  <c:v>2009/05/31</c:v>
                </c:pt>
                <c:pt idx="89">
                  <c:v>2009/06/30</c:v>
                </c:pt>
                <c:pt idx="90">
                  <c:v>2009/07/31</c:v>
                </c:pt>
                <c:pt idx="91">
                  <c:v>2009/08/31</c:v>
                </c:pt>
                <c:pt idx="92">
                  <c:v>2009/09/30</c:v>
                </c:pt>
                <c:pt idx="93">
                  <c:v>2009/10/31</c:v>
                </c:pt>
                <c:pt idx="94">
                  <c:v>2009/11/30</c:v>
                </c:pt>
                <c:pt idx="95">
                  <c:v>2009/12/31</c:v>
                </c:pt>
                <c:pt idx="96">
                  <c:v>2010/01/31</c:v>
                </c:pt>
                <c:pt idx="97">
                  <c:v>2010/02/28</c:v>
                </c:pt>
                <c:pt idx="98">
                  <c:v>2010/03/31</c:v>
                </c:pt>
                <c:pt idx="99">
                  <c:v>2010/04/30</c:v>
                </c:pt>
                <c:pt idx="100">
                  <c:v>2010/05/31</c:v>
                </c:pt>
                <c:pt idx="101">
                  <c:v>2010/06/30</c:v>
                </c:pt>
                <c:pt idx="102">
                  <c:v>2010/07/31</c:v>
                </c:pt>
                <c:pt idx="103">
                  <c:v>2010/08/31</c:v>
                </c:pt>
                <c:pt idx="104">
                  <c:v>2010/09/30</c:v>
                </c:pt>
                <c:pt idx="105">
                  <c:v>2010/10/31</c:v>
                </c:pt>
                <c:pt idx="106">
                  <c:v>2010/11/30</c:v>
                </c:pt>
                <c:pt idx="107">
                  <c:v>2010/12/31</c:v>
                </c:pt>
                <c:pt idx="108">
                  <c:v>2011/01/31</c:v>
                </c:pt>
                <c:pt idx="109">
                  <c:v>2011/02/28</c:v>
                </c:pt>
                <c:pt idx="110">
                  <c:v>2011/03/31</c:v>
                </c:pt>
                <c:pt idx="111">
                  <c:v>2011/04/30</c:v>
                </c:pt>
                <c:pt idx="112">
                  <c:v>2011/05/31</c:v>
                </c:pt>
                <c:pt idx="113">
                  <c:v>2011/06/30</c:v>
                </c:pt>
                <c:pt idx="114">
                  <c:v>2011/07/31</c:v>
                </c:pt>
                <c:pt idx="115">
                  <c:v>2011/08/31</c:v>
                </c:pt>
                <c:pt idx="116">
                  <c:v>2011/09/30</c:v>
                </c:pt>
                <c:pt idx="117">
                  <c:v>2011/10/31</c:v>
                </c:pt>
                <c:pt idx="118">
                  <c:v>2011/11/30</c:v>
                </c:pt>
                <c:pt idx="119">
                  <c:v>2011/12/31</c:v>
                </c:pt>
                <c:pt idx="120">
                  <c:v>2012/01/31</c:v>
                </c:pt>
                <c:pt idx="121">
                  <c:v>2012/02/29</c:v>
                </c:pt>
                <c:pt idx="122">
                  <c:v>2012/03/31</c:v>
                </c:pt>
                <c:pt idx="123">
                  <c:v>2012/04/30</c:v>
                </c:pt>
                <c:pt idx="124">
                  <c:v>2012/05/31</c:v>
                </c:pt>
                <c:pt idx="125">
                  <c:v>2012/06/30</c:v>
                </c:pt>
                <c:pt idx="126">
                  <c:v>2012/07/31</c:v>
                </c:pt>
                <c:pt idx="127">
                  <c:v>2012/08/31</c:v>
                </c:pt>
                <c:pt idx="128">
                  <c:v>2012/09/30</c:v>
                </c:pt>
                <c:pt idx="129">
                  <c:v>2012/10/31</c:v>
                </c:pt>
                <c:pt idx="130">
                  <c:v>2012/11/30</c:v>
                </c:pt>
                <c:pt idx="131">
                  <c:v>2012/12/31</c:v>
                </c:pt>
                <c:pt idx="132">
                  <c:v>2013/01/31</c:v>
                </c:pt>
                <c:pt idx="133">
                  <c:v>2013/02/28</c:v>
                </c:pt>
                <c:pt idx="134">
                  <c:v>2013/03/31</c:v>
                </c:pt>
                <c:pt idx="135">
                  <c:v>2013/04/30</c:v>
                </c:pt>
                <c:pt idx="136">
                  <c:v>2013/05/31</c:v>
                </c:pt>
                <c:pt idx="137">
                  <c:v>2013/06/30</c:v>
                </c:pt>
                <c:pt idx="138">
                  <c:v>2013/07/31</c:v>
                </c:pt>
                <c:pt idx="139">
                  <c:v>2013/08/31</c:v>
                </c:pt>
                <c:pt idx="140">
                  <c:v>2013/09/30</c:v>
                </c:pt>
                <c:pt idx="141">
                  <c:v>2013/10/31</c:v>
                </c:pt>
                <c:pt idx="142">
                  <c:v>2013/11/30</c:v>
                </c:pt>
                <c:pt idx="143">
                  <c:v>2013/12/31</c:v>
                </c:pt>
                <c:pt idx="144">
                  <c:v>2014/01/31</c:v>
                </c:pt>
                <c:pt idx="145">
                  <c:v>2014/02/28</c:v>
                </c:pt>
                <c:pt idx="146">
                  <c:v>2014/03/31</c:v>
                </c:pt>
                <c:pt idx="147">
                  <c:v>2014/04/30</c:v>
                </c:pt>
                <c:pt idx="148">
                  <c:v>2014/05/31</c:v>
                </c:pt>
                <c:pt idx="149">
                  <c:v>2014/06/30</c:v>
                </c:pt>
                <c:pt idx="150">
                  <c:v>2014/07/31</c:v>
                </c:pt>
                <c:pt idx="151">
                  <c:v>2014/08/31</c:v>
                </c:pt>
                <c:pt idx="152">
                  <c:v>2014/09/30</c:v>
                </c:pt>
                <c:pt idx="153">
                  <c:v>2014/10/31</c:v>
                </c:pt>
                <c:pt idx="154">
                  <c:v>2014/11/30</c:v>
                </c:pt>
                <c:pt idx="155">
                  <c:v>2014/12/31</c:v>
                </c:pt>
                <c:pt idx="156">
                  <c:v>2015/01/31</c:v>
                </c:pt>
                <c:pt idx="157">
                  <c:v>2015/02/28</c:v>
                </c:pt>
                <c:pt idx="158">
                  <c:v>2015/03/31</c:v>
                </c:pt>
                <c:pt idx="159">
                  <c:v>2015/04/30</c:v>
                </c:pt>
                <c:pt idx="160">
                  <c:v>2015/05/31</c:v>
                </c:pt>
                <c:pt idx="161">
                  <c:v>2015/06/30</c:v>
                </c:pt>
                <c:pt idx="162">
                  <c:v>2015/07/31</c:v>
                </c:pt>
                <c:pt idx="163">
                  <c:v>2015/08/31</c:v>
                </c:pt>
                <c:pt idx="164">
                  <c:v>2015/09/30</c:v>
                </c:pt>
                <c:pt idx="165">
                  <c:v>2015/10/31</c:v>
                </c:pt>
                <c:pt idx="166">
                  <c:v>2015/11/30</c:v>
                </c:pt>
                <c:pt idx="167">
                  <c:v>2015/12/31</c:v>
                </c:pt>
                <c:pt idx="168">
                  <c:v>2016/01/31</c:v>
                </c:pt>
                <c:pt idx="169">
                  <c:v>2016/02/29</c:v>
                </c:pt>
                <c:pt idx="170">
                  <c:v>2016/03/31</c:v>
                </c:pt>
                <c:pt idx="171">
                  <c:v>2016/04/30</c:v>
                </c:pt>
                <c:pt idx="172">
                  <c:v>2016/05/31</c:v>
                </c:pt>
                <c:pt idx="173">
                  <c:v>2016/06/30</c:v>
                </c:pt>
                <c:pt idx="174">
                  <c:v>2016/07/31</c:v>
                </c:pt>
                <c:pt idx="175">
                  <c:v>2016/08/31</c:v>
                </c:pt>
                <c:pt idx="176">
                  <c:v>2016/09/30</c:v>
                </c:pt>
                <c:pt idx="177">
                  <c:v>2016/10/31</c:v>
                </c:pt>
                <c:pt idx="178">
                  <c:v>2016/11/30</c:v>
                </c:pt>
                <c:pt idx="179">
                  <c:v>2016/12/31</c:v>
                </c:pt>
                <c:pt idx="180">
                  <c:v>2017/01/31</c:v>
                </c:pt>
                <c:pt idx="181">
                  <c:v>2017/02/28</c:v>
                </c:pt>
                <c:pt idx="182">
                  <c:v>2017/03/31</c:v>
                </c:pt>
                <c:pt idx="183">
                  <c:v>2017/04/30</c:v>
                </c:pt>
                <c:pt idx="184">
                  <c:v>2017/05/31</c:v>
                </c:pt>
                <c:pt idx="185">
                  <c:v>2017/06/30</c:v>
                </c:pt>
                <c:pt idx="186">
                  <c:v>2017/07/31</c:v>
                </c:pt>
                <c:pt idx="187">
                  <c:v>2017/08/31</c:v>
                </c:pt>
                <c:pt idx="188">
                  <c:v>2017/09/30</c:v>
                </c:pt>
                <c:pt idx="189">
                  <c:v>2017/10/31</c:v>
                </c:pt>
                <c:pt idx="190">
                  <c:v>2017/11/30</c:v>
                </c:pt>
                <c:pt idx="191">
                  <c:v>2017/12/31</c:v>
                </c:pt>
                <c:pt idx="192">
                  <c:v>2018/01/31</c:v>
                </c:pt>
                <c:pt idx="193">
                  <c:v>2018/02/28</c:v>
                </c:pt>
                <c:pt idx="194">
                  <c:v>2018/03/31</c:v>
                </c:pt>
                <c:pt idx="195">
                  <c:v>2018/04/30</c:v>
                </c:pt>
                <c:pt idx="196">
                  <c:v>2018/05/31</c:v>
                </c:pt>
                <c:pt idx="197">
                  <c:v>2018/06/30</c:v>
                </c:pt>
                <c:pt idx="198">
                  <c:v>2018/07/31</c:v>
                </c:pt>
                <c:pt idx="199">
                  <c:v>2018/08/31</c:v>
                </c:pt>
                <c:pt idx="200">
                  <c:v>2018/09/30</c:v>
                </c:pt>
                <c:pt idx="201">
                  <c:v>2018/10/31</c:v>
                </c:pt>
                <c:pt idx="202">
                  <c:v>2018/11/30</c:v>
                </c:pt>
                <c:pt idx="203">
                  <c:v>2018/12/31</c:v>
                </c:pt>
                <c:pt idx="204">
                  <c:v>2019/01/31</c:v>
                </c:pt>
                <c:pt idx="205">
                  <c:v>2019/02/28</c:v>
                </c:pt>
                <c:pt idx="206">
                  <c:v>2019/03/31</c:v>
                </c:pt>
                <c:pt idx="207">
                  <c:v>2019/04/30</c:v>
                </c:pt>
                <c:pt idx="208">
                  <c:v>2019/05/31</c:v>
                </c:pt>
                <c:pt idx="209">
                  <c:v>2019/06/30</c:v>
                </c:pt>
                <c:pt idx="210">
                  <c:v>2019/07/31</c:v>
                </c:pt>
                <c:pt idx="211">
                  <c:v>2019/08/31</c:v>
                </c:pt>
                <c:pt idx="212">
                  <c:v>2019/09/30</c:v>
                </c:pt>
                <c:pt idx="213">
                  <c:v>2019/10/31</c:v>
                </c:pt>
                <c:pt idx="214">
                  <c:v>2019/11/30</c:v>
                </c:pt>
                <c:pt idx="215">
                  <c:v>2019/12/31</c:v>
                </c:pt>
                <c:pt idx="216">
                  <c:v>2020/01/31</c:v>
                </c:pt>
                <c:pt idx="217">
                  <c:v>2020/02/29</c:v>
                </c:pt>
                <c:pt idx="218">
                  <c:v>2020/03/31</c:v>
                </c:pt>
                <c:pt idx="219">
                  <c:v>2020/04/30</c:v>
                </c:pt>
                <c:pt idx="220">
                  <c:v>2020/05/31</c:v>
                </c:pt>
                <c:pt idx="221">
                  <c:v>2020/06/30</c:v>
                </c:pt>
                <c:pt idx="222">
                  <c:v>2020/07/31</c:v>
                </c:pt>
                <c:pt idx="223">
                  <c:v>2020/08/31</c:v>
                </c:pt>
                <c:pt idx="224">
                  <c:v>2020/09/30</c:v>
                </c:pt>
                <c:pt idx="225">
                  <c:v>2020/10/31</c:v>
                </c:pt>
                <c:pt idx="226">
                  <c:v>2020/11/30</c:v>
                </c:pt>
                <c:pt idx="227">
                  <c:v>2020/12/31</c:v>
                </c:pt>
                <c:pt idx="228">
                  <c:v>2021/01/31</c:v>
                </c:pt>
                <c:pt idx="229">
                  <c:v>2021/02/28</c:v>
                </c:pt>
                <c:pt idx="230">
                  <c:v>2021/03/31</c:v>
                </c:pt>
                <c:pt idx="231">
                  <c:v>2021/04/30</c:v>
                </c:pt>
                <c:pt idx="232">
                  <c:v>2021/05/31</c:v>
                </c:pt>
                <c:pt idx="233">
                  <c:v>2021/06/30</c:v>
                </c:pt>
                <c:pt idx="234">
                  <c:v>2021/07/31</c:v>
                </c:pt>
                <c:pt idx="235">
                  <c:v>2021/08/31</c:v>
                </c:pt>
                <c:pt idx="236">
                  <c:v>2021/09/30</c:v>
                </c:pt>
                <c:pt idx="237">
                  <c:v>2021/10/31</c:v>
                </c:pt>
              </c:strCache>
            </c:strRef>
          </c:cat>
          <c:val>
            <c:numRef>
              <c:f>Monthly!$B$11:$B$248</c:f>
              <c:numCache>
                <c:formatCode>General</c:formatCode>
                <c:ptCount val="238"/>
                <c:pt idx="0">
                  <c:v>46.001816127954797</c:v>
                </c:pt>
                <c:pt idx="1">
                  <c:v>46.557195441888098</c:v>
                </c:pt>
                <c:pt idx="2">
                  <c:v>47.024218955877501</c:v>
                </c:pt>
                <c:pt idx="3">
                  <c:v>47.825732283940397</c:v>
                </c:pt>
                <c:pt idx="4">
                  <c:v>48.059244040934999</c:v>
                </c:pt>
                <c:pt idx="5">
                  <c:v>48.469467397817603</c:v>
                </c:pt>
                <c:pt idx="6">
                  <c:v>49.2394250830434</c:v>
                </c:pt>
                <c:pt idx="7">
                  <c:v>49.5044924828752</c:v>
                </c:pt>
                <c:pt idx="8">
                  <c:v>49.939960354027498</c:v>
                </c:pt>
                <c:pt idx="9">
                  <c:v>50.684673524983502</c:v>
                </c:pt>
                <c:pt idx="10">
                  <c:v>51.290541867456199</c:v>
                </c:pt>
                <c:pt idx="11">
                  <c:v>51.353653153130502</c:v>
                </c:pt>
                <c:pt idx="12">
                  <c:v>51.770187638580502</c:v>
                </c:pt>
                <c:pt idx="13">
                  <c:v>51.713387481473603</c:v>
                </c:pt>
                <c:pt idx="14">
                  <c:v>52.016321652709998</c:v>
                </c:pt>
                <c:pt idx="15">
                  <c:v>52.1362330954911</c:v>
                </c:pt>
                <c:pt idx="16">
                  <c:v>52.1362330954911</c:v>
                </c:pt>
                <c:pt idx="17">
                  <c:v>52.041566166979699</c:v>
                </c:pt>
                <c:pt idx="18">
                  <c:v>51.776498767147899</c:v>
                </c:pt>
                <c:pt idx="19">
                  <c:v>51.890099081361498</c:v>
                </c:pt>
                <c:pt idx="20">
                  <c:v>51.536675881585801</c:v>
                </c:pt>
                <c:pt idx="21">
                  <c:v>51.139074781837998</c:v>
                </c:pt>
                <c:pt idx="22">
                  <c:v>50.558450953635003</c:v>
                </c:pt>
                <c:pt idx="23">
                  <c:v>50.514273053663103</c:v>
                </c:pt>
                <c:pt idx="24">
                  <c:v>50.735162553522898</c:v>
                </c:pt>
                <c:pt idx="25">
                  <c:v>50.892940767708502</c:v>
                </c:pt>
                <c:pt idx="26">
                  <c:v>51.132763653270601</c:v>
                </c:pt>
                <c:pt idx="27">
                  <c:v>51.1895638103774</c:v>
                </c:pt>
                <c:pt idx="28">
                  <c:v>51.195874938944897</c:v>
                </c:pt>
                <c:pt idx="29">
                  <c:v>51.240052838916803</c:v>
                </c:pt>
                <c:pt idx="30">
                  <c:v>51.341030895995601</c:v>
                </c:pt>
                <c:pt idx="31">
                  <c:v>51.240052838916803</c:v>
                </c:pt>
                <c:pt idx="32">
                  <c:v>51.252675096051703</c:v>
                </c:pt>
                <c:pt idx="33">
                  <c:v>51.397831053102401</c:v>
                </c:pt>
                <c:pt idx="34">
                  <c:v>51.700765224338802</c:v>
                </c:pt>
                <c:pt idx="35">
                  <c:v>51.625031681529698</c:v>
                </c:pt>
                <c:pt idx="36">
                  <c:v>51.782809895715303</c:v>
                </c:pt>
                <c:pt idx="37">
                  <c:v>51.808054409984997</c:v>
                </c:pt>
                <c:pt idx="38">
                  <c:v>52.1236108383562</c:v>
                </c:pt>
                <c:pt idx="39">
                  <c:v>52.281389052541797</c:v>
                </c:pt>
                <c:pt idx="40">
                  <c:v>52.155166481193298</c:v>
                </c:pt>
                <c:pt idx="41">
                  <c:v>52.047877295547103</c:v>
                </c:pt>
                <c:pt idx="42">
                  <c:v>52.432856138159998</c:v>
                </c:pt>
                <c:pt idx="43">
                  <c:v>52.521211938103903</c:v>
                </c:pt>
                <c:pt idx="44">
                  <c:v>52.565389838075902</c:v>
                </c:pt>
                <c:pt idx="45">
                  <c:v>52.628501123750098</c:v>
                </c:pt>
                <c:pt idx="46">
                  <c:v>52.615878866615297</c:v>
                </c:pt>
                <c:pt idx="47">
                  <c:v>52.6663678951547</c:v>
                </c:pt>
                <c:pt idx="48">
                  <c:v>52.868324009312303</c:v>
                </c:pt>
                <c:pt idx="49">
                  <c:v>52.937746423553897</c:v>
                </c:pt>
                <c:pt idx="50">
                  <c:v>53.095524637739501</c:v>
                </c:pt>
                <c:pt idx="51">
                  <c:v>53.221747209088001</c:v>
                </c:pt>
                <c:pt idx="52">
                  <c:v>53.423703323245597</c:v>
                </c:pt>
                <c:pt idx="53">
                  <c:v>53.814993294425904</c:v>
                </c:pt>
                <c:pt idx="54">
                  <c:v>54.187349879903898</c:v>
                </c:pt>
                <c:pt idx="55">
                  <c:v>54.559706465382</c:v>
                </c:pt>
                <c:pt idx="56">
                  <c:v>54.6985512938653</c:v>
                </c:pt>
                <c:pt idx="57">
                  <c:v>54.988863207966801</c:v>
                </c:pt>
                <c:pt idx="58">
                  <c:v>54.988863207966801</c:v>
                </c:pt>
                <c:pt idx="59">
                  <c:v>55.203441579259199</c:v>
                </c:pt>
                <c:pt idx="60">
                  <c:v>55.607353807574398</c:v>
                </c:pt>
                <c:pt idx="61">
                  <c:v>55.537931393332698</c:v>
                </c:pt>
                <c:pt idx="62">
                  <c:v>55.922910235945601</c:v>
                </c:pt>
                <c:pt idx="63">
                  <c:v>56.396244878502401</c:v>
                </c:pt>
                <c:pt idx="64">
                  <c:v>56.655001149766797</c:v>
                </c:pt>
                <c:pt idx="65">
                  <c:v>57.058913378081897</c:v>
                </c:pt>
                <c:pt idx="66">
                  <c:v>57.551181406341001</c:v>
                </c:pt>
                <c:pt idx="67">
                  <c:v>57.917226863251599</c:v>
                </c:pt>
                <c:pt idx="68">
                  <c:v>58.245405548757702</c:v>
                </c:pt>
                <c:pt idx="69">
                  <c:v>58.781851476988699</c:v>
                </c:pt>
                <c:pt idx="70">
                  <c:v>58.964874205443998</c:v>
                </c:pt>
                <c:pt idx="71">
                  <c:v>59.381408690893998</c:v>
                </c:pt>
                <c:pt idx="72">
                  <c:v>60.2</c:v>
                </c:pt>
                <c:pt idx="73">
                  <c:v>60.5</c:v>
                </c:pt>
                <c:pt idx="74">
                  <c:v>61.3</c:v>
                </c:pt>
                <c:pt idx="75">
                  <c:v>61.7</c:v>
                </c:pt>
                <c:pt idx="76">
                  <c:v>62.2</c:v>
                </c:pt>
                <c:pt idx="77">
                  <c:v>63.1</c:v>
                </c:pt>
                <c:pt idx="78">
                  <c:v>64</c:v>
                </c:pt>
                <c:pt idx="79">
                  <c:v>64.400000000000006</c:v>
                </c:pt>
                <c:pt idx="80">
                  <c:v>64.8</c:v>
                </c:pt>
                <c:pt idx="81">
                  <c:v>65</c:v>
                </c:pt>
                <c:pt idx="82">
                  <c:v>65</c:v>
                </c:pt>
                <c:pt idx="83">
                  <c:v>64.900000000000006</c:v>
                </c:pt>
                <c:pt idx="84">
                  <c:v>65.3</c:v>
                </c:pt>
                <c:pt idx="85">
                  <c:v>65.900000000000006</c:v>
                </c:pt>
                <c:pt idx="86">
                  <c:v>66.900000000000006</c:v>
                </c:pt>
                <c:pt idx="87">
                  <c:v>67.2</c:v>
                </c:pt>
                <c:pt idx="88">
                  <c:v>67.400000000000006</c:v>
                </c:pt>
                <c:pt idx="89">
                  <c:v>67.599999999999994</c:v>
                </c:pt>
                <c:pt idx="90">
                  <c:v>68.3</c:v>
                </c:pt>
                <c:pt idx="91">
                  <c:v>68.5</c:v>
                </c:pt>
                <c:pt idx="92">
                  <c:v>68.7</c:v>
                </c:pt>
                <c:pt idx="93">
                  <c:v>68.7</c:v>
                </c:pt>
                <c:pt idx="94">
                  <c:v>68.7</c:v>
                </c:pt>
                <c:pt idx="95">
                  <c:v>68.900000000000006</c:v>
                </c:pt>
                <c:pt idx="96">
                  <c:v>69.099999999999994</c:v>
                </c:pt>
                <c:pt idx="97">
                  <c:v>69.5</c:v>
                </c:pt>
                <c:pt idx="98">
                  <c:v>70.099999999999994</c:v>
                </c:pt>
                <c:pt idx="99">
                  <c:v>70.099999999999994</c:v>
                </c:pt>
                <c:pt idx="100">
                  <c:v>70.3</c:v>
                </c:pt>
                <c:pt idx="101">
                  <c:v>70.3</c:v>
                </c:pt>
                <c:pt idx="102">
                  <c:v>70.7</c:v>
                </c:pt>
                <c:pt idx="103">
                  <c:v>70.8</c:v>
                </c:pt>
                <c:pt idx="104">
                  <c:v>70.900000000000006</c:v>
                </c:pt>
                <c:pt idx="105">
                  <c:v>71</c:v>
                </c:pt>
                <c:pt idx="106">
                  <c:v>71.099999999999994</c:v>
                </c:pt>
                <c:pt idx="107">
                  <c:v>71.2</c:v>
                </c:pt>
                <c:pt idx="108">
                  <c:v>71.599999999999994</c:v>
                </c:pt>
                <c:pt idx="109">
                  <c:v>72</c:v>
                </c:pt>
                <c:pt idx="110">
                  <c:v>72.900000000000006</c:v>
                </c:pt>
                <c:pt idx="111">
                  <c:v>73.099999999999994</c:v>
                </c:pt>
                <c:pt idx="112">
                  <c:v>73.5</c:v>
                </c:pt>
                <c:pt idx="113">
                  <c:v>73.900000000000006</c:v>
                </c:pt>
                <c:pt idx="114">
                  <c:v>74.5</c:v>
                </c:pt>
                <c:pt idx="115">
                  <c:v>74.5</c:v>
                </c:pt>
                <c:pt idx="116">
                  <c:v>74.900000000000006</c:v>
                </c:pt>
                <c:pt idx="117">
                  <c:v>75.400000000000006</c:v>
                </c:pt>
                <c:pt idx="118">
                  <c:v>75.5</c:v>
                </c:pt>
                <c:pt idx="119">
                  <c:v>75.7</c:v>
                </c:pt>
                <c:pt idx="120">
                  <c:v>76.099999999999994</c:v>
                </c:pt>
                <c:pt idx="121">
                  <c:v>76.5</c:v>
                </c:pt>
                <c:pt idx="122">
                  <c:v>77.3</c:v>
                </c:pt>
                <c:pt idx="123">
                  <c:v>77.7</c:v>
                </c:pt>
                <c:pt idx="124">
                  <c:v>77.7</c:v>
                </c:pt>
                <c:pt idx="125">
                  <c:v>78</c:v>
                </c:pt>
                <c:pt idx="126">
                  <c:v>78.099999999999994</c:v>
                </c:pt>
                <c:pt idx="127">
                  <c:v>78.400000000000006</c:v>
                </c:pt>
                <c:pt idx="128">
                  <c:v>79</c:v>
                </c:pt>
                <c:pt idx="129">
                  <c:v>79.599999999999994</c:v>
                </c:pt>
                <c:pt idx="130">
                  <c:v>79.8</c:v>
                </c:pt>
                <c:pt idx="131">
                  <c:v>80.099999999999994</c:v>
                </c:pt>
                <c:pt idx="132">
                  <c:v>80.3</c:v>
                </c:pt>
                <c:pt idx="133">
                  <c:v>81</c:v>
                </c:pt>
                <c:pt idx="134">
                  <c:v>82</c:v>
                </c:pt>
                <c:pt idx="135">
                  <c:v>82.2</c:v>
                </c:pt>
                <c:pt idx="136">
                  <c:v>82</c:v>
                </c:pt>
                <c:pt idx="137">
                  <c:v>82.3</c:v>
                </c:pt>
                <c:pt idx="138">
                  <c:v>83.1</c:v>
                </c:pt>
                <c:pt idx="139">
                  <c:v>83.4</c:v>
                </c:pt>
                <c:pt idx="140">
                  <c:v>83.8</c:v>
                </c:pt>
                <c:pt idx="141">
                  <c:v>84</c:v>
                </c:pt>
                <c:pt idx="142">
                  <c:v>84.1</c:v>
                </c:pt>
                <c:pt idx="143">
                  <c:v>84.3</c:v>
                </c:pt>
                <c:pt idx="144">
                  <c:v>84.9</c:v>
                </c:pt>
                <c:pt idx="145">
                  <c:v>85.8</c:v>
                </c:pt>
                <c:pt idx="146">
                  <c:v>86.9</c:v>
                </c:pt>
                <c:pt idx="147">
                  <c:v>87.3</c:v>
                </c:pt>
                <c:pt idx="148">
                  <c:v>87.6</c:v>
                </c:pt>
                <c:pt idx="149">
                  <c:v>87.9</c:v>
                </c:pt>
                <c:pt idx="150">
                  <c:v>88.6</c:v>
                </c:pt>
                <c:pt idx="151">
                  <c:v>88.8</c:v>
                </c:pt>
                <c:pt idx="152">
                  <c:v>88.8</c:v>
                </c:pt>
                <c:pt idx="153">
                  <c:v>89</c:v>
                </c:pt>
                <c:pt idx="154">
                  <c:v>89</c:v>
                </c:pt>
                <c:pt idx="155">
                  <c:v>88.8</c:v>
                </c:pt>
                <c:pt idx="156">
                  <c:v>88.7</c:v>
                </c:pt>
                <c:pt idx="157">
                  <c:v>89.3</c:v>
                </c:pt>
                <c:pt idx="158">
                  <c:v>90.4</c:v>
                </c:pt>
                <c:pt idx="159">
                  <c:v>91.3</c:v>
                </c:pt>
                <c:pt idx="160">
                  <c:v>91.4</c:v>
                </c:pt>
                <c:pt idx="161">
                  <c:v>91.9</c:v>
                </c:pt>
                <c:pt idx="162">
                  <c:v>92.7</c:v>
                </c:pt>
                <c:pt idx="163">
                  <c:v>92.8</c:v>
                </c:pt>
                <c:pt idx="164">
                  <c:v>92.8</c:v>
                </c:pt>
                <c:pt idx="165">
                  <c:v>93</c:v>
                </c:pt>
                <c:pt idx="166">
                  <c:v>93.2</c:v>
                </c:pt>
                <c:pt idx="167">
                  <c:v>93.4</c:v>
                </c:pt>
                <c:pt idx="168">
                  <c:v>94.2</c:v>
                </c:pt>
                <c:pt idx="169">
                  <c:v>95.5</c:v>
                </c:pt>
                <c:pt idx="170">
                  <c:v>96.3</c:v>
                </c:pt>
                <c:pt idx="171">
                  <c:v>97.2</c:v>
                </c:pt>
                <c:pt idx="172">
                  <c:v>97.4</c:v>
                </c:pt>
                <c:pt idx="173">
                  <c:v>97.9</c:v>
                </c:pt>
                <c:pt idx="174">
                  <c:v>98.7</c:v>
                </c:pt>
                <c:pt idx="175">
                  <c:v>98.6</c:v>
                </c:pt>
                <c:pt idx="176">
                  <c:v>98.8</c:v>
                </c:pt>
                <c:pt idx="177">
                  <c:v>99.3</c:v>
                </c:pt>
                <c:pt idx="178">
                  <c:v>99.6</c:v>
                </c:pt>
                <c:pt idx="179">
                  <c:v>100</c:v>
                </c:pt>
                <c:pt idx="180">
                  <c:v>100.6</c:v>
                </c:pt>
                <c:pt idx="181">
                  <c:v>101.7</c:v>
                </c:pt>
                <c:pt idx="182">
                  <c:v>102.2</c:v>
                </c:pt>
                <c:pt idx="183">
                  <c:v>102.3</c:v>
                </c:pt>
                <c:pt idx="184">
                  <c:v>102.6</c:v>
                </c:pt>
                <c:pt idx="185">
                  <c:v>102.8</c:v>
                </c:pt>
                <c:pt idx="186">
                  <c:v>103</c:v>
                </c:pt>
                <c:pt idx="187">
                  <c:v>103.1</c:v>
                </c:pt>
                <c:pt idx="188">
                  <c:v>103.6</c:v>
                </c:pt>
                <c:pt idx="189">
                  <c:v>103.9</c:v>
                </c:pt>
                <c:pt idx="190">
                  <c:v>104</c:v>
                </c:pt>
                <c:pt idx="191">
                  <c:v>104.5</c:v>
                </c:pt>
                <c:pt idx="192">
                  <c:v>104.9</c:v>
                </c:pt>
                <c:pt idx="193">
                  <c:v>105.6</c:v>
                </c:pt>
                <c:pt idx="194">
                  <c:v>106</c:v>
                </c:pt>
                <c:pt idx="195">
                  <c:v>106.7</c:v>
                </c:pt>
                <c:pt idx="196">
                  <c:v>107</c:v>
                </c:pt>
                <c:pt idx="197">
                  <c:v>107.3</c:v>
                </c:pt>
                <c:pt idx="198">
                  <c:v>108.2</c:v>
                </c:pt>
                <c:pt idx="199">
                  <c:v>108.1</c:v>
                </c:pt>
                <c:pt idx="200">
                  <c:v>108.6</c:v>
                </c:pt>
                <c:pt idx="201">
                  <c:v>109.1</c:v>
                </c:pt>
                <c:pt idx="202">
                  <c:v>109.3</c:v>
                </c:pt>
                <c:pt idx="203">
                  <c:v>109.1</c:v>
                </c:pt>
                <c:pt idx="204">
                  <c:v>109</c:v>
                </c:pt>
                <c:pt idx="205">
                  <c:v>109.9</c:v>
                </c:pt>
                <c:pt idx="206">
                  <c:v>110.8</c:v>
                </c:pt>
                <c:pt idx="207">
                  <c:v>111.4</c:v>
                </c:pt>
                <c:pt idx="208">
                  <c:v>111.7</c:v>
                </c:pt>
                <c:pt idx="209">
                  <c:v>112.1</c:v>
                </c:pt>
                <c:pt idx="210">
                  <c:v>112.5</c:v>
                </c:pt>
                <c:pt idx="211">
                  <c:v>112.8</c:v>
                </c:pt>
                <c:pt idx="212">
                  <c:v>113.1</c:v>
                </c:pt>
                <c:pt idx="213">
                  <c:v>113.1</c:v>
                </c:pt>
                <c:pt idx="214">
                  <c:v>113.2</c:v>
                </c:pt>
                <c:pt idx="215">
                  <c:v>113.5</c:v>
                </c:pt>
                <c:pt idx="216">
                  <c:v>113.8</c:v>
                </c:pt>
                <c:pt idx="217">
                  <c:v>114.9</c:v>
                </c:pt>
                <c:pt idx="218">
                  <c:v>115.3</c:v>
                </c:pt>
                <c:pt idx="219">
                  <c:v>114.6</c:v>
                </c:pt>
                <c:pt idx="220">
                  <c:v>114</c:v>
                </c:pt>
                <c:pt idx="221">
                  <c:v>114.5</c:v>
                </c:pt>
                <c:pt idx="222">
                  <c:v>116.1</c:v>
                </c:pt>
                <c:pt idx="223">
                  <c:v>116.2</c:v>
                </c:pt>
                <c:pt idx="224">
                  <c:v>116.4</c:v>
                </c:pt>
                <c:pt idx="225">
                  <c:v>116.8</c:v>
                </c:pt>
                <c:pt idx="226">
                  <c:v>116.8</c:v>
                </c:pt>
                <c:pt idx="227">
                  <c:v>117</c:v>
                </c:pt>
                <c:pt idx="228">
                  <c:v>117.4</c:v>
                </c:pt>
                <c:pt idx="229">
                  <c:v>118.2</c:v>
                </c:pt>
                <c:pt idx="230">
                  <c:v>119</c:v>
                </c:pt>
                <c:pt idx="231">
                  <c:v>119.8</c:v>
                </c:pt>
                <c:pt idx="232">
                  <c:v>119.9</c:v>
                </c:pt>
                <c:pt idx="233">
                  <c:v>120.3</c:v>
                </c:pt>
                <c:pt idx="234">
                  <c:v>121.5</c:v>
                </c:pt>
                <c:pt idx="235">
                  <c:v>122.1</c:v>
                </c:pt>
                <c:pt idx="236">
                  <c:v>122.3</c:v>
                </c:pt>
                <c:pt idx="237">
                  <c:v>122.7</c:v>
                </c:pt>
              </c:numCache>
            </c:numRef>
          </c:val>
          <c:smooth val="0"/>
          <c:extLst>
            <c:ext xmlns:c16="http://schemas.microsoft.com/office/drawing/2014/chart" uri="{C3380CC4-5D6E-409C-BE32-E72D297353CC}">
              <c16:uniqueId val="{00000000-4CCE-4489-9476-AFE0FE308B36}"/>
            </c:ext>
          </c:extLst>
        </c:ser>
        <c:ser>
          <c:idx val="1"/>
          <c:order val="1"/>
          <c:tx>
            <c:strRef>
              <c:f>Monthly!$C$10</c:f>
              <c:strCache>
                <c:ptCount val="1"/>
                <c:pt idx="0">
                  <c:v>CPI: Recreation and culture</c:v>
                </c:pt>
              </c:strCache>
            </c:strRef>
          </c:tx>
          <c:spPr>
            <a:ln w="28575" cap="rnd">
              <a:solidFill>
                <a:schemeClr val="accent2"/>
              </a:solidFill>
              <a:round/>
            </a:ln>
            <a:effectLst/>
          </c:spPr>
          <c:marker>
            <c:symbol val="none"/>
          </c:marker>
          <c:cat>
            <c:strRef>
              <c:f>Monthly!$A$11:$A$248</c:f>
              <c:strCache>
                <c:ptCount val="238"/>
                <c:pt idx="0">
                  <c:v>2002/01/31</c:v>
                </c:pt>
                <c:pt idx="1">
                  <c:v>2002/02/28</c:v>
                </c:pt>
                <c:pt idx="2">
                  <c:v>2002/03/31</c:v>
                </c:pt>
                <c:pt idx="3">
                  <c:v>2002/04/30</c:v>
                </c:pt>
                <c:pt idx="4">
                  <c:v>2002/05/31</c:v>
                </c:pt>
                <c:pt idx="5">
                  <c:v>2002/06/30</c:v>
                </c:pt>
                <c:pt idx="6">
                  <c:v>2002/07/31</c:v>
                </c:pt>
                <c:pt idx="7">
                  <c:v>2002/08/31</c:v>
                </c:pt>
                <c:pt idx="8">
                  <c:v>2002/09/30</c:v>
                </c:pt>
                <c:pt idx="9">
                  <c:v>2002/10/31</c:v>
                </c:pt>
                <c:pt idx="10">
                  <c:v>2002/11/30</c:v>
                </c:pt>
                <c:pt idx="11">
                  <c:v>2002/12/31</c:v>
                </c:pt>
                <c:pt idx="12">
                  <c:v>2003/01/31</c:v>
                </c:pt>
                <c:pt idx="13">
                  <c:v>2003/02/28</c:v>
                </c:pt>
                <c:pt idx="14">
                  <c:v>2003/03/31</c:v>
                </c:pt>
                <c:pt idx="15">
                  <c:v>2003/04/30</c:v>
                </c:pt>
                <c:pt idx="16">
                  <c:v>2003/05/31</c:v>
                </c:pt>
                <c:pt idx="17">
                  <c:v>2003/06/30</c:v>
                </c:pt>
                <c:pt idx="18">
                  <c:v>2003/07/31</c:v>
                </c:pt>
                <c:pt idx="19">
                  <c:v>2003/08/31</c:v>
                </c:pt>
                <c:pt idx="20">
                  <c:v>2003/09/30</c:v>
                </c:pt>
                <c:pt idx="21">
                  <c:v>2003/10/31</c:v>
                </c:pt>
                <c:pt idx="22">
                  <c:v>2003/11/30</c:v>
                </c:pt>
                <c:pt idx="23">
                  <c:v>2003/12/31</c:v>
                </c:pt>
                <c:pt idx="24">
                  <c:v>2004/01/31</c:v>
                </c:pt>
                <c:pt idx="25">
                  <c:v>2004/02/29</c:v>
                </c:pt>
                <c:pt idx="26">
                  <c:v>2004/03/31</c:v>
                </c:pt>
                <c:pt idx="27">
                  <c:v>2004/04/30</c:v>
                </c:pt>
                <c:pt idx="28">
                  <c:v>2004/05/31</c:v>
                </c:pt>
                <c:pt idx="29">
                  <c:v>2004/06/30</c:v>
                </c:pt>
                <c:pt idx="30">
                  <c:v>2004/07/31</c:v>
                </c:pt>
                <c:pt idx="31">
                  <c:v>2004/08/31</c:v>
                </c:pt>
                <c:pt idx="32">
                  <c:v>2004/09/30</c:v>
                </c:pt>
                <c:pt idx="33">
                  <c:v>2004/10/31</c:v>
                </c:pt>
                <c:pt idx="34">
                  <c:v>2004/11/30</c:v>
                </c:pt>
                <c:pt idx="35">
                  <c:v>2004/12/31</c:v>
                </c:pt>
                <c:pt idx="36">
                  <c:v>2005/01/31</c:v>
                </c:pt>
                <c:pt idx="37">
                  <c:v>2005/02/28</c:v>
                </c:pt>
                <c:pt idx="38">
                  <c:v>2005/03/31</c:v>
                </c:pt>
                <c:pt idx="39">
                  <c:v>2005/04/30</c:v>
                </c:pt>
                <c:pt idx="40">
                  <c:v>2005/05/31</c:v>
                </c:pt>
                <c:pt idx="41">
                  <c:v>2005/06/30</c:v>
                </c:pt>
                <c:pt idx="42">
                  <c:v>2005/07/31</c:v>
                </c:pt>
                <c:pt idx="43">
                  <c:v>2005/08/31</c:v>
                </c:pt>
                <c:pt idx="44">
                  <c:v>2005/09/30</c:v>
                </c:pt>
                <c:pt idx="45">
                  <c:v>2005/10/31</c:v>
                </c:pt>
                <c:pt idx="46">
                  <c:v>2005/11/30</c:v>
                </c:pt>
                <c:pt idx="47">
                  <c:v>2005/12/31</c:v>
                </c:pt>
                <c:pt idx="48">
                  <c:v>2006/01/31</c:v>
                </c:pt>
                <c:pt idx="49">
                  <c:v>2006/02/28</c:v>
                </c:pt>
                <c:pt idx="50">
                  <c:v>2006/03/31</c:v>
                </c:pt>
                <c:pt idx="51">
                  <c:v>2006/04/30</c:v>
                </c:pt>
                <c:pt idx="52">
                  <c:v>2006/05/31</c:v>
                </c:pt>
                <c:pt idx="53">
                  <c:v>2006/06/30</c:v>
                </c:pt>
                <c:pt idx="54">
                  <c:v>2006/07/31</c:v>
                </c:pt>
                <c:pt idx="55">
                  <c:v>2006/08/31</c:v>
                </c:pt>
                <c:pt idx="56">
                  <c:v>2006/09/30</c:v>
                </c:pt>
                <c:pt idx="57">
                  <c:v>2006/10/31</c:v>
                </c:pt>
                <c:pt idx="58">
                  <c:v>2006/11/30</c:v>
                </c:pt>
                <c:pt idx="59">
                  <c:v>2006/12/31</c:v>
                </c:pt>
                <c:pt idx="60">
                  <c:v>2007/01/31</c:v>
                </c:pt>
                <c:pt idx="61">
                  <c:v>2007/02/28</c:v>
                </c:pt>
                <c:pt idx="62">
                  <c:v>2007/03/31</c:v>
                </c:pt>
                <c:pt idx="63">
                  <c:v>2007/04/30</c:v>
                </c:pt>
                <c:pt idx="64">
                  <c:v>2007/05/31</c:v>
                </c:pt>
                <c:pt idx="65">
                  <c:v>2007/06/30</c:v>
                </c:pt>
                <c:pt idx="66">
                  <c:v>2007/07/31</c:v>
                </c:pt>
                <c:pt idx="67">
                  <c:v>2007/08/31</c:v>
                </c:pt>
                <c:pt idx="68">
                  <c:v>2007/09/30</c:v>
                </c:pt>
                <c:pt idx="69">
                  <c:v>2007/10/31</c:v>
                </c:pt>
                <c:pt idx="70">
                  <c:v>2007/11/30</c:v>
                </c:pt>
                <c:pt idx="71">
                  <c:v>2007/12/31</c:v>
                </c:pt>
                <c:pt idx="72">
                  <c:v>2008/01/31</c:v>
                </c:pt>
                <c:pt idx="73">
                  <c:v>2008/02/29</c:v>
                </c:pt>
                <c:pt idx="74">
                  <c:v>2008/03/31</c:v>
                </c:pt>
                <c:pt idx="75">
                  <c:v>2008/04/30</c:v>
                </c:pt>
                <c:pt idx="76">
                  <c:v>2008/05/31</c:v>
                </c:pt>
                <c:pt idx="77">
                  <c:v>2008/06/30</c:v>
                </c:pt>
                <c:pt idx="78">
                  <c:v>2008/07/31</c:v>
                </c:pt>
                <c:pt idx="79">
                  <c:v>2008/08/31</c:v>
                </c:pt>
                <c:pt idx="80">
                  <c:v>2008/09/30</c:v>
                </c:pt>
                <c:pt idx="81">
                  <c:v>2008/10/31</c:v>
                </c:pt>
                <c:pt idx="82">
                  <c:v>2008/11/30</c:v>
                </c:pt>
                <c:pt idx="83">
                  <c:v>2008/12/31</c:v>
                </c:pt>
                <c:pt idx="84">
                  <c:v>2009/01/31</c:v>
                </c:pt>
                <c:pt idx="85">
                  <c:v>2009/02/28</c:v>
                </c:pt>
                <c:pt idx="86">
                  <c:v>2009/03/31</c:v>
                </c:pt>
                <c:pt idx="87">
                  <c:v>2009/04/30</c:v>
                </c:pt>
                <c:pt idx="88">
                  <c:v>2009/05/31</c:v>
                </c:pt>
                <c:pt idx="89">
                  <c:v>2009/06/30</c:v>
                </c:pt>
                <c:pt idx="90">
                  <c:v>2009/07/31</c:v>
                </c:pt>
                <c:pt idx="91">
                  <c:v>2009/08/31</c:v>
                </c:pt>
                <c:pt idx="92">
                  <c:v>2009/09/30</c:v>
                </c:pt>
                <c:pt idx="93">
                  <c:v>2009/10/31</c:v>
                </c:pt>
                <c:pt idx="94">
                  <c:v>2009/11/30</c:v>
                </c:pt>
                <c:pt idx="95">
                  <c:v>2009/12/31</c:v>
                </c:pt>
                <c:pt idx="96">
                  <c:v>2010/01/31</c:v>
                </c:pt>
                <c:pt idx="97">
                  <c:v>2010/02/28</c:v>
                </c:pt>
                <c:pt idx="98">
                  <c:v>2010/03/31</c:v>
                </c:pt>
                <c:pt idx="99">
                  <c:v>2010/04/30</c:v>
                </c:pt>
                <c:pt idx="100">
                  <c:v>2010/05/31</c:v>
                </c:pt>
                <c:pt idx="101">
                  <c:v>2010/06/30</c:v>
                </c:pt>
                <c:pt idx="102">
                  <c:v>2010/07/31</c:v>
                </c:pt>
                <c:pt idx="103">
                  <c:v>2010/08/31</c:v>
                </c:pt>
                <c:pt idx="104">
                  <c:v>2010/09/30</c:v>
                </c:pt>
                <c:pt idx="105">
                  <c:v>2010/10/31</c:v>
                </c:pt>
                <c:pt idx="106">
                  <c:v>2010/11/30</c:v>
                </c:pt>
                <c:pt idx="107">
                  <c:v>2010/12/31</c:v>
                </c:pt>
                <c:pt idx="108">
                  <c:v>2011/01/31</c:v>
                </c:pt>
                <c:pt idx="109">
                  <c:v>2011/02/28</c:v>
                </c:pt>
                <c:pt idx="110">
                  <c:v>2011/03/31</c:v>
                </c:pt>
                <c:pt idx="111">
                  <c:v>2011/04/30</c:v>
                </c:pt>
                <c:pt idx="112">
                  <c:v>2011/05/31</c:v>
                </c:pt>
                <c:pt idx="113">
                  <c:v>2011/06/30</c:v>
                </c:pt>
                <c:pt idx="114">
                  <c:v>2011/07/31</c:v>
                </c:pt>
                <c:pt idx="115">
                  <c:v>2011/08/31</c:v>
                </c:pt>
                <c:pt idx="116">
                  <c:v>2011/09/30</c:v>
                </c:pt>
                <c:pt idx="117">
                  <c:v>2011/10/31</c:v>
                </c:pt>
                <c:pt idx="118">
                  <c:v>2011/11/30</c:v>
                </c:pt>
                <c:pt idx="119">
                  <c:v>2011/12/31</c:v>
                </c:pt>
                <c:pt idx="120">
                  <c:v>2012/01/31</c:v>
                </c:pt>
                <c:pt idx="121">
                  <c:v>2012/02/29</c:v>
                </c:pt>
                <c:pt idx="122">
                  <c:v>2012/03/31</c:v>
                </c:pt>
                <c:pt idx="123">
                  <c:v>2012/04/30</c:v>
                </c:pt>
                <c:pt idx="124">
                  <c:v>2012/05/31</c:v>
                </c:pt>
                <c:pt idx="125">
                  <c:v>2012/06/30</c:v>
                </c:pt>
                <c:pt idx="126">
                  <c:v>2012/07/31</c:v>
                </c:pt>
                <c:pt idx="127">
                  <c:v>2012/08/31</c:v>
                </c:pt>
                <c:pt idx="128">
                  <c:v>2012/09/30</c:v>
                </c:pt>
                <c:pt idx="129">
                  <c:v>2012/10/31</c:v>
                </c:pt>
                <c:pt idx="130">
                  <c:v>2012/11/30</c:v>
                </c:pt>
                <c:pt idx="131">
                  <c:v>2012/12/31</c:v>
                </c:pt>
                <c:pt idx="132">
                  <c:v>2013/01/31</c:v>
                </c:pt>
                <c:pt idx="133">
                  <c:v>2013/02/28</c:v>
                </c:pt>
                <c:pt idx="134">
                  <c:v>2013/03/31</c:v>
                </c:pt>
                <c:pt idx="135">
                  <c:v>2013/04/30</c:v>
                </c:pt>
                <c:pt idx="136">
                  <c:v>2013/05/31</c:v>
                </c:pt>
                <c:pt idx="137">
                  <c:v>2013/06/30</c:v>
                </c:pt>
                <c:pt idx="138">
                  <c:v>2013/07/31</c:v>
                </c:pt>
                <c:pt idx="139">
                  <c:v>2013/08/31</c:v>
                </c:pt>
                <c:pt idx="140">
                  <c:v>2013/09/30</c:v>
                </c:pt>
                <c:pt idx="141">
                  <c:v>2013/10/31</c:v>
                </c:pt>
                <c:pt idx="142">
                  <c:v>2013/11/30</c:v>
                </c:pt>
                <c:pt idx="143">
                  <c:v>2013/12/31</c:v>
                </c:pt>
                <c:pt idx="144">
                  <c:v>2014/01/31</c:v>
                </c:pt>
                <c:pt idx="145">
                  <c:v>2014/02/28</c:v>
                </c:pt>
                <c:pt idx="146">
                  <c:v>2014/03/31</c:v>
                </c:pt>
                <c:pt idx="147">
                  <c:v>2014/04/30</c:v>
                </c:pt>
                <c:pt idx="148">
                  <c:v>2014/05/31</c:v>
                </c:pt>
                <c:pt idx="149">
                  <c:v>2014/06/30</c:v>
                </c:pt>
                <c:pt idx="150">
                  <c:v>2014/07/31</c:v>
                </c:pt>
                <c:pt idx="151">
                  <c:v>2014/08/31</c:v>
                </c:pt>
                <c:pt idx="152">
                  <c:v>2014/09/30</c:v>
                </c:pt>
                <c:pt idx="153">
                  <c:v>2014/10/31</c:v>
                </c:pt>
                <c:pt idx="154">
                  <c:v>2014/11/30</c:v>
                </c:pt>
                <c:pt idx="155">
                  <c:v>2014/12/31</c:v>
                </c:pt>
                <c:pt idx="156">
                  <c:v>2015/01/31</c:v>
                </c:pt>
                <c:pt idx="157">
                  <c:v>2015/02/28</c:v>
                </c:pt>
                <c:pt idx="158">
                  <c:v>2015/03/31</c:v>
                </c:pt>
                <c:pt idx="159">
                  <c:v>2015/04/30</c:v>
                </c:pt>
                <c:pt idx="160">
                  <c:v>2015/05/31</c:v>
                </c:pt>
                <c:pt idx="161">
                  <c:v>2015/06/30</c:v>
                </c:pt>
                <c:pt idx="162">
                  <c:v>2015/07/31</c:v>
                </c:pt>
                <c:pt idx="163">
                  <c:v>2015/08/31</c:v>
                </c:pt>
                <c:pt idx="164">
                  <c:v>2015/09/30</c:v>
                </c:pt>
                <c:pt idx="165">
                  <c:v>2015/10/31</c:v>
                </c:pt>
                <c:pt idx="166">
                  <c:v>2015/11/30</c:v>
                </c:pt>
                <c:pt idx="167">
                  <c:v>2015/12/31</c:v>
                </c:pt>
                <c:pt idx="168">
                  <c:v>2016/01/31</c:v>
                </c:pt>
                <c:pt idx="169">
                  <c:v>2016/02/29</c:v>
                </c:pt>
                <c:pt idx="170">
                  <c:v>2016/03/31</c:v>
                </c:pt>
                <c:pt idx="171">
                  <c:v>2016/04/30</c:v>
                </c:pt>
                <c:pt idx="172">
                  <c:v>2016/05/31</c:v>
                </c:pt>
                <c:pt idx="173">
                  <c:v>2016/06/30</c:v>
                </c:pt>
                <c:pt idx="174">
                  <c:v>2016/07/31</c:v>
                </c:pt>
                <c:pt idx="175">
                  <c:v>2016/08/31</c:v>
                </c:pt>
                <c:pt idx="176">
                  <c:v>2016/09/30</c:v>
                </c:pt>
                <c:pt idx="177">
                  <c:v>2016/10/31</c:v>
                </c:pt>
                <c:pt idx="178">
                  <c:v>2016/11/30</c:v>
                </c:pt>
                <c:pt idx="179">
                  <c:v>2016/12/31</c:v>
                </c:pt>
                <c:pt idx="180">
                  <c:v>2017/01/31</c:v>
                </c:pt>
                <c:pt idx="181">
                  <c:v>2017/02/28</c:v>
                </c:pt>
                <c:pt idx="182">
                  <c:v>2017/03/31</c:v>
                </c:pt>
                <c:pt idx="183">
                  <c:v>2017/04/30</c:v>
                </c:pt>
                <c:pt idx="184">
                  <c:v>2017/05/31</c:v>
                </c:pt>
                <c:pt idx="185">
                  <c:v>2017/06/30</c:v>
                </c:pt>
                <c:pt idx="186">
                  <c:v>2017/07/31</c:v>
                </c:pt>
                <c:pt idx="187">
                  <c:v>2017/08/31</c:v>
                </c:pt>
                <c:pt idx="188">
                  <c:v>2017/09/30</c:v>
                </c:pt>
                <c:pt idx="189">
                  <c:v>2017/10/31</c:v>
                </c:pt>
                <c:pt idx="190">
                  <c:v>2017/11/30</c:v>
                </c:pt>
                <c:pt idx="191">
                  <c:v>2017/12/31</c:v>
                </c:pt>
                <c:pt idx="192">
                  <c:v>2018/01/31</c:v>
                </c:pt>
                <c:pt idx="193">
                  <c:v>2018/02/28</c:v>
                </c:pt>
                <c:pt idx="194">
                  <c:v>2018/03/31</c:v>
                </c:pt>
                <c:pt idx="195">
                  <c:v>2018/04/30</c:v>
                </c:pt>
                <c:pt idx="196">
                  <c:v>2018/05/31</c:v>
                </c:pt>
                <c:pt idx="197">
                  <c:v>2018/06/30</c:v>
                </c:pt>
                <c:pt idx="198">
                  <c:v>2018/07/31</c:v>
                </c:pt>
                <c:pt idx="199">
                  <c:v>2018/08/31</c:v>
                </c:pt>
                <c:pt idx="200">
                  <c:v>2018/09/30</c:v>
                </c:pt>
                <c:pt idx="201">
                  <c:v>2018/10/31</c:v>
                </c:pt>
                <c:pt idx="202">
                  <c:v>2018/11/30</c:v>
                </c:pt>
                <c:pt idx="203">
                  <c:v>2018/12/31</c:v>
                </c:pt>
                <c:pt idx="204">
                  <c:v>2019/01/31</c:v>
                </c:pt>
                <c:pt idx="205">
                  <c:v>2019/02/28</c:v>
                </c:pt>
                <c:pt idx="206">
                  <c:v>2019/03/31</c:v>
                </c:pt>
                <c:pt idx="207">
                  <c:v>2019/04/30</c:v>
                </c:pt>
                <c:pt idx="208">
                  <c:v>2019/05/31</c:v>
                </c:pt>
                <c:pt idx="209">
                  <c:v>2019/06/30</c:v>
                </c:pt>
                <c:pt idx="210">
                  <c:v>2019/07/31</c:v>
                </c:pt>
                <c:pt idx="211">
                  <c:v>2019/08/31</c:v>
                </c:pt>
                <c:pt idx="212">
                  <c:v>2019/09/30</c:v>
                </c:pt>
                <c:pt idx="213">
                  <c:v>2019/10/31</c:v>
                </c:pt>
                <c:pt idx="214">
                  <c:v>2019/11/30</c:v>
                </c:pt>
                <c:pt idx="215">
                  <c:v>2019/12/31</c:v>
                </c:pt>
                <c:pt idx="216">
                  <c:v>2020/01/31</c:v>
                </c:pt>
                <c:pt idx="217">
                  <c:v>2020/02/29</c:v>
                </c:pt>
                <c:pt idx="218">
                  <c:v>2020/03/31</c:v>
                </c:pt>
                <c:pt idx="219">
                  <c:v>2020/04/30</c:v>
                </c:pt>
                <c:pt idx="220">
                  <c:v>2020/05/31</c:v>
                </c:pt>
                <c:pt idx="221">
                  <c:v>2020/06/30</c:v>
                </c:pt>
                <c:pt idx="222">
                  <c:v>2020/07/31</c:v>
                </c:pt>
                <c:pt idx="223">
                  <c:v>2020/08/31</c:v>
                </c:pt>
                <c:pt idx="224">
                  <c:v>2020/09/30</c:v>
                </c:pt>
                <c:pt idx="225">
                  <c:v>2020/10/31</c:v>
                </c:pt>
                <c:pt idx="226">
                  <c:v>2020/11/30</c:v>
                </c:pt>
                <c:pt idx="227">
                  <c:v>2020/12/31</c:v>
                </c:pt>
                <c:pt idx="228">
                  <c:v>2021/01/31</c:v>
                </c:pt>
                <c:pt idx="229">
                  <c:v>2021/02/28</c:v>
                </c:pt>
                <c:pt idx="230">
                  <c:v>2021/03/31</c:v>
                </c:pt>
                <c:pt idx="231">
                  <c:v>2021/04/30</c:v>
                </c:pt>
                <c:pt idx="232">
                  <c:v>2021/05/31</c:v>
                </c:pt>
                <c:pt idx="233">
                  <c:v>2021/06/30</c:v>
                </c:pt>
                <c:pt idx="234">
                  <c:v>2021/07/31</c:v>
                </c:pt>
                <c:pt idx="235">
                  <c:v>2021/08/31</c:v>
                </c:pt>
                <c:pt idx="236">
                  <c:v>2021/09/30</c:v>
                </c:pt>
                <c:pt idx="237">
                  <c:v>2021/10/31</c:v>
                </c:pt>
              </c:strCache>
            </c:strRef>
          </c:cat>
          <c:val>
            <c:numRef>
              <c:f>Monthly!$C$11:$C$248</c:f>
              <c:numCache>
                <c:formatCode>General</c:formatCode>
                <c:ptCount val="238"/>
                <c:pt idx="0">
                  <c:v>81.260543032569203</c:v>
                </c:pt>
                <c:pt idx="1">
                  <c:v>81.3361412677842</c:v>
                </c:pt>
                <c:pt idx="2">
                  <c:v>82.228200443320802</c:v>
                </c:pt>
                <c:pt idx="3">
                  <c:v>82.7649479133471</c:v>
                </c:pt>
                <c:pt idx="4">
                  <c:v>82.787627383911598</c:v>
                </c:pt>
                <c:pt idx="5">
                  <c:v>84.012318794394105</c:v>
                </c:pt>
                <c:pt idx="6">
                  <c:v>84.1105965001735</c:v>
                </c:pt>
                <c:pt idx="7">
                  <c:v>84.087917029609002</c:v>
                </c:pt>
                <c:pt idx="8">
                  <c:v>83.891361618050098</c:v>
                </c:pt>
                <c:pt idx="9">
                  <c:v>83.944280382700597</c:v>
                </c:pt>
                <c:pt idx="10">
                  <c:v>83.959400029743605</c:v>
                </c:pt>
                <c:pt idx="11">
                  <c:v>83.142939089421901</c:v>
                </c:pt>
                <c:pt idx="12">
                  <c:v>83.301695383373399</c:v>
                </c:pt>
                <c:pt idx="13">
                  <c:v>83.339494500980805</c:v>
                </c:pt>
                <c:pt idx="14">
                  <c:v>80.769154503671899</c:v>
                </c:pt>
                <c:pt idx="15">
                  <c:v>80.874992032972898</c:v>
                </c:pt>
                <c:pt idx="16">
                  <c:v>80.890111680015906</c:v>
                </c:pt>
                <c:pt idx="17">
                  <c:v>80.277765974774596</c:v>
                </c:pt>
                <c:pt idx="18">
                  <c:v>80.376043680554105</c:v>
                </c:pt>
                <c:pt idx="19">
                  <c:v>80.383603504075595</c:v>
                </c:pt>
                <c:pt idx="20">
                  <c:v>79.695659563619401</c:v>
                </c:pt>
                <c:pt idx="21">
                  <c:v>79.718339034183899</c:v>
                </c:pt>
                <c:pt idx="22">
                  <c:v>79.748578328269801</c:v>
                </c:pt>
                <c:pt idx="23">
                  <c:v>79.597381857839906</c:v>
                </c:pt>
                <c:pt idx="24">
                  <c:v>79.461305034453005</c:v>
                </c:pt>
                <c:pt idx="25">
                  <c:v>78.350010976792902</c:v>
                </c:pt>
                <c:pt idx="26">
                  <c:v>78.153455565233998</c:v>
                </c:pt>
                <c:pt idx="27">
                  <c:v>77.253836566175906</c:v>
                </c:pt>
                <c:pt idx="28">
                  <c:v>76.694409625585095</c:v>
                </c:pt>
                <c:pt idx="29">
                  <c:v>76.490294390504701</c:v>
                </c:pt>
                <c:pt idx="30">
                  <c:v>76.097183567386907</c:v>
                </c:pt>
                <c:pt idx="31">
                  <c:v>76.006465685128902</c:v>
                </c:pt>
                <c:pt idx="32">
                  <c:v>75.696512920747594</c:v>
                </c:pt>
                <c:pt idx="33">
                  <c:v>75.643594156097095</c:v>
                </c:pt>
                <c:pt idx="34">
                  <c:v>75.409239626930699</c:v>
                </c:pt>
                <c:pt idx="35">
                  <c:v>75.295842274108196</c:v>
                </c:pt>
                <c:pt idx="36">
                  <c:v>75.152205627199805</c:v>
                </c:pt>
                <c:pt idx="37">
                  <c:v>75.016128803812805</c:v>
                </c:pt>
                <c:pt idx="38">
                  <c:v>74.902731450990402</c:v>
                </c:pt>
                <c:pt idx="39">
                  <c:v>74.751534980560507</c:v>
                </c:pt>
                <c:pt idx="40">
                  <c:v>74.570099216044497</c:v>
                </c:pt>
                <c:pt idx="41">
                  <c:v>74.418902745614602</c:v>
                </c:pt>
                <c:pt idx="42">
                  <c:v>74.343304510399605</c:v>
                </c:pt>
                <c:pt idx="43">
                  <c:v>74.214787510534194</c:v>
                </c:pt>
                <c:pt idx="44">
                  <c:v>74.260146451663203</c:v>
                </c:pt>
                <c:pt idx="45">
                  <c:v>74.086270510668697</c:v>
                </c:pt>
                <c:pt idx="46">
                  <c:v>74.290385745749106</c:v>
                </c:pt>
                <c:pt idx="47">
                  <c:v>74.207227687012704</c:v>
                </c:pt>
                <c:pt idx="48">
                  <c:v>74.985889509726903</c:v>
                </c:pt>
                <c:pt idx="49">
                  <c:v>74.638137627738004</c:v>
                </c:pt>
                <c:pt idx="50">
                  <c:v>74.2525866281417</c:v>
                </c:pt>
                <c:pt idx="51">
                  <c:v>74.320625039835093</c:v>
                </c:pt>
                <c:pt idx="52">
                  <c:v>74.169428569405198</c:v>
                </c:pt>
                <c:pt idx="53">
                  <c:v>74.101390157711705</c:v>
                </c:pt>
                <c:pt idx="54">
                  <c:v>74.222347334055698</c:v>
                </c:pt>
                <c:pt idx="55">
                  <c:v>74.381103628007097</c:v>
                </c:pt>
                <c:pt idx="56">
                  <c:v>74.373543804485607</c:v>
                </c:pt>
                <c:pt idx="57">
                  <c:v>74.585218863087505</c:v>
                </c:pt>
                <c:pt idx="58">
                  <c:v>74.683496568867</c:v>
                </c:pt>
                <c:pt idx="59">
                  <c:v>74.426462569136106</c:v>
                </c:pt>
                <c:pt idx="60">
                  <c:v>74.653257274780998</c:v>
                </c:pt>
                <c:pt idx="61">
                  <c:v>74.554979569001503</c:v>
                </c:pt>
                <c:pt idx="62">
                  <c:v>74.532300098437005</c:v>
                </c:pt>
                <c:pt idx="63">
                  <c:v>74.819573392253901</c:v>
                </c:pt>
                <c:pt idx="64">
                  <c:v>74.902731450990402</c:v>
                </c:pt>
                <c:pt idx="65">
                  <c:v>75.023688627334295</c:v>
                </c:pt>
                <c:pt idx="66">
                  <c:v>75.023688627334295</c:v>
                </c:pt>
                <c:pt idx="67">
                  <c:v>74.706176039431497</c:v>
                </c:pt>
                <c:pt idx="68">
                  <c:v>74.623017980694996</c:v>
                </c:pt>
                <c:pt idx="69">
                  <c:v>74.743975157039003</c:v>
                </c:pt>
                <c:pt idx="70">
                  <c:v>74.600338510130499</c:v>
                </c:pt>
                <c:pt idx="71">
                  <c:v>74.418902745614602</c:v>
                </c:pt>
                <c:pt idx="72">
                  <c:v>73.2</c:v>
                </c:pt>
                <c:pt idx="73">
                  <c:v>73.099999999999994</c:v>
                </c:pt>
                <c:pt idx="74">
                  <c:v>73.099999999999994</c:v>
                </c:pt>
                <c:pt idx="75">
                  <c:v>73.900000000000006</c:v>
                </c:pt>
                <c:pt idx="76">
                  <c:v>75.099999999999994</c:v>
                </c:pt>
                <c:pt idx="77">
                  <c:v>75.099999999999994</c:v>
                </c:pt>
                <c:pt idx="78">
                  <c:v>75.099999999999994</c:v>
                </c:pt>
                <c:pt idx="79">
                  <c:v>76.8</c:v>
                </c:pt>
                <c:pt idx="80">
                  <c:v>76.900000000000006</c:v>
                </c:pt>
                <c:pt idx="81">
                  <c:v>77.3</c:v>
                </c:pt>
                <c:pt idx="82">
                  <c:v>79.099999999999994</c:v>
                </c:pt>
                <c:pt idx="83">
                  <c:v>78.3</c:v>
                </c:pt>
                <c:pt idx="84">
                  <c:v>79.2</c:v>
                </c:pt>
                <c:pt idx="85">
                  <c:v>79.900000000000006</c:v>
                </c:pt>
                <c:pt idx="86">
                  <c:v>84</c:v>
                </c:pt>
                <c:pt idx="87">
                  <c:v>84.8</c:v>
                </c:pt>
                <c:pt idx="88">
                  <c:v>85.3</c:v>
                </c:pt>
                <c:pt idx="89">
                  <c:v>85</c:v>
                </c:pt>
                <c:pt idx="90">
                  <c:v>85.3</c:v>
                </c:pt>
                <c:pt idx="91">
                  <c:v>85.5</c:v>
                </c:pt>
                <c:pt idx="92">
                  <c:v>85.5</c:v>
                </c:pt>
                <c:pt idx="93">
                  <c:v>85.3</c:v>
                </c:pt>
                <c:pt idx="94">
                  <c:v>85.4</c:v>
                </c:pt>
                <c:pt idx="95">
                  <c:v>85.5</c:v>
                </c:pt>
                <c:pt idx="96">
                  <c:v>85.6</c:v>
                </c:pt>
                <c:pt idx="97">
                  <c:v>85</c:v>
                </c:pt>
                <c:pt idx="98">
                  <c:v>85.9</c:v>
                </c:pt>
                <c:pt idx="99">
                  <c:v>84.2</c:v>
                </c:pt>
                <c:pt idx="100">
                  <c:v>84.1</c:v>
                </c:pt>
                <c:pt idx="101">
                  <c:v>83.7</c:v>
                </c:pt>
                <c:pt idx="102">
                  <c:v>83.3</c:v>
                </c:pt>
                <c:pt idx="103">
                  <c:v>83.8</c:v>
                </c:pt>
                <c:pt idx="104">
                  <c:v>83.5</c:v>
                </c:pt>
                <c:pt idx="105">
                  <c:v>84.1</c:v>
                </c:pt>
                <c:pt idx="106">
                  <c:v>84.1</c:v>
                </c:pt>
                <c:pt idx="107">
                  <c:v>84.1</c:v>
                </c:pt>
                <c:pt idx="108">
                  <c:v>83.5</c:v>
                </c:pt>
                <c:pt idx="109">
                  <c:v>83.5</c:v>
                </c:pt>
                <c:pt idx="110">
                  <c:v>84.1</c:v>
                </c:pt>
                <c:pt idx="111">
                  <c:v>84.4</c:v>
                </c:pt>
                <c:pt idx="112">
                  <c:v>84.6</c:v>
                </c:pt>
                <c:pt idx="113">
                  <c:v>84.2</c:v>
                </c:pt>
                <c:pt idx="114">
                  <c:v>83.8</c:v>
                </c:pt>
                <c:pt idx="115">
                  <c:v>83.5</c:v>
                </c:pt>
                <c:pt idx="116">
                  <c:v>83.6</c:v>
                </c:pt>
                <c:pt idx="117">
                  <c:v>82.9</c:v>
                </c:pt>
                <c:pt idx="118">
                  <c:v>83.5</c:v>
                </c:pt>
                <c:pt idx="119">
                  <c:v>83.4</c:v>
                </c:pt>
                <c:pt idx="120">
                  <c:v>83.4</c:v>
                </c:pt>
                <c:pt idx="121">
                  <c:v>83.8</c:v>
                </c:pt>
                <c:pt idx="122">
                  <c:v>83.5</c:v>
                </c:pt>
                <c:pt idx="123">
                  <c:v>84.1</c:v>
                </c:pt>
                <c:pt idx="124">
                  <c:v>83.7</c:v>
                </c:pt>
                <c:pt idx="125">
                  <c:v>84.1</c:v>
                </c:pt>
                <c:pt idx="126">
                  <c:v>84.5</c:v>
                </c:pt>
                <c:pt idx="127">
                  <c:v>84.6</c:v>
                </c:pt>
                <c:pt idx="128">
                  <c:v>85</c:v>
                </c:pt>
                <c:pt idx="129">
                  <c:v>86</c:v>
                </c:pt>
                <c:pt idx="130">
                  <c:v>85.9</c:v>
                </c:pt>
                <c:pt idx="131">
                  <c:v>85.7</c:v>
                </c:pt>
                <c:pt idx="132">
                  <c:v>85.9</c:v>
                </c:pt>
                <c:pt idx="133">
                  <c:v>86.7</c:v>
                </c:pt>
                <c:pt idx="134">
                  <c:v>87.1</c:v>
                </c:pt>
                <c:pt idx="135">
                  <c:v>87.4</c:v>
                </c:pt>
                <c:pt idx="136">
                  <c:v>87.4</c:v>
                </c:pt>
                <c:pt idx="137">
                  <c:v>87.5</c:v>
                </c:pt>
                <c:pt idx="138">
                  <c:v>87.2</c:v>
                </c:pt>
                <c:pt idx="139">
                  <c:v>87.5</c:v>
                </c:pt>
                <c:pt idx="140">
                  <c:v>87.8</c:v>
                </c:pt>
                <c:pt idx="141">
                  <c:v>87.8</c:v>
                </c:pt>
                <c:pt idx="142">
                  <c:v>88</c:v>
                </c:pt>
                <c:pt idx="143">
                  <c:v>87.9</c:v>
                </c:pt>
                <c:pt idx="144">
                  <c:v>88.7</c:v>
                </c:pt>
                <c:pt idx="145">
                  <c:v>88.7</c:v>
                </c:pt>
                <c:pt idx="146">
                  <c:v>88.9</c:v>
                </c:pt>
                <c:pt idx="147">
                  <c:v>89.5</c:v>
                </c:pt>
                <c:pt idx="148">
                  <c:v>89.6</c:v>
                </c:pt>
                <c:pt idx="149">
                  <c:v>89.8</c:v>
                </c:pt>
                <c:pt idx="150">
                  <c:v>90.1</c:v>
                </c:pt>
                <c:pt idx="151">
                  <c:v>90.1</c:v>
                </c:pt>
                <c:pt idx="152">
                  <c:v>90.1</c:v>
                </c:pt>
                <c:pt idx="153">
                  <c:v>90.1</c:v>
                </c:pt>
                <c:pt idx="154">
                  <c:v>90.4</c:v>
                </c:pt>
                <c:pt idx="155">
                  <c:v>90.4</c:v>
                </c:pt>
                <c:pt idx="156">
                  <c:v>90.7</c:v>
                </c:pt>
                <c:pt idx="157">
                  <c:v>91</c:v>
                </c:pt>
                <c:pt idx="158">
                  <c:v>90.9</c:v>
                </c:pt>
                <c:pt idx="159">
                  <c:v>91.3</c:v>
                </c:pt>
                <c:pt idx="160">
                  <c:v>91.2</c:v>
                </c:pt>
                <c:pt idx="161">
                  <c:v>91.4</c:v>
                </c:pt>
                <c:pt idx="162">
                  <c:v>91.9</c:v>
                </c:pt>
                <c:pt idx="163">
                  <c:v>92.1</c:v>
                </c:pt>
                <c:pt idx="164">
                  <c:v>92.1</c:v>
                </c:pt>
                <c:pt idx="165">
                  <c:v>92.5</c:v>
                </c:pt>
                <c:pt idx="166">
                  <c:v>93</c:v>
                </c:pt>
                <c:pt idx="167">
                  <c:v>92.7</c:v>
                </c:pt>
                <c:pt idx="168">
                  <c:v>96.6</c:v>
                </c:pt>
                <c:pt idx="169">
                  <c:v>96.9</c:v>
                </c:pt>
                <c:pt idx="170">
                  <c:v>97</c:v>
                </c:pt>
                <c:pt idx="171">
                  <c:v>97.3</c:v>
                </c:pt>
                <c:pt idx="172">
                  <c:v>97.2</c:v>
                </c:pt>
                <c:pt idx="173">
                  <c:v>97.7</c:v>
                </c:pt>
                <c:pt idx="174">
                  <c:v>98</c:v>
                </c:pt>
                <c:pt idx="175">
                  <c:v>98.6</c:v>
                </c:pt>
                <c:pt idx="176">
                  <c:v>98.7</c:v>
                </c:pt>
                <c:pt idx="177">
                  <c:v>99.2</c:v>
                </c:pt>
                <c:pt idx="178">
                  <c:v>99.1</c:v>
                </c:pt>
                <c:pt idx="179">
                  <c:v>100</c:v>
                </c:pt>
                <c:pt idx="180">
                  <c:v>99.9</c:v>
                </c:pt>
                <c:pt idx="181">
                  <c:v>100.2</c:v>
                </c:pt>
                <c:pt idx="182">
                  <c:v>100.3</c:v>
                </c:pt>
                <c:pt idx="183">
                  <c:v>100.5</c:v>
                </c:pt>
                <c:pt idx="184">
                  <c:v>100.6</c:v>
                </c:pt>
                <c:pt idx="185">
                  <c:v>100.7</c:v>
                </c:pt>
                <c:pt idx="186">
                  <c:v>100.9</c:v>
                </c:pt>
                <c:pt idx="187">
                  <c:v>100.9</c:v>
                </c:pt>
                <c:pt idx="188">
                  <c:v>100.6</c:v>
                </c:pt>
                <c:pt idx="189">
                  <c:v>100.6</c:v>
                </c:pt>
                <c:pt idx="190">
                  <c:v>100.4</c:v>
                </c:pt>
                <c:pt idx="191">
                  <c:v>100.4</c:v>
                </c:pt>
                <c:pt idx="192">
                  <c:v>100.6</c:v>
                </c:pt>
                <c:pt idx="193">
                  <c:v>100.6</c:v>
                </c:pt>
                <c:pt idx="194">
                  <c:v>100.6</c:v>
                </c:pt>
                <c:pt idx="195">
                  <c:v>101.8</c:v>
                </c:pt>
                <c:pt idx="196">
                  <c:v>101.9</c:v>
                </c:pt>
                <c:pt idx="197">
                  <c:v>101.3</c:v>
                </c:pt>
                <c:pt idx="198">
                  <c:v>101.3</c:v>
                </c:pt>
                <c:pt idx="199">
                  <c:v>101.2</c:v>
                </c:pt>
                <c:pt idx="200">
                  <c:v>101.2</c:v>
                </c:pt>
                <c:pt idx="201">
                  <c:v>101.3</c:v>
                </c:pt>
                <c:pt idx="202">
                  <c:v>101.3</c:v>
                </c:pt>
                <c:pt idx="203">
                  <c:v>101.5</c:v>
                </c:pt>
                <c:pt idx="204">
                  <c:v>101.7</c:v>
                </c:pt>
                <c:pt idx="205">
                  <c:v>101.8</c:v>
                </c:pt>
                <c:pt idx="206">
                  <c:v>101.8</c:v>
                </c:pt>
                <c:pt idx="207">
                  <c:v>102.2</c:v>
                </c:pt>
                <c:pt idx="208">
                  <c:v>102.3</c:v>
                </c:pt>
                <c:pt idx="209">
                  <c:v>102.2</c:v>
                </c:pt>
                <c:pt idx="210">
                  <c:v>102.2</c:v>
                </c:pt>
                <c:pt idx="211">
                  <c:v>102.5</c:v>
                </c:pt>
                <c:pt idx="212">
                  <c:v>102.6</c:v>
                </c:pt>
                <c:pt idx="213">
                  <c:v>102.4</c:v>
                </c:pt>
                <c:pt idx="214">
                  <c:v>102.6</c:v>
                </c:pt>
                <c:pt idx="215">
                  <c:v>102.7</c:v>
                </c:pt>
                <c:pt idx="216">
                  <c:v>102.5</c:v>
                </c:pt>
                <c:pt idx="217">
                  <c:v>102.7</c:v>
                </c:pt>
                <c:pt idx="218">
                  <c:v>102.7</c:v>
                </c:pt>
                <c:pt idx="219">
                  <c:v>102.7</c:v>
                </c:pt>
                <c:pt idx="220">
                  <c:v>103.2</c:v>
                </c:pt>
                <c:pt idx="221">
                  <c:v>103.3</c:v>
                </c:pt>
                <c:pt idx="222">
                  <c:v>103.4</c:v>
                </c:pt>
                <c:pt idx="223">
                  <c:v>103.5</c:v>
                </c:pt>
                <c:pt idx="224">
                  <c:v>103.8</c:v>
                </c:pt>
                <c:pt idx="225">
                  <c:v>104.2</c:v>
                </c:pt>
                <c:pt idx="226">
                  <c:v>104.4</c:v>
                </c:pt>
                <c:pt idx="227">
                  <c:v>104.4</c:v>
                </c:pt>
                <c:pt idx="228">
                  <c:v>104.1</c:v>
                </c:pt>
                <c:pt idx="229">
                  <c:v>104.1</c:v>
                </c:pt>
                <c:pt idx="230">
                  <c:v>104.5</c:v>
                </c:pt>
                <c:pt idx="231">
                  <c:v>105</c:v>
                </c:pt>
                <c:pt idx="232">
                  <c:v>105</c:v>
                </c:pt>
                <c:pt idx="233">
                  <c:v>105</c:v>
                </c:pt>
                <c:pt idx="234">
                  <c:v>105.2</c:v>
                </c:pt>
                <c:pt idx="235">
                  <c:v>105.5</c:v>
                </c:pt>
                <c:pt idx="236">
                  <c:v>105.5</c:v>
                </c:pt>
                <c:pt idx="237">
                  <c:v>105.7</c:v>
                </c:pt>
              </c:numCache>
            </c:numRef>
          </c:val>
          <c:smooth val="0"/>
          <c:extLst>
            <c:ext xmlns:c16="http://schemas.microsoft.com/office/drawing/2014/chart" uri="{C3380CC4-5D6E-409C-BE32-E72D297353CC}">
              <c16:uniqueId val="{00000001-4CCE-4489-9476-AFE0FE308B36}"/>
            </c:ext>
          </c:extLst>
        </c:ser>
        <c:ser>
          <c:idx val="2"/>
          <c:order val="2"/>
          <c:tx>
            <c:strRef>
              <c:f>Monthly!$D$10</c:f>
              <c:strCache>
                <c:ptCount val="1"/>
                <c:pt idx="0">
                  <c:v>CPI: Recreational equipment</c:v>
                </c:pt>
              </c:strCache>
            </c:strRef>
          </c:tx>
          <c:spPr>
            <a:ln w="28575" cap="rnd">
              <a:solidFill>
                <a:schemeClr val="accent3"/>
              </a:solidFill>
              <a:round/>
            </a:ln>
            <a:effectLst/>
          </c:spPr>
          <c:marker>
            <c:symbol val="none"/>
          </c:marker>
          <c:cat>
            <c:strRef>
              <c:f>Monthly!$A$11:$A$248</c:f>
              <c:strCache>
                <c:ptCount val="238"/>
                <c:pt idx="0">
                  <c:v>2002/01/31</c:v>
                </c:pt>
                <c:pt idx="1">
                  <c:v>2002/02/28</c:v>
                </c:pt>
                <c:pt idx="2">
                  <c:v>2002/03/31</c:v>
                </c:pt>
                <c:pt idx="3">
                  <c:v>2002/04/30</c:v>
                </c:pt>
                <c:pt idx="4">
                  <c:v>2002/05/31</c:v>
                </c:pt>
                <c:pt idx="5">
                  <c:v>2002/06/30</c:v>
                </c:pt>
                <c:pt idx="6">
                  <c:v>2002/07/31</c:v>
                </c:pt>
                <c:pt idx="7">
                  <c:v>2002/08/31</c:v>
                </c:pt>
                <c:pt idx="8">
                  <c:v>2002/09/30</c:v>
                </c:pt>
                <c:pt idx="9">
                  <c:v>2002/10/31</c:v>
                </c:pt>
                <c:pt idx="10">
                  <c:v>2002/11/30</c:v>
                </c:pt>
                <c:pt idx="11">
                  <c:v>2002/12/31</c:v>
                </c:pt>
                <c:pt idx="12">
                  <c:v>2003/01/31</c:v>
                </c:pt>
                <c:pt idx="13">
                  <c:v>2003/02/28</c:v>
                </c:pt>
                <c:pt idx="14">
                  <c:v>2003/03/31</c:v>
                </c:pt>
                <c:pt idx="15">
                  <c:v>2003/04/30</c:v>
                </c:pt>
                <c:pt idx="16">
                  <c:v>2003/05/31</c:v>
                </c:pt>
                <c:pt idx="17">
                  <c:v>2003/06/30</c:v>
                </c:pt>
                <c:pt idx="18">
                  <c:v>2003/07/31</c:v>
                </c:pt>
                <c:pt idx="19">
                  <c:v>2003/08/31</c:v>
                </c:pt>
                <c:pt idx="20">
                  <c:v>2003/09/30</c:v>
                </c:pt>
                <c:pt idx="21">
                  <c:v>2003/10/31</c:v>
                </c:pt>
                <c:pt idx="22">
                  <c:v>2003/11/30</c:v>
                </c:pt>
                <c:pt idx="23">
                  <c:v>2003/12/31</c:v>
                </c:pt>
                <c:pt idx="24">
                  <c:v>2004/01/31</c:v>
                </c:pt>
                <c:pt idx="25">
                  <c:v>2004/02/29</c:v>
                </c:pt>
                <c:pt idx="26">
                  <c:v>2004/03/31</c:v>
                </c:pt>
                <c:pt idx="27">
                  <c:v>2004/04/30</c:v>
                </c:pt>
                <c:pt idx="28">
                  <c:v>2004/05/31</c:v>
                </c:pt>
                <c:pt idx="29">
                  <c:v>2004/06/30</c:v>
                </c:pt>
                <c:pt idx="30">
                  <c:v>2004/07/31</c:v>
                </c:pt>
                <c:pt idx="31">
                  <c:v>2004/08/31</c:v>
                </c:pt>
                <c:pt idx="32">
                  <c:v>2004/09/30</c:v>
                </c:pt>
                <c:pt idx="33">
                  <c:v>2004/10/31</c:v>
                </c:pt>
                <c:pt idx="34">
                  <c:v>2004/11/30</c:v>
                </c:pt>
                <c:pt idx="35">
                  <c:v>2004/12/31</c:v>
                </c:pt>
                <c:pt idx="36">
                  <c:v>2005/01/31</c:v>
                </c:pt>
                <c:pt idx="37">
                  <c:v>2005/02/28</c:v>
                </c:pt>
                <c:pt idx="38">
                  <c:v>2005/03/31</c:v>
                </c:pt>
                <c:pt idx="39">
                  <c:v>2005/04/30</c:v>
                </c:pt>
                <c:pt idx="40">
                  <c:v>2005/05/31</c:v>
                </c:pt>
                <c:pt idx="41">
                  <c:v>2005/06/30</c:v>
                </c:pt>
                <c:pt idx="42">
                  <c:v>2005/07/31</c:v>
                </c:pt>
                <c:pt idx="43">
                  <c:v>2005/08/31</c:v>
                </c:pt>
                <c:pt idx="44">
                  <c:v>2005/09/30</c:v>
                </c:pt>
                <c:pt idx="45">
                  <c:v>2005/10/31</c:v>
                </c:pt>
                <c:pt idx="46">
                  <c:v>2005/11/30</c:v>
                </c:pt>
                <c:pt idx="47">
                  <c:v>2005/12/31</c:v>
                </c:pt>
                <c:pt idx="48">
                  <c:v>2006/01/31</c:v>
                </c:pt>
                <c:pt idx="49">
                  <c:v>2006/02/28</c:v>
                </c:pt>
                <c:pt idx="50">
                  <c:v>2006/03/31</c:v>
                </c:pt>
                <c:pt idx="51">
                  <c:v>2006/04/30</c:v>
                </c:pt>
                <c:pt idx="52">
                  <c:v>2006/05/31</c:v>
                </c:pt>
                <c:pt idx="53">
                  <c:v>2006/06/30</c:v>
                </c:pt>
                <c:pt idx="54">
                  <c:v>2006/07/31</c:v>
                </c:pt>
                <c:pt idx="55">
                  <c:v>2006/08/31</c:v>
                </c:pt>
                <c:pt idx="56">
                  <c:v>2006/09/30</c:v>
                </c:pt>
                <c:pt idx="57">
                  <c:v>2006/10/31</c:v>
                </c:pt>
                <c:pt idx="58">
                  <c:v>2006/11/30</c:v>
                </c:pt>
                <c:pt idx="59">
                  <c:v>2006/12/31</c:v>
                </c:pt>
                <c:pt idx="60">
                  <c:v>2007/01/31</c:v>
                </c:pt>
                <c:pt idx="61">
                  <c:v>2007/02/28</c:v>
                </c:pt>
                <c:pt idx="62">
                  <c:v>2007/03/31</c:v>
                </c:pt>
                <c:pt idx="63">
                  <c:v>2007/04/30</c:v>
                </c:pt>
                <c:pt idx="64">
                  <c:v>2007/05/31</c:v>
                </c:pt>
                <c:pt idx="65">
                  <c:v>2007/06/30</c:v>
                </c:pt>
                <c:pt idx="66">
                  <c:v>2007/07/31</c:v>
                </c:pt>
                <c:pt idx="67">
                  <c:v>2007/08/31</c:v>
                </c:pt>
                <c:pt idx="68">
                  <c:v>2007/09/30</c:v>
                </c:pt>
                <c:pt idx="69">
                  <c:v>2007/10/31</c:v>
                </c:pt>
                <c:pt idx="70">
                  <c:v>2007/11/30</c:v>
                </c:pt>
                <c:pt idx="71">
                  <c:v>2007/12/31</c:v>
                </c:pt>
                <c:pt idx="72">
                  <c:v>2008/01/31</c:v>
                </c:pt>
                <c:pt idx="73">
                  <c:v>2008/02/29</c:v>
                </c:pt>
                <c:pt idx="74">
                  <c:v>2008/03/31</c:v>
                </c:pt>
                <c:pt idx="75">
                  <c:v>2008/04/30</c:v>
                </c:pt>
                <c:pt idx="76">
                  <c:v>2008/05/31</c:v>
                </c:pt>
                <c:pt idx="77">
                  <c:v>2008/06/30</c:v>
                </c:pt>
                <c:pt idx="78">
                  <c:v>2008/07/31</c:v>
                </c:pt>
                <c:pt idx="79">
                  <c:v>2008/08/31</c:v>
                </c:pt>
                <c:pt idx="80">
                  <c:v>2008/09/30</c:v>
                </c:pt>
                <c:pt idx="81">
                  <c:v>2008/10/31</c:v>
                </c:pt>
                <c:pt idx="82">
                  <c:v>2008/11/30</c:v>
                </c:pt>
                <c:pt idx="83">
                  <c:v>2008/12/31</c:v>
                </c:pt>
                <c:pt idx="84">
                  <c:v>2009/01/31</c:v>
                </c:pt>
                <c:pt idx="85">
                  <c:v>2009/02/28</c:v>
                </c:pt>
                <c:pt idx="86">
                  <c:v>2009/03/31</c:v>
                </c:pt>
                <c:pt idx="87">
                  <c:v>2009/04/30</c:v>
                </c:pt>
                <c:pt idx="88">
                  <c:v>2009/05/31</c:v>
                </c:pt>
                <c:pt idx="89">
                  <c:v>2009/06/30</c:v>
                </c:pt>
                <c:pt idx="90">
                  <c:v>2009/07/31</c:v>
                </c:pt>
                <c:pt idx="91">
                  <c:v>2009/08/31</c:v>
                </c:pt>
                <c:pt idx="92">
                  <c:v>2009/09/30</c:v>
                </c:pt>
                <c:pt idx="93">
                  <c:v>2009/10/31</c:v>
                </c:pt>
                <c:pt idx="94">
                  <c:v>2009/11/30</c:v>
                </c:pt>
                <c:pt idx="95">
                  <c:v>2009/12/31</c:v>
                </c:pt>
                <c:pt idx="96">
                  <c:v>2010/01/31</c:v>
                </c:pt>
                <c:pt idx="97">
                  <c:v>2010/02/28</c:v>
                </c:pt>
                <c:pt idx="98">
                  <c:v>2010/03/31</c:v>
                </c:pt>
                <c:pt idx="99">
                  <c:v>2010/04/30</c:v>
                </c:pt>
                <c:pt idx="100">
                  <c:v>2010/05/31</c:v>
                </c:pt>
                <c:pt idx="101">
                  <c:v>2010/06/30</c:v>
                </c:pt>
                <c:pt idx="102">
                  <c:v>2010/07/31</c:v>
                </c:pt>
                <c:pt idx="103">
                  <c:v>2010/08/31</c:v>
                </c:pt>
                <c:pt idx="104">
                  <c:v>2010/09/30</c:v>
                </c:pt>
                <c:pt idx="105">
                  <c:v>2010/10/31</c:v>
                </c:pt>
                <c:pt idx="106">
                  <c:v>2010/11/30</c:v>
                </c:pt>
                <c:pt idx="107">
                  <c:v>2010/12/31</c:v>
                </c:pt>
                <c:pt idx="108">
                  <c:v>2011/01/31</c:v>
                </c:pt>
                <c:pt idx="109">
                  <c:v>2011/02/28</c:v>
                </c:pt>
                <c:pt idx="110">
                  <c:v>2011/03/31</c:v>
                </c:pt>
                <c:pt idx="111">
                  <c:v>2011/04/30</c:v>
                </c:pt>
                <c:pt idx="112">
                  <c:v>2011/05/31</c:v>
                </c:pt>
                <c:pt idx="113">
                  <c:v>2011/06/30</c:v>
                </c:pt>
                <c:pt idx="114">
                  <c:v>2011/07/31</c:v>
                </c:pt>
                <c:pt idx="115">
                  <c:v>2011/08/31</c:v>
                </c:pt>
                <c:pt idx="116">
                  <c:v>2011/09/30</c:v>
                </c:pt>
                <c:pt idx="117">
                  <c:v>2011/10/31</c:v>
                </c:pt>
                <c:pt idx="118">
                  <c:v>2011/11/30</c:v>
                </c:pt>
                <c:pt idx="119">
                  <c:v>2011/12/31</c:v>
                </c:pt>
                <c:pt idx="120">
                  <c:v>2012/01/31</c:v>
                </c:pt>
                <c:pt idx="121">
                  <c:v>2012/02/29</c:v>
                </c:pt>
                <c:pt idx="122">
                  <c:v>2012/03/31</c:v>
                </c:pt>
                <c:pt idx="123">
                  <c:v>2012/04/30</c:v>
                </c:pt>
                <c:pt idx="124">
                  <c:v>2012/05/31</c:v>
                </c:pt>
                <c:pt idx="125">
                  <c:v>2012/06/30</c:v>
                </c:pt>
                <c:pt idx="126">
                  <c:v>2012/07/31</c:v>
                </c:pt>
                <c:pt idx="127">
                  <c:v>2012/08/31</c:v>
                </c:pt>
                <c:pt idx="128">
                  <c:v>2012/09/30</c:v>
                </c:pt>
                <c:pt idx="129">
                  <c:v>2012/10/31</c:v>
                </c:pt>
                <c:pt idx="130">
                  <c:v>2012/11/30</c:v>
                </c:pt>
                <c:pt idx="131">
                  <c:v>2012/12/31</c:v>
                </c:pt>
                <c:pt idx="132">
                  <c:v>2013/01/31</c:v>
                </c:pt>
                <c:pt idx="133">
                  <c:v>2013/02/28</c:v>
                </c:pt>
                <c:pt idx="134">
                  <c:v>2013/03/31</c:v>
                </c:pt>
                <c:pt idx="135">
                  <c:v>2013/04/30</c:v>
                </c:pt>
                <c:pt idx="136">
                  <c:v>2013/05/31</c:v>
                </c:pt>
                <c:pt idx="137">
                  <c:v>2013/06/30</c:v>
                </c:pt>
                <c:pt idx="138">
                  <c:v>2013/07/31</c:v>
                </c:pt>
                <c:pt idx="139">
                  <c:v>2013/08/31</c:v>
                </c:pt>
                <c:pt idx="140">
                  <c:v>2013/09/30</c:v>
                </c:pt>
                <c:pt idx="141">
                  <c:v>2013/10/31</c:v>
                </c:pt>
                <c:pt idx="142">
                  <c:v>2013/11/30</c:v>
                </c:pt>
                <c:pt idx="143">
                  <c:v>2013/12/31</c:v>
                </c:pt>
                <c:pt idx="144">
                  <c:v>2014/01/31</c:v>
                </c:pt>
                <c:pt idx="145">
                  <c:v>2014/02/28</c:v>
                </c:pt>
                <c:pt idx="146">
                  <c:v>2014/03/31</c:v>
                </c:pt>
                <c:pt idx="147">
                  <c:v>2014/04/30</c:v>
                </c:pt>
                <c:pt idx="148">
                  <c:v>2014/05/31</c:v>
                </c:pt>
                <c:pt idx="149">
                  <c:v>2014/06/30</c:v>
                </c:pt>
                <c:pt idx="150">
                  <c:v>2014/07/31</c:v>
                </c:pt>
                <c:pt idx="151">
                  <c:v>2014/08/31</c:v>
                </c:pt>
                <c:pt idx="152">
                  <c:v>2014/09/30</c:v>
                </c:pt>
                <c:pt idx="153">
                  <c:v>2014/10/31</c:v>
                </c:pt>
                <c:pt idx="154">
                  <c:v>2014/11/30</c:v>
                </c:pt>
                <c:pt idx="155">
                  <c:v>2014/12/31</c:v>
                </c:pt>
                <c:pt idx="156">
                  <c:v>2015/01/31</c:v>
                </c:pt>
                <c:pt idx="157">
                  <c:v>2015/02/28</c:v>
                </c:pt>
                <c:pt idx="158">
                  <c:v>2015/03/31</c:v>
                </c:pt>
                <c:pt idx="159">
                  <c:v>2015/04/30</c:v>
                </c:pt>
                <c:pt idx="160">
                  <c:v>2015/05/31</c:v>
                </c:pt>
                <c:pt idx="161">
                  <c:v>2015/06/30</c:v>
                </c:pt>
                <c:pt idx="162">
                  <c:v>2015/07/31</c:v>
                </c:pt>
                <c:pt idx="163">
                  <c:v>2015/08/31</c:v>
                </c:pt>
                <c:pt idx="164">
                  <c:v>2015/09/30</c:v>
                </c:pt>
                <c:pt idx="165">
                  <c:v>2015/10/31</c:v>
                </c:pt>
                <c:pt idx="166">
                  <c:v>2015/11/30</c:v>
                </c:pt>
                <c:pt idx="167">
                  <c:v>2015/12/31</c:v>
                </c:pt>
                <c:pt idx="168">
                  <c:v>2016/01/31</c:v>
                </c:pt>
                <c:pt idx="169">
                  <c:v>2016/02/29</c:v>
                </c:pt>
                <c:pt idx="170">
                  <c:v>2016/03/31</c:v>
                </c:pt>
                <c:pt idx="171">
                  <c:v>2016/04/30</c:v>
                </c:pt>
                <c:pt idx="172">
                  <c:v>2016/05/31</c:v>
                </c:pt>
                <c:pt idx="173">
                  <c:v>2016/06/30</c:v>
                </c:pt>
                <c:pt idx="174">
                  <c:v>2016/07/31</c:v>
                </c:pt>
                <c:pt idx="175">
                  <c:v>2016/08/31</c:v>
                </c:pt>
                <c:pt idx="176">
                  <c:v>2016/09/30</c:v>
                </c:pt>
                <c:pt idx="177">
                  <c:v>2016/10/31</c:v>
                </c:pt>
                <c:pt idx="178">
                  <c:v>2016/11/30</c:v>
                </c:pt>
                <c:pt idx="179">
                  <c:v>2016/12/31</c:v>
                </c:pt>
                <c:pt idx="180">
                  <c:v>2017/01/31</c:v>
                </c:pt>
                <c:pt idx="181">
                  <c:v>2017/02/28</c:v>
                </c:pt>
                <c:pt idx="182">
                  <c:v>2017/03/31</c:v>
                </c:pt>
                <c:pt idx="183">
                  <c:v>2017/04/30</c:v>
                </c:pt>
                <c:pt idx="184">
                  <c:v>2017/05/31</c:v>
                </c:pt>
                <c:pt idx="185">
                  <c:v>2017/06/30</c:v>
                </c:pt>
                <c:pt idx="186">
                  <c:v>2017/07/31</c:v>
                </c:pt>
                <c:pt idx="187">
                  <c:v>2017/08/31</c:v>
                </c:pt>
                <c:pt idx="188">
                  <c:v>2017/09/30</c:v>
                </c:pt>
                <c:pt idx="189">
                  <c:v>2017/10/31</c:v>
                </c:pt>
                <c:pt idx="190">
                  <c:v>2017/11/30</c:v>
                </c:pt>
                <c:pt idx="191">
                  <c:v>2017/12/31</c:v>
                </c:pt>
                <c:pt idx="192">
                  <c:v>2018/01/31</c:v>
                </c:pt>
                <c:pt idx="193">
                  <c:v>2018/02/28</c:v>
                </c:pt>
                <c:pt idx="194">
                  <c:v>2018/03/31</c:v>
                </c:pt>
                <c:pt idx="195">
                  <c:v>2018/04/30</c:v>
                </c:pt>
                <c:pt idx="196">
                  <c:v>2018/05/31</c:v>
                </c:pt>
                <c:pt idx="197">
                  <c:v>2018/06/30</c:v>
                </c:pt>
                <c:pt idx="198">
                  <c:v>2018/07/31</c:v>
                </c:pt>
                <c:pt idx="199">
                  <c:v>2018/08/31</c:v>
                </c:pt>
                <c:pt idx="200">
                  <c:v>2018/09/30</c:v>
                </c:pt>
                <c:pt idx="201">
                  <c:v>2018/10/31</c:v>
                </c:pt>
                <c:pt idx="202">
                  <c:v>2018/11/30</c:v>
                </c:pt>
                <c:pt idx="203">
                  <c:v>2018/12/31</c:v>
                </c:pt>
                <c:pt idx="204">
                  <c:v>2019/01/31</c:v>
                </c:pt>
                <c:pt idx="205">
                  <c:v>2019/02/28</c:v>
                </c:pt>
                <c:pt idx="206">
                  <c:v>2019/03/31</c:v>
                </c:pt>
                <c:pt idx="207">
                  <c:v>2019/04/30</c:v>
                </c:pt>
                <c:pt idx="208">
                  <c:v>2019/05/31</c:v>
                </c:pt>
                <c:pt idx="209">
                  <c:v>2019/06/30</c:v>
                </c:pt>
                <c:pt idx="210">
                  <c:v>2019/07/31</c:v>
                </c:pt>
                <c:pt idx="211">
                  <c:v>2019/08/31</c:v>
                </c:pt>
                <c:pt idx="212">
                  <c:v>2019/09/30</c:v>
                </c:pt>
                <c:pt idx="213">
                  <c:v>2019/10/31</c:v>
                </c:pt>
                <c:pt idx="214">
                  <c:v>2019/11/30</c:v>
                </c:pt>
                <c:pt idx="215">
                  <c:v>2019/12/31</c:v>
                </c:pt>
                <c:pt idx="216">
                  <c:v>2020/01/31</c:v>
                </c:pt>
                <c:pt idx="217">
                  <c:v>2020/02/29</c:v>
                </c:pt>
                <c:pt idx="218">
                  <c:v>2020/03/31</c:v>
                </c:pt>
                <c:pt idx="219">
                  <c:v>2020/04/30</c:v>
                </c:pt>
                <c:pt idx="220">
                  <c:v>2020/05/31</c:v>
                </c:pt>
                <c:pt idx="221">
                  <c:v>2020/06/30</c:v>
                </c:pt>
                <c:pt idx="222">
                  <c:v>2020/07/31</c:v>
                </c:pt>
                <c:pt idx="223">
                  <c:v>2020/08/31</c:v>
                </c:pt>
                <c:pt idx="224">
                  <c:v>2020/09/30</c:v>
                </c:pt>
                <c:pt idx="225">
                  <c:v>2020/10/31</c:v>
                </c:pt>
                <c:pt idx="226">
                  <c:v>2020/11/30</c:v>
                </c:pt>
                <c:pt idx="227">
                  <c:v>2020/12/31</c:v>
                </c:pt>
                <c:pt idx="228">
                  <c:v>2021/01/31</c:v>
                </c:pt>
                <c:pt idx="229">
                  <c:v>2021/02/28</c:v>
                </c:pt>
                <c:pt idx="230">
                  <c:v>2021/03/31</c:v>
                </c:pt>
                <c:pt idx="231">
                  <c:v>2021/04/30</c:v>
                </c:pt>
                <c:pt idx="232">
                  <c:v>2021/05/31</c:v>
                </c:pt>
                <c:pt idx="233">
                  <c:v>2021/06/30</c:v>
                </c:pt>
                <c:pt idx="234">
                  <c:v>2021/07/31</c:v>
                </c:pt>
                <c:pt idx="235">
                  <c:v>2021/08/31</c:v>
                </c:pt>
                <c:pt idx="236">
                  <c:v>2021/09/30</c:v>
                </c:pt>
                <c:pt idx="237">
                  <c:v>2021/10/31</c:v>
                </c:pt>
              </c:strCache>
            </c:strRef>
          </c:cat>
          <c:val>
            <c:numRef>
              <c:f>Monthly!$D$11:$D$248</c:f>
              <c:numCache>
                <c:formatCode>General</c:formatCode>
                <c:ptCount val="238"/>
                <c:pt idx="0">
                  <c:v>125.048046228991</c:v>
                </c:pt>
                <c:pt idx="1">
                  <c:v>125.087237029345</c:v>
                </c:pt>
                <c:pt idx="2">
                  <c:v>127.321112649513</c:v>
                </c:pt>
                <c:pt idx="3">
                  <c:v>127.575852851813</c:v>
                </c:pt>
                <c:pt idx="4">
                  <c:v>127.58565055190201</c:v>
                </c:pt>
                <c:pt idx="5">
                  <c:v>130.671926079766</c:v>
                </c:pt>
                <c:pt idx="6">
                  <c:v>130.72091458020799</c:v>
                </c:pt>
                <c:pt idx="7">
                  <c:v>130.642532979501</c:v>
                </c:pt>
                <c:pt idx="8">
                  <c:v>130.113457174724</c:v>
                </c:pt>
                <c:pt idx="9">
                  <c:v>130.142850274989</c:v>
                </c:pt>
                <c:pt idx="10">
                  <c:v>130.152647975078</c:v>
                </c:pt>
                <c:pt idx="11">
                  <c:v>127.810997653936</c:v>
                </c:pt>
                <c:pt idx="12">
                  <c:v>127.889379254644</c:v>
                </c:pt>
                <c:pt idx="13">
                  <c:v>127.928570054998</c:v>
                </c:pt>
                <c:pt idx="14">
                  <c:v>121.30532479519999</c:v>
                </c:pt>
                <c:pt idx="15">
                  <c:v>121.324920195377</c:v>
                </c:pt>
                <c:pt idx="16">
                  <c:v>121.354313295642</c:v>
                </c:pt>
                <c:pt idx="17">
                  <c:v>119.678906580516</c:v>
                </c:pt>
                <c:pt idx="18">
                  <c:v>119.72789508095801</c:v>
                </c:pt>
                <c:pt idx="19">
                  <c:v>119.72789508095801</c:v>
                </c:pt>
                <c:pt idx="20">
                  <c:v>117.925118264682</c:v>
                </c:pt>
                <c:pt idx="21">
                  <c:v>117.96430906503601</c:v>
                </c:pt>
                <c:pt idx="22">
                  <c:v>117.993702165301</c:v>
                </c:pt>
                <c:pt idx="23">
                  <c:v>117.474424060613</c:v>
                </c:pt>
                <c:pt idx="24">
                  <c:v>115.84800584592899</c:v>
                </c:pt>
                <c:pt idx="25">
                  <c:v>112.879302719126</c:v>
                </c:pt>
                <c:pt idx="26">
                  <c:v>112.28164301373</c:v>
                </c:pt>
                <c:pt idx="27">
                  <c:v>109.655859390023</c:v>
                </c:pt>
                <c:pt idx="28">
                  <c:v>108.15681127648899</c:v>
                </c:pt>
                <c:pt idx="29">
                  <c:v>107.617937771624</c:v>
                </c:pt>
                <c:pt idx="30">
                  <c:v>106.510797661628</c:v>
                </c:pt>
                <c:pt idx="31">
                  <c:v>106.22666435906299</c:v>
                </c:pt>
                <c:pt idx="32">
                  <c:v>105.374264451367</c:v>
                </c:pt>
                <c:pt idx="33">
                  <c:v>105.256692050306</c:v>
                </c:pt>
                <c:pt idx="34">
                  <c:v>104.570853044114</c:v>
                </c:pt>
                <c:pt idx="35">
                  <c:v>104.20833814084099</c:v>
                </c:pt>
                <c:pt idx="36">
                  <c:v>103.689060036152</c:v>
                </c:pt>
                <c:pt idx="37">
                  <c:v>103.25796123226</c:v>
                </c:pt>
                <c:pt idx="38">
                  <c:v>102.80726702819101</c:v>
                </c:pt>
                <c:pt idx="39">
                  <c:v>101.553161416869</c:v>
                </c:pt>
                <c:pt idx="40">
                  <c:v>101.14165801315301</c:v>
                </c:pt>
                <c:pt idx="41">
                  <c:v>100.681166108996</c:v>
                </c:pt>
                <c:pt idx="42">
                  <c:v>100.45581900696099</c:v>
                </c:pt>
                <c:pt idx="43">
                  <c:v>100.10310180377699</c:v>
                </c:pt>
                <c:pt idx="44">
                  <c:v>100.181483404484</c:v>
                </c:pt>
                <c:pt idx="45">
                  <c:v>99.662205299796199</c:v>
                </c:pt>
                <c:pt idx="46">
                  <c:v>100.04431560324601</c:v>
                </c:pt>
                <c:pt idx="47">
                  <c:v>99.818968501211501</c:v>
                </c:pt>
                <c:pt idx="48">
                  <c:v>101.71972231837201</c:v>
                </c:pt>
                <c:pt idx="49">
                  <c:v>100.641975308642</c:v>
                </c:pt>
                <c:pt idx="50">
                  <c:v>99.554430598823103</c:v>
                </c:pt>
                <c:pt idx="51">
                  <c:v>99.005759393869496</c:v>
                </c:pt>
                <c:pt idx="52">
                  <c:v>98.564862889888801</c:v>
                </c:pt>
                <c:pt idx="53">
                  <c:v>98.3983019883851</c:v>
                </c:pt>
                <c:pt idx="54">
                  <c:v>98.653042190684999</c:v>
                </c:pt>
                <c:pt idx="55">
                  <c:v>98.800007692011903</c:v>
                </c:pt>
                <c:pt idx="56">
                  <c:v>98.780412291834907</c:v>
                </c:pt>
                <c:pt idx="57">
                  <c:v>99.211511095727104</c:v>
                </c:pt>
                <c:pt idx="58">
                  <c:v>99.309488096611702</c:v>
                </c:pt>
                <c:pt idx="59">
                  <c:v>98.692232991038793</c:v>
                </c:pt>
                <c:pt idx="60">
                  <c:v>99.005759393869496</c:v>
                </c:pt>
                <c:pt idx="61">
                  <c:v>98.604053690242694</c:v>
                </c:pt>
                <c:pt idx="62">
                  <c:v>98.447290488827306</c:v>
                </c:pt>
                <c:pt idx="63">
                  <c:v>98.221943386792802</c:v>
                </c:pt>
                <c:pt idx="64">
                  <c:v>98.378706588208104</c:v>
                </c:pt>
                <c:pt idx="65">
                  <c:v>98.594255990154196</c:v>
                </c:pt>
                <c:pt idx="66">
                  <c:v>98.506076689358096</c:v>
                </c:pt>
                <c:pt idx="67">
                  <c:v>97.800642282989102</c:v>
                </c:pt>
                <c:pt idx="68">
                  <c:v>97.447925079804605</c:v>
                </c:pt>
                <c:pt idx="69">
                  <c:v>97.683069881927594</c:v>
                </c:pt>
                <c:pt idx="70">
                  <c:v>97.3107572785662</c:v>
                </c:pt>
                <c:pt idx="71">
                  <c:v>96.742490673435597</c:v>
                </c:pt>
                <c:pt idx="72">
                  <c:v>94.4</c:v>
                </c:pt>
                <c:pt idx="73">
                  <c:v>94.4</c:v>
                </c:pt>
                <c:pt idx="74">
                  <c:v>94.2</c:v>
                </c:pt>
                <c:pt idx="75">
                  <c:v>95</c:v>
                </c:pt>
                <c:pt idx="76">
                  <c:v>96.7</c:v>
                </c:pt>
                <c:pt idx="77">
                  <c:v>96.9</c:v>
                </c:pt>
                <c:pt idx="78">
                  <c:v>97.1</c:v>
                </c:pt>
                <c:pt idx="79">
                  <c:v>100</c:v>
                </c:pt>
                <c:pt idx="80">
                  <c:v>100.4</c:v>
                </c:pt>
                <c:pt idx="81">
                  <c:v>101.2</c:v>
                </c:pt>
                <c:pt idx="82">
                  <c:v>103.4</c:v>
                </c:pt>
                <c:pt idx="83">
                  <c:v>102.1</c:v>
                </c:pt>
                <c:pt idx="84">
                  <c:v>103.8</c:v>
                </c:pt>
                <c:pt idx="85">
                  <c:v>104.4</c:v>
                </c:pt>
                <c:pt idx="86">
                  <c:v>105.8</c:v>
                </c:pt>
                <c:pt idx="87">
                  <c:v>106.4</c:v>
                </c:pt>
                <c:pt idx="88">
                  <c:v>107.6</c:v>
                </c:pt>
                <c:pt idx="89">
                  <c:v>107.8</c:v>
                </c:pt>
                <c:pt idx="90">
                  <c:v>108.2</c:v>
                </c:pt>
                <c:pt idx="91">
                  <c:v>108</c:v>
                </c:pt>
                <c:pt idx="92">
                  <c:v>106.7</c:v>
                </c:pt>
                <c:pt idx="93">
                  <c:v>106</c:v>
                </c:pt>
                <c:pt idx="94">
                  <c:v>105.6</c:v>
                </c:pt>
                <c:pt idx="95">
                  <c:v>105.1</c:v>
                </c:pt>
                <c:pt idx="96">
                  <c:v>105.6</c:v>
                </c:pt>
                <c:pt idx="97">
                  <c:v>104.8</c:v>
                </c:pt>
                <c:pt idx="98">
                  <c:v>104.6</c:v>
                </c:pt>
                <c:pt idx="99">
                  <c:v>102.4</c:v>
                </c:pt>
                <c:pt idx="100">
                  <c:v>101.9</c:v>
                </c:pt>
                <c:pt idx="101">
                  <c:v>101.3</c:v>
                </c:pt>
                <c:pt idx="102">
                  <c:v>100.1</c:v>
                </c:pt>
                <c:pt idx="103">
                  <c:v>99.5</c:v>
                </c:pt>
                <c:pt idx="104">
                  <c:v>99</c:v>
                </c:pt>
                <c:pt idx="105">
                  <c:v>98.7</c:v>
                </c:pt>
                <c:pt idx="106">
                  <c:v>98.6</c:v>
                </c:pt>
                <c:pt idx="107">
                  <c:v>97.8</c:v>
                </c:pt>
                <c:pt idx="108">
                  <c:v>97</c:v>
                </c:pt>
                <c:pt idx="109">
                  <c:v>96.1</c:v>
                </c:pt>
                <c:pt idx="110">
                  <c:v>96.6</c:v>
                </c:pt>
                <c:pt idx="111">
                  <c:v>95.5</c:v>
                </c:pt>
                <c:pt idx="112">
                  <c:v>96</c:v>
                </c:pt>
                <c:pt idx="113">
                  <c:v>95.6</c:v>
                </c:pt>
                <c:pt idx="114">
                  <c:v>95.3</c:v>
                </c:pt>
                <c:pt idx="115">
                  <c:v>94.3</c:v>
                </c:pt>
                <c:pt idx="116">
                  <c:v>93.3</c:v>
                </c:pt>
                <c:pt idx="117">
                  <c:v>93.2</c:v>
                </c:pt>
                <c:pt idx="118">
                  <c:v>92.8</c:v>
                </c:pt>
                <c:pt idx="119">
                  <c:v>91.5</c:v>
                </c:pt>
                <c:pt idx="120">
                  <c:v>92.1</c:v>
                </c:pt>
                <c:pt idx="121">
                  <c:v>92.4</c:v>
                </c:pt>
                <c:pt idx="122">
                  <c:v>91.9</c:v>
                </c:pt>
                <c:pt idx="123">
                  <c:v>91.9</c:v>
                </c:pt>
                <c:pt idx="124">
                  <c:v>93.1</c:v>
                </c:pt>
                <c:pt idx="125">
                  <c:v>92.7</c:v>
                </c:pt>
                <c:pt idx="126">
                  <c:v>93</c:v>
                </c:pt>
                <c:pt idx="127">
                  <c:v>92.8</c:v>
                </c:pt>
                <c:pt idx="128">
                  <c:v>92.5</c:v>
                </c:pt>
                <c:pt idx="129">
                  <c:v>93.1</c:v>
                </c:pt>
                <c:pt idx="130">
                  <c:v>92.6</c:v>
                </c:pt>
                <c:pt idx="131">
                  <c:v>92.6</c:v>
                </c:pt>
                <c:pt idx="132">
                  <c:v>92.8</c:v>
                </c:pt>
                <c:pt idx="133">
                  <c:v>93.1</c:v>
                </c:pt>
                <c:pt idx="134">
                  <c:v>93.5</c:v>
                </c:pt>
                <c:pt idx="135">
                  <c:v>93.3</c:v>
                </c:pt>
                <c:pt idx="136">
                  <c:v>93.5</c:v>
                </c:pt>
                <c:pt idx="137">
                  <c:v>93.3</c:v>
                </c:pt>
                <c:pt idx="138">
                  <c:v>93.1</c:v>
                </c:pt>
                <c:pt idx="139">
                  <c:v>93</c:v>
                </c:pt>
                <c:pt idx="140">
                  <c:v>93.1</c:v>
                </c:pt>
                <c:pt idx="141">
                  <c:v>93</c:v>
                </c:pt>
                <c:pt idx="142">
                  <c:v>93.1</c:v>
                </c:pt>
                <c:pt idx="143">
                  <c:v>92.9</c:v>
                </c:pt>
                <c:pt idx="144">
                  <c:v>93.2</c:v>
                </c:pt>
                <c:pt idx="145">
                  <c:v>93.1</c:v>
                </c:pt>
                <c:pt idx="146">
                  <c:v>92.9</c:v>
                </c:pt>
                <c:pt idx="147">
                  <c:v>93.1</c:v>
                </c:pt>
                <c:pt idx="148">
                  <c:v>93.2</c:v>
                </c:pt>
                <c:pt idx="149">
                  <c:v>93.6</c:v>
                </c:pt>
                <c:pt idx="150">
                  <c:v>93.7</c:v>
                </c:pt>
                <c:pt idx="151">
                  <c:v>94.1</c:v>
                </c:pt>
                <c:pt idx="152">
                  <c:v>93.9</c:v>
                </c:pt>
                <c:pt idx="153">
                  <c:v>93.6</c:v>
                </c:pt>
                <c:pt idx="154">
                  <c:v>93.9</c:v>
                </c:pt>
                <c:pt idx="155">
                  <c:v>93.2</c:v>
                </c:pt>
                <c:pt idx="156">
                  <c:v>93.1</c:v>
                </c:pt>
                <c:pt idx="157">
                  <c:v>93.1</c:v>
                </c:pt>
                <c:pt idx="158">
                  <c:v>93</c:v>
                </c:pt>
                <c:pt idx="159">
                  <c:v>93.3</c:v>
                </c:pt>
                <c:pt idx="160">
                  <c:v>93.3</c:v>
                </c:pt>
                <c:pt idx="161">
                  <c:v>93.8</c:v>
                </c:pt>
                <c:pt idx="162">
                  <c:v>94.2</c:v>
                </c:pt>
                <c:pt idx="163">
                  <c:v>94.3</c:v>
                </c:pt>
                <c:pt idx="164">
                  <c:v>94.1</c:v>
                </c:pt>
                <c:pt idx="165">
                  <c:v>94.1</c:v>
                </c:pt>
                <c:pt idx="166">
                  <c:v>94.9</c:v>
                </c:pt>
                <c:pt idx="167">
                  <c:v>94.6</c:v>
                </c:pt>
                <c:pt idx="168">
                  <c:v>95.3</c:v>
                </c:pt>
                <c:pt idx="169">
                  <c:v>95.6</c:v>
                </c:pt>
                <c:pt idx="170">
                  <c:v>96.4</c:v>
                </c:pt>
                <c:pt idx="171">
                  <c:v>96.5</c:v>
                </c:pt>
                <c:pt idx="172">
                  <c:v>96.9</c:v>
                </c:pt>
                <c:pt idx="173">
                  <c:v>98.3</c:v>
                </c:pt>
                <c:pt idx="174">
                  <c:v>98.9</c:v>
                </c:pt>
                <c:pt idx="175">
                  <c:v>99.4</c:v>
                </c:pt>
                <c:pt idx="176">
                  <c:v>99.4</c:v>
                </c:pt>
                <c:pt idx="177">
                  <c:v>99.6</c:v>
                </c:pt>
                <c:pt idx="178">
                  <c:v>99.3</c:v>
                </c:pt>
                <c:pt idx="179">
                  <c:v>100</c:v>
                </c:pt>
                <c:pt idx="180">
                  <c:v>100</c:v>
                </c:pt>
                <c:pt idx="181">
                  <c:v>100.5</c:v>
                </c:pt>
                <c:pt idx="182">
                  <c:v>99.8</c:v>
                </c:pt>
                <c:pt idx="183">
                  <c:v>100.1</c:v>
                </c:pt>
                <c:pt idx="184">
                  <c:v>99.5</c:v>
                </c:pt>
                <c:pt idx="185">
                  <c:v>99.4</c:v>
                </c:pt>
                <c:pt idx="186">
                  <c:v>98.7</c:v>
                </c:pt>
                <c:pt idx="187">
                  <c:v>98.2</c:v>
                </c:pt>
                <c:pt idx="188">
                  <c:v>98.1</c:v>
                </c:pt>
                <c:pt idx="189">
                  <c:v>97.9</c:v>
                </c:pt>
                <c:pt idx="190">
                  <c:v>97</c:v>
                </c:pt>
                <c:pt idx="191">
                  <c:v>96.7</c:v>
                </c:pt>
                <c:pt idx="192">
                  <c:v>97.1</c:v>
                </c:pt>
                <c:pt idx="193">
                  <c:v>96.4</c:v>
                </c:pt>
                <c:pt idx="194">
                  <c:v>95.4</c:v>
                </c:pt>
                <c:pt idx="195">
                  <c:v>96</c:v>
                </c:pt>
                <c:pt idx="196">
                  <c:v>95.7</c:v>
                </c:pt>
                <c:pt idx="197">
                  <c:v>96.1</c:v>
                </c:pt>
                <c:pt idx="198">
                  <c:v>96.2</c:v>
                </c:pt>
                <c:pt idx="199">
                  <c:v>95.7</c:v>
                </c:pt>
                <c:pt idx="200">
                  <c:v>95.6</c:v>
                </c:pt>
                <c:pt idx="201">
                  <c:v>95.1</c:v>
                </c:pt>
                <c:pt idx="202">
                  <c:v>95.6</c:v>
                </c:pt>
                <c:pt idx="203">
                  <c:v>95.5</c:v>
                </c:pt>
                <c:pt idx="204">
                  <c:v>95.8</c:v>
                </c:pt>
                <c:pt idx="205">
                  <c:v>95.5</c:v>
                </c:pt>
                <c:pt idx="206">
                  <c:v>95.1</c:v>
                </c:pt>
                <c:pt idx="207">
                  <c:v>95.6</c:v>
                </c:pt>
                <c:pt idx="208">
                  <c:v>96</c:v>
                </c:pt>
                <c:pt idx="209">
                  <c:v>95.4</c:v>
                </c:pt>
                <c:pt idx="210">
                  <c:v>95.3</c:v>
                </c:pt>
                <c:pt idx="211">
                  <c:v>95.9</c:v>
                </c:pt>
                <c:pt idx="212">
                  <c:v>95.7</c:v>
                </c:pt>
                <c:pt idx="213">
                  <c:v>95.4</c:v>
                </c:pt>
                <c:pt idx="214">
                  <c:v>95.4</c:v>
                </c:pt>
                <c:pt idx="215">
                  <c:v>95.6</c:v>
                </c:pt>
                <c:pt idx="216">
                  <c:v>95.4</c:v>
                </c:pt>
                <c:pt idx="217">
                  <c:v>95.3</c:v>
                </c:pt>
                <c:pt idx="218">
                  <c:v>95</c:v>
                </c:pt>
                <c:pt idx="219">
                  <c:v>95.4</c:v>
                </c:pt>
                <c:pt idx="220">
                  <c:v>96.2</c:v>
                </c:pt>
                <c:pt idx="221">
                  <c:v>96.8</c:v>
                </c:pt>
                <c:pt idx="222">
                  <c:v>96.3</c:v>
                </c:pt>
                <c:pt idx="223">
                  <c:v>96.3</c:v>
                </c:pt>
                <c:pt idx="224">
                  <c:v>96.6</c:v>
                </c:pt>
                <c:pt idx="225">
                  <c:v>97.1</c:v>
                </c:pt>
                <c:pt idx="226">
                  <c:v>97.6</c:v>
                </c:pt>
                <c:pt idx="227">
                  <c:v>97.7</c:v>
                </c:pt>
                <c:pt idx="228">
                  <c:v>97.7</c:v>
                </c:pt>
                <c:pt idx="229">
                  <c:v>97.8</c:v>
                </c:pt>
                <c:pt idx="230">
                  <c:v>98.1</c:v>
                </c:pt>
                <c:pt idx="231">
                  <c:v>98.3</c:v>
                </c:pt>
                <c:pt idx="232">
                  <c:v>98.2</c:v>
                </c:pt>
                <c:pt idx="233">
                  <c:v>98.7</c:v>
                </c:pt>
                <c:pt idx="234">
                  <c:v>99.1</c:v>
                </c:pt>
                <c:pt idx="235">
                  <c:v>99.5</c:v>
                </c:pt>
                <c:pt idx="236">
                  <c:v>99.4</c:v>
                </c:pt>
                <c:pt idx="237">
                  <c:v>99.7</c:v>
                </c:pt>
              </c:numCache>
            </c:numRef>
          </c:val>
          <c:smooth val="0"/>
          <c:extLst>
            <c:ext xmlns:c16="http://schemas.microsoft.com/office/drawing/2014/chart" uri="{C3380CC4-5D6E-409C-BE32-E72D297353CC}">
              <c16:uniqueId val="{00000002-4CCE-4489-9476-AFE0FE308B36}"/>
            </c:ext>
          </c:extLst>
        </c:ser>
        <c:ser>
          <c:idx val="3"/>
          <c:order val="3"/>
          <c:tx>
            <c:strRef>
              <c:f>Monthly!$E$10</c:f>
              <c:strCache>
                <c:ptCount val="1"/>
                <c:pt idx="0">
                  <c:v>CPI: Books, newspapers and stationery</c:v>
                </c:pt>
              </c:strCache>
            </c:strRef>
          </c:tx>
          <c:spPr>
            <a:ln w="28575" cap="rnd">
              <a:solidFill>
                <a:schemeClr val="accent4"/>
              </a:solidFill>
              <a:round/>
            </a:ln>
            <a:effectLst/>
          </c:spPr>
          <c:marker>
            <c:symbol val="none"/>
          </c:marker>
          <c:cat>
            <c:strRef>
              <c:f>Monthly!$A$11:$A$248</c:f>
              <c:strCache>
                <c:ptCount val="238"/>
                <c:pt idx="0">
                  <c:v>2002/01/31</c:v>
                </c:pt>
                <c:pt idx="1">
                  <c:v>2002/02/28</c:v>
                </c:pt>
                <c:pt idx="2">
                  <c:v>2002/03/31</c:v>
                </c:pt>
                <c:pt idx="3">
                  <c:v>2002/04/30</c:v>
                </c:pt>
                <c:pt idx="4">
                  <c:v>2002/05/31</c:v>
                </c:pt>
                <c:pt idx="5">
                  <c:v>2002/06/30</c:v>
                </c:pt>
                <c:pt idx="6">
                  <c:v>2002/07/31</c:v>
                </c:pt>
                <c:pt idx="7">
                  <c:v>2002/08/31</c:v>
                </c:pt>
                <c:pt idx="8">
                  <c:v>2002/09/30</c:v>
                </c:pt>
                <c:pt idx="9">
                  <c:v>2002/10/31</c:v>
                </c:pt>
                <c:pt idx="10">
                  <c:v>2002/11/30</c:v>
                </c:pt>
                <c:pt idx="11">
                  <c:v>2002/12/31</c:v>
                </c:pt>
                <c:pt idx="12">
                  <c:v>2003/01/31</c:v>
                </c:pt>
                <c:pt idx="13">
                  <c:v>2003/02/28</c:v>
                </c:pt>
                <c:pt idx="14">
                  <c:v>2003/03/31</c:v>
                </c:pt>
                <c:pt idx="15">
                  <c:v>2003/04/30</c:v>
                </c:pt>
                <c:pt idx="16">
                  <c:v>2003/05/31</c:v>
                </c:pt>
                <c:pt idx="17">
                  <c:v>2003/06/30</c:v>
                </c:pt>
                <c:pt idx="18">
                  <c:v>2003/07/31</c:v>
                </c:pt>
                <c:pt idx="19">
                  <c:v>2003/08/31</c:v>
                </c:pt>
                <c:pt idx="20">
                  <c:v>2003/09/30</c:v>
                </c:pt>
                <c:pt idx="21">
                  <c:v>2003/10/31</c:v>
                </c:pt>
                <c:pt idx="22">
                  <c:v>2003/11/30</c:v>
                </c:pt>
                <c:pt idx="23">
                  <c:v>2003/12/31</c:v>
                </c:pt>
                <c:pt idx="24">
                  <c:v>2004/01/31</c:v>
                </c:pt>
                <c:pt idx="25">
                  <c:v>2004/02/29</c:v>
                </c:pt>
                <c:pt idx="26">
                  <c:v>2004/03/31</c:v>
                </c:pt>
                <c:pt idx="27">
                  <c:v>2004/04/30</c:v>
                </c:pt>
                <c:pt idx="28">
                  <c:v>2004/05/31</c:v>
                </c:pt>
                <c:pt idx="29">
                  <c:v>2004/06/30</c:v>
                </c:pt>
                <c:pt idx="30">
                  <c:v>2004/07/31</c:v>
                </c:pt>
                <c:pt idx="31">
                  <c:v>2004/08/31</c:v>
                </c:pt>
                <c:pt idx="32">
                  <c:v>2004/09/30</c:v>
                </c:pt>
                <c:pt idx="33">
                  <c:v>2004/10/31</c:v>
                </c:pt>
                <c:pt idx="34">
                  <c:v>2004/11/30</c:v>
                </c:pt>
                <c:pt idx="35">
                  <c:v>2004/12/31</c:v>
                </c:pt>
                <c:pt idx="36">
                  <c:v>2005/01/31</c:v>
                </c:pt>
                <c:pt idx="37">
                  <c:v>2005/02/28</c:v>
                </c:pt>
                <c:pt idx="38">
                  <c:v>2005/03/31</c:v>
                </c:pt>
                <c:pt idx="39">
                  <c:v>2005/04/30</c:v>
                </c:pt>
                <c:pt idx="40">
                  <c:v>2005/05/31</c:v>
                </c:pt>
                <c:pt idx="41">
                  <c:v>2005/06/30</c:v>
                </c:pt>
                <c:pt idx="42">
                  <c:v>2005/07/31</c:v>
                </c:pt>
                <c:pt idx="43">
                  <c:v>2005/08/31</c:v>
                </c:pt>
                <c:pt idx="44">
                  <c:v>2005/09/30</c:v>
                </c:pt>
                <c:pt idx="45">
                  <c:v>2005/10/31</c:v>
                </c:pt>
                <c:pt idx="46">
                  <c:v>2005/11/30</c:v>
                </c:pt>
                <c:pt idx="47">
                  <c:v>2005/12/31</c:v>
                </c:pt>
                <c:pt idx="48">
                  <c:v>2006/01/31</c:v>
                </c:pt>
                <c:pt idx="49">
                  <c:v>2006/02/28</c:v>
                </c:pt>
                <c:pt idx="50">
                  <c:v>2006/03/31</c:v>
                </c:pt>
                <c:pt idx="51">
                  <c:v>2006/04/30</c:v>
                </c:pt>
                <c:pt idx="52">
                  <c:v>2006/05/31</c:v>
                </c:pt>
                <c:pt idx="53">
                  <c:v>2006/06/30</c:v>
                </c:pt>
                <c:pt idx="54">
                  <c:v>2006/07/31</c:v>
                </c:pt>
                <c:pt idx="55">
                  <c:v>2006/08/31</c:v>
                </c:pt>
                <c:pt idx="56">
                  <c:v>2006/09/30</c:v>
                </c:pt>
                <c:pt idx="57">
                  <c:v>2006/10/31</c:v>
                </c:pt>
                <c:pt idx="58">
                  <c:v>2006/11/30</c:v>
                </c:pt>
                <c:pt idx="59">
                  <c:v>2006/12/31</c:v>
                </c:pt>
                <c:pt idx="60">
                  <c:v>2007/01/31</c:v>
                </c:pt>
                <c:pt idx="61">
                  <c:v>2007/02/28</c:v>
                </c:pt>
                <c:pt idx="62">
                  <c:v>2007/03/31</c:v>
                </c:pt>
                <c:pt idx="63">
                  <c:v>2007/04/30</c:v>
                </c:pt>
                <c:pt idx="64">
                  <c:v>2007/05/31</c:v>
                </c:pt>
                <c:pt idx="65">
                  <c:v>2007/06/30</c:v>
                </c:pt>
                <c:pt idx="66">
                  <c:v>2007/07/31</c:v>
                </c:pt>
                <c:pt idx="67">
                  <c:v>2007/08/31</c:v>
                </c:pt>
                <c:pt idx="68">
                  <c:v>2007/09/30</c:v>
                </c:pt>
                <c:pt idx="69">
                  <c:v>2007/10/31</c:v>
                </c:pt>
                <c:pt idx="70">
                  <c:v>2007/11/30</c:v>
                </c:pt>
                <c:pt idx="71">
                  <c:v>2007/12/31</c:v>
                </c:pt>
                <c:pt idx="72">
                  <c:v>2008/01/31</c:v>
                </c:pt>
                <c:pt idx="73">
                  <c:v>2008/02/29</c:v>
                </c:pt>
                <c:pt idx="74">
                  <c:v>2008/03/31</c:v>
                </c:pt>
                <c:pt idx="75">
                  <c:v>2008/04/30</c:v>
                </c:pt>
                <c:pt idx="76">
                  <c:v>2008/05/31</c:v>
                </c:pt>
                <c:pt idx="77">
                  <c:v>2008/06/30</c:v>
                </c:pt>
                <c:pt idx="78">
                  <c:v>2008/07/31</c:v>
                </c:pt>
                <c:pt idx="79">
                  <c:v>2008/08/31</c:v>
                </c:pt>
                <c:pt idx="80">
                  <c:v>2008/09/30</c:v>
                </c:pt>
                <c:pt idx="81">
                  <c:v>2008/10/31</c:v>
                </c:pt>
                <c:pt idx="82">
                  <c:v>2008/11/30</c:v>
                </c:pt>
                <c:pt idx="83">
                  <c:v>2008/12/31</c:v>
                </c:pt>
                <c:pt idx="84">
                  <c:v>2009/01/31</c:v>
                </c:pt>
                <c:pt idx="85">
                  <c:v>2009/02/28</c:v>
                </c:pt>
                <c:pt idx="86">
                  <c:v>2009/03/31</c:v>
                </c:pt>
                <c:pt idx="87">
                  <c:v>2009/04/30</c:v>
                </c:pt>
                <c:pt idx="88">
                  <c:v>2009/05/31</c:v>
                </c:pt>
                <c:pt idx="89">
                  <c:v>2009/06/30</c:v>
                </c:pt>
                <c:pt idx="90">
                  <c:v>2009/07/31</c:v>
                </c:pt>
                <c:pt idx="91">
                  <c:v>2009/08/31</c:v>
                </c:pt>
                <c:pt idx="92">
                  <c:v>2009/09/30</c:v>
                </c:pt>
                <c:pt idx="93">
                  <c:v>2009/10/31</c:v>
                </c:pt>
                <c:pt idx="94">
                  <c:v>2009/11/30</c:v>
                </c:pt>
                <c:pt idx="95">
                  <c:v>2009/12/31</c:v>
                </c:pt>
                <c:pt idx="96">
                  <c:v>2010/01/31</c:v>
                </c:pt>
                <c:pt idx="97">
                  <c:v>2010/02/28</c:v>
                </c:pt>
                <c:pt idx="98">
                  <c:v>2010/03/31</c:v>
                </c:pt>
                <c:pt idx="99">
                  <c:v>2010/04/30</c:v>
                </c:pt>
                <c:pt idx="100">
                  <c:v>2010/05/31</c:v>
                </c:pt>
                <c:pt idx="101">
                  <c:v>2010/06/30</c:v>
                </c:pt>
                <c:pt idx="102">
                  <c:v>2010/07/31</c:v>
                </c:pt>
                <c:pt idx="103">
                  <c:v>2010/08/31</c:v>
                </c:pt>
                <c:pt idx="104">
                  <c:v>2010/09/30</c:v>
                </c:pt>
                <c:pt idx="105">
                  <c:v>2010/10/31</c:v>
                </c:pt>
                <c:pt idx="106">
                  <c:v>2010/11/30</c:v>
                </c:pt>
                <c:pt idx="107">
                  <c:v>2010/12/31</c:v>
                </c:pt>
                <c:pt idx="108">
                  <c:v>2011/01/31</c:v>
                </c:pt>
                <c:pt idx="109">
                  <c:v>2011/02/28</c:v>
                </c:pt>
                <c:pt idx="110">
                  <c:v>2011/03/31</c:v>
                </c:pt>
                <c:pt idx="111">
                  <c:v>2011/04/30</c:v>
                </c:pt>
                <c:pt idx="112">
                  <c:v>2011/05/31</c:v>
                </c:pt>
                <c:pt idx="113">
                  <c:v>2011/06/30</c:v>
                </c:pt>
                <c:pt idx="114">
                  <c:v>2011/07/31</c:v>
                </c:pt>
                <c:pt idx="115">
                  <c:v>2011/08/31</c:v>
                </c:pt>
                <c:pt idx="116">
                  <c:v>2011/09/30</c:v>
                </c:pt>
                <c:pt idx="117">
                  <c:v>2011/10/31</c:v>
                </c:pt>
                <c:pt idx="118">
                  <c:v>2011/11/30</c:v>
                </c:pt>
                <c:pt idx="119">
                  <c:v>2011/12/31</c:v>
                </c:pt>
                <c:pt idx="120">
                  <c:v>2012/01/31</c:v>
                </c:pt>
                <c:pt idx="121">
                  <c:v>2012/02/29</c:v>
                </c:pt>
                <c:pt idx="122">
                  <c:v>2012/03/31</c:v>
                </c:pt>
                <c:pt idx="123">
                  <c:v>2012/04/30</c:v>
                </c:pt>
                <c:pt idx="124">
                  <c:v>2012/05/31</c:v>
                </c:pt>
                <c:pt idx="125">
                  <c:v>2012/06/30</c:v>
                </c:pt>
                <c:pt idx="126">
                  <c:v>2012/07/31</c:v>
                </c:pt>
                <c:pt idx="127">
                  <c:v>2012/08/31</c:v>
                </c:pt>
                <c:pt idx="128">
                  <c:v>2012/09/30</c:v>
                </c:pt>
                <c:pt idx="129">
                  <c:v>2012/10/31</c:v>
                </c:pt>
                <c:pt idx="130">
                  <c:v>2012/11/30</c:v>
                </c:pt>
                <c:pt idx="131">
                  <c:v>2012/12/31</c:v>
                </c:pt>
                <c:pt idx="132">
                  <c:v>2013/01/31</c:v>
                </c:pt>
                <c:pt idx="133">
                  <c:v>2013/02/28</c:v>
                </c:pt>
                <c:pt idx="134">
                  <c:v>2013/03/31</c:v>
                </c:pt>
                <c:pt idx="135">
                  <c:v>2013/04/30</c:v>
                </c:pt>
                <c:pt idx="136">
                  <c:v>2013/05/31</c:v>
                </c:pt>
                <c:pt idx="137">
                  <c:v>2013/06/30</c:v>
                </c:pt>
                <c:pt idx="138">
                  <c:v>2013/07/31</c:v>
                </c:pt>
                <c:pt idx="139">
                  <c:v>2013/08/31</c:v>
                </c:pt>
                <c:pt idx="140">
                  <c:v>2013/09/30</c:v>
                </c:pt>
                <c:pt idx="141">
                  <c:v>2013/10/31</c:v>
                </c:pt>
                <c:pt idx="142">
                  <c:v>2013/11/30</c:v>
                </c:pt>
                <c:pt idx="143">
                  <c:v>2013/12/31</c:v>
                </c:pt>
                <c:pt idx="144">
                  <c:v>2014/01/31</c:v>
                </c:pt>
                <c:pt idx="145">
                  <c:v>2014/02/28</c:v>
                </c:pt>
                <c:pt idx="146">
                  <c:v>2014/03/31</c:v>
                </c:pt>
                <c:pt idx="147">
                  <c:v>2014/04/30</c:v>
                </c:pt>
                <c:pt idx="148">
                  <c:v>2014/05/31</c:v>
                </c:pt>
                <c:pt idx="149">
                  <c:v>2014/06/30</c:v>
                </c:pt>
                <c:pt idx="150">
                  <c:v>2014/07/31</c:v>
                </c:pt>
                <c:pt idx="151">
                  <c:v>2014/08/31</c:v>
                </c:pt>
                <c:pt idx="152">
                  <c:v>2014/09/30</c:v>
                </c:pt>
                <c:pt idx="153">
                  <c:v>2014/10/31</c:v>
                </c:pt>
                <c:pt idx="154">
                  <c:v>2014/11/30</c:v>
                </c:pt>
                <c:pt idx="155">
                  <c:v>2014/12/31</c:v>
                </c:pt>
                <c:pt idx="156">
                  <c:v>2015/01/31</c:v>
                </c:pt>
                <c:pt idx="157">
                  <c:v>2015/02/28</c:v>
                </c:pt>
                <c:pt idx="158">
                  <c:v>2015/03/31</c:v>
                </c:pt>
                <c:pt idx="159">
                  <c:v>2015/04/30</c:v>
                </c:pt>
                <c:pt idx="160">
                  <c:v>2015/05/31</c:v>
                </c:pt>
                <c:pt idx="161">
                  <c:v>2015/06/30</c:v>
                </c:pt>
                <c:pt idx="162">
                  <c:v>2015/07/31</c:v>
                </c:pt>
                <c:pt idx="163">
                  <c:v>2015/08/31</c:v>
                </c:pt>
                <c:pt idx="164">
                  <c:v>2015/09/30</c:v>
                </c:pt>
                <c:pt idx="165">
                  <c:v>2015/10/31</c:v>
                </c:pt>
                <c:pt idx="166">
                  <c:v>2015/11/30</c:v>
                </c:pt>
                <c:pt idx="167">
                  <c:v>2015/12/31</c:v>
                </c:pt>
                <c:pt idx="168">
                  <c:v>2016/01/31</c:v>
                </c:pt>
                <c:pt idx="169">
                  <c:v>2016/02/29</c:v>
                </c:pt>
                <c:pt idx="170">
                  <c:v>2016/03/31</c:v>
                </c:pt>
                <c:pt idx="171">
                  <c:v>2016/04/30</c:v>
                </c:pt>
                <c:pt idx="172">
                  <c:v>2016/05/31</c:v>
                </c:pt>
                <c:pt idx="173">
                  <c:v>2016/06/30</c:v>
                </c:pt>
                <c:pt idx="174">
                  <c:v>2016/07/31</c:v>
                </c:pt>
                <c:pt idx="175">
                  <c:v>2016/08/31</c:v>
                </c:pt>
                <c:pt idx="176">
                  <c:v>2016/09/30</c:v>
                </c:pt>
                <c:pt idx="177">
                  <c:v>2016/10/31</c:v>
                </c:pt>
                <c:pt idx="178">
                  <c:v>2016/11/30</c:v>
                </c:pt>
                <c:pt idx="179">
                  <c:v>2016/12/31</c:v>
                </c:pt>
                <c:pt idx="180">
                  <c:v>2017/01/31</c:v>
                </c:pt>
                <c:pt idx="181">
                  <c:v>2017/02/28</c:v>
                </c:pt>
                <c:pt idx="182">
                  <c:v>2017/03/31</c:v>
                </c:pt>
                <c:pt idx="183">
                  <c:v>2017/04/30</c:v>
                </c:pt>
                <c:pt idx="184">
                  <c:v>2017/05/31</c:v>
                </c:pt>
                <c:pt idx="185">
                  <c:v>2017/06/30</c:v>
                </c:pt>
                <c:pt idx="186">
                  <c:v>2017/07/31</c:v>
                </c:pt>
                <c:pt idx="187">
                  <c:v>2017/08/31</c:v>
                </c:pt>
                <c:pt idx="188">
                  <c:v>2017/09/30</c:v>
                </c:pt>
                <c:pt idx="189">
                  <c:v>2017/10/31</c:v>
                </c:pt>
                <c:pt idx="190">
                  <c:v>2017/11/30</c:v>
                </c:pt>
                <c:pt idx="191">
                  <c:v>2017/12/31</c:v>
                </c:pt>
                <c:pt idx="192">
                  <c:v>2018/01/31</c:v>
                </c:pt>
                <c:pt idx="193">
                  <c:v>2018/02/28</c:v>
                </c:pt>
                <c:pt idx="194">
                  <c:v>2018/03/31</c:v>
                </c:pt>
                <c:pt idx="195">
                  <c:v>2018/04/30</c:v>
                </c:pt>
                <c:pt idx="196">
                  <c:v>2018/05/31</c:v>
                </c:pt>
                <c:pt idx="197">
                  <c:v>2018/06/30</c:v>
                </c:pt>
                <c:pt idx="198">
                  <c:v>2018/07/31</c:v>
                </c:pt>
                <c:pt idx="199">
                  <c:v>2018/08/31</c:v>
                </c:pt>
                <c:pt idx="200">
                  <c:v>2018/09/30</c:v>
                </c:pt>
                <c:pt idx="201">
                  <c:v>2018/10/31</c:v>
                </c:pt>
                <c:pt idx="202">
                  <c:v>2018/11/30</c:v>
                </c:pt>
                <c:pt idx="203">
                  <c:v>2018/12/31</c:v>
                </c:pt>
                <c:pt idx="204">
                  <c:v>2019/01/31</c:v>
                </c:pt>
                <c:pt idx="205">
                  <c:v>2019/02/28</c:v>
                </c:pt>
                <c:pt idx="206">
                  <c:v>2019/03/31</c:v>
                </c:pt>
                <c:pt idx="207">
                  <c:v>2019/04/30</c:v>
                </c:pt>
                <c:pt idx="208">
                  <c:v>2019/05/31</c:v>
                </c:pt>
                <c:pt idx="209">
                  <c:v>2019/06/30</c:v>
                </c:pt>
                <c:pt idx="210">
                  <c:v>2019/07/31</c:v>
                </c:pt>
                <c:pt idx="211">
                  <c:v>2019/08/31</c:v>
                </c:pt>
                <c:pt idx="212">
                  <c:v>2019/09/30</c:v>
                </c:pt>
                <c:pt idx="213">
                  <c:v>2019/10/31</c:v>
                </c:pt>
                <c:pt idx="214">
                  <c:v>2019/11/30</c:v>
                </c:pt>
                <c:pt idx="215">
                  <c:v>2019/12/31</c:v>
                </c:pt>
                <c:pt idx="216">
                  <c:v>2020/01/31</c:v>
                </c:pt>
                <c:pt idx="217">
                  <c:v>2020/02/29</c:v>
                </c:pt>
                <c:pt idx="218">
                  <c:v>2020/03/31</c:v>
                </c:pt>
                <c:pt idx="219">
                  <c:v>2020/04/30</c:v>
                </c:pt>
                <c:pt idx="220">
                  <c:v>2020/05/31</c:v>
                </c:pt>
                <c:pt idx="221">
                  <c:v>2020/06/30</c:v>
                </c:pt>
                <c:pt idx="222">
                  <c:v>2020/07/31</c:v>
                </c:pt>
                <c:pt idx="223">
                  <c:v>2020/08/31</c:v>
                </c:pt>
                <c:pt idx="224">
                  <c:v>2020/09/30</c:v>
                </c:pt>
                <c:pt idx="225">
                  <c:v>2020/10/31</c:v>
                </c:pt>
                <c:pt idx="226">
                  <c:v>2020/11/30</c:v>
                </c:pt>
                <c:pt idx="227">
                  <c:v>2020/12/31</c:v>
                </c:pt>
                <c:pt idx="228">
                  <c:v>2021/01/31</c:v>
                </c:pt>
                <c:pt idx="229">
                  <c:v>2021/02/28</c:v>
                </c:pt>
                <c:pt idx="230">
                  <c:v>2021/03/31</c:v>
                </c:pt>
                <c:pt idx="231">
                  <c:v>2021/04/30</c:v>
                </c:pt>
                <c:pt idx="232">
                  <c:v>2021/05/31</c:v>
                </c:pt>
                <c:pt idx="233">
                  <c:v>2021/06/30</c:v>
                </c:pt>
                <c:pt idx="234">
                  <c:v>2021/07/31</c:v>
                </c:pt>
                <c:pt idx="235">
                  <c:v>2021/08/31</c:v>
                </c:pt>
                <c:pt idx="236">
                  <c:v>2021/09/30</c:v>
                </c:pt>
                <c:pt idx="237">
                  <c:v>2021/10/31</c:v>
                </c:pt>
              </c:strCache>
            </c:strRef>
          </c:cat>
          <c:val>
            <c:numRef>
              <c:f>Monthly!$E$11:$E$248</c:f>
              <c:numCache>
                <c:formatCode>General</c:formatCode>
                <c:ptCount val="238"/>
                <c:pt idx="0">
                  <c:v>43.202730144404299</c:v>
                </c:pt>
                <c:pt idx="1">
                  <c:v>43.349548736462097</c:v>
                </c:pt>
                <c:pt idx="2">
                  <c:v>43.441990072202202</c:v>
                </c:pt>
                <c:pt idx="3">
                  <c:v>44.110830324909699</c:v>
                </c:pt>
                <c:pt idx="4">
                  <c:v>44.214147111913398</c:v>
                </c:pt>
                <c:pt idx="5">
                  <c:v>44.290275270758102</c:v>
                </c:pt>
                <c:pt idx="6">
                  <c:v>44.687229241877297</c:v>
                </c:pt>
                <c:pt idx="7">
                  <c:v>44.7089801444043</c:v>
                </c:pt>
                <c:pt idx="8">
                  <c:v>44.714417870036101</c:v>
                </c:pt>
                <c:pt idx="9">
                  <c:v>44.9210514440433</c:v>
                </c:pt>
                <c:pt idx="10">
                  <c:v>44.986304151624502</c:v>
                </c:pt>
                <c:pt idx="11">
                  <c:v>45.0243682310469</c:v>
                </c:pt>
                <c:pt idx="12">
                  <c:v>45.617080324909701</c:v>
                </c:pt>
                <c:pt idx="13">
                  <c:v>45.747585740072203</c:v>
                </c:pt>
                <c:pt idx="14">
                  <c:v>45.763898916967499</c:v>
                </c:pt>
                <c:pt idx="15">
                  <c:v>46.128226534295997</c:v>
                </c:pt>
                <c:pt idx="16">
                  <c:v>46.160852888086602</c:v>
                </c:pt>
                <c:pt idx="17">
                  <c:v>46.166290613718402</c:v>
                </c:pt>
                <c:pt idx="18">
                  <c:v>46.557806859205797</c:v>
                </c:pt>
                <c:pt idx="19">
                  <c:v>46.5741200361011</c:v>
                </c:pt>
                <c:pt idx="20">
                  <c:v>46.617621841155199</c:v>
                </c:pt>
                <c:pt idx="21">
                  <c:v>46.715500902527097</c:v>
                </c:pt>
                <c:pt idx="22">
                  <c:v>46.742689530685901</c:v>
                </c:pt>
                <c:pt idx="23">
                  <c:v>46.759002707581203</c:v>
                </c:pt>
                <c:pt idx="24">
                  <c:v>46.954760830324901</c:v>
                </c:pt>
                <c:pt idx="25">
                  <c:v>47.172269855595701</c:v>
                </c:pt>
                <c:pt idx="26">
                  <c:v>47.281024368231002</c:v>
                </c:pt>
                <c:pt idx="27">
                  <c:v>47.732355595667897</c:v>
                </c:pt>
                <c:pt idx="28">
                  <c:v>47.775857400722003</c:v>
                </c:pt>
                <c:pt idx="29">
                  <c:v>47.797608303249099</c:v>
                </c:pt>
                <c:pt idx="30">
                  <c:v>47.933551444043303</c:v>
                </c:pt>
                <c:pt idx="31">
                  <c:v>47.971615523465701</c:v>
                </c:pt>
                <c:pt idx="32">
                  <c:v>48.036868231046903</c:v>
                </c:pt>
                <c:pt idx="33">
                  <c:v>48.042305956678703</c:v>
                </c:pt>
                <c:pt idx="34">
                  <c:v>48.2</c:v>
                </c:pt>
                <c:pt idx="35">
                  <c:v>48.183686823104701</c:v>
                </c:pt>
                <c:pt idx="36">
                  <c:v>48.520825812274403</c:v>
                </c:pt>
                <c:pt idx="37">
                  <c:v>48.613267148014401</c:v>
                </c:pt>
                <c:pt idx="38">
                  <c:v>48.939530685920602</c:v>
                </c:pt>
                <c:pt idx="39">
                  <c:v>49.1951037906137</c:v>
                </c:pt>
                <c:pt idx="40">
                  <c:v>49.097224729241901</c:v>
                </c:pt>
                <c:pt idx="41">
                  <c:v>49.167915162454896</c:v>
                </c:pt>
                <c:pt idx="42">
                  <c:v>49.238605595667899</c:v>
                </c:pt>
                <c:pt idx="43">
                  <c:v>49.271231949458503</c:v>
                </c:pt>
                <c:pt idx="44">
                  <c:v>49.331046931407897</c:v>
                </c:pt>
                <c:pt idx="45">
                  <c:v>49.358235559566801</c:v>
                </c:pt>
                <c:pt idx="46">
                  <c:v>49.466990072202201</c:v>
                </c:pt>
                <c:pt idx="47">
                  <c:v>49.483303249097503</c:v>
                </c:pt>
                <c:pt idx="48">
                  <c:v>49.6736236462094</c:v>
                </c:pt>
                <c:pt idx="49">
                  <c:v>49.929196750902499</c:v>
                </c:pt>
                <c:pt idx="50">
                  <c:v>50.081453068592097</c:v>
                </c:pt>
                <c:pt idx="51">
                  <c:v>50.228271660649803</c:v>
                </c:pt>
                <c:pt idx="52">
                  <c:v>50.298962093862798</c:v>
                </c:pt>
                <c:pt idx="53">
                  <c:v>50.282648916967503</c:v>
                </c:pt>
                <c:pt idx="54">
                  <c:v>50.347901624548697</c:v>
                </c:pt>
                <c:pt idx="55">
                  <c:v>50.467531588447699</c:v>
                </c:pt>
                <c:pt idx="56">
                  <c:v>50.549097472924203</c:v>
                </c:pt>
                <c:pt idx="57">
                  <c:v>50.549097472924203</c:v>
                </c:pt>
                <c:pt idx="58">
                  <c:v>50.723104693140797</c:v>
                </c:pt>
                <c:pt idx="59">
                  <c:v>50.6361010830325</c:v>
                </c:pt>
                <c:pt idx="60">
                  <c:v>51.294065884476503</c:v>
                </c:pt>
                <c:pt idx="61">
                  <c:v>51.517012635379103</c:v>
                </c:pt>
                <c:pt idx="62">
                  <c:v>51.6475180505415</c:v>
                </c:pt>
                <c:pt idx="63">
                  <c:v>51.9683438628159</c:v>
                </c:pt>
                <c:pt idx="64">
                  <c:v>52.071660649819499</c:v>
                </c:pt>
                <c:pt idx="65">
                  <c:v>52.261981046931403</c:v>
                </c:pt>
                <c:pt idx="66">
                  <c:v>52.392486462093899</c:v>
                </c:pt>
                <c:pt idx="67">
                  <c:v>52.229354693140799</c:v>
                </c:pt>
                <c:pt idx="68">
                  <c:v>52.468614620938602</c:v>
                </c:pt>
                <c:pt idx="69">
                  <c:v>52.566493682310501</c:v>
                </c:pt>
                <c:pt idx="70">
                  <c:v>52.566493682310501</c:v>
                </c:pt>
                <c:pt idx="71">
                  <c:v>52.680685920577602</c:v>
                </c:pt>
                <c:pt idx="72">
                  <c:v>52.2</c:v>
                </c:pt>
                <c:pt idx="73">
                  <c:v>51.7</c:v>
                </c:pt>
                <c:pt idx="74">
                  <c:v>52</c:v>
                </c:pt>
                <c:pt idx="75">
                  <c:v>53.1</c:v>
                </c:pt>
                <c:pt idx="76">
                  <c:v>55.2</c:v>
                </c:pt>
                <c:pt idx="77">
                  <c:v>54.1</c:v>
                </c:pt>
                <c:pt idx="78">
                  <c:v>54.7</c:v>
                </c:pt>
                <c:pt idx="79">
                  <c:v>55.7</c:v>
                </c:pt>
                <c:pt idx="80">
                  <c:v>54.6</c:v>
                </c:pt>
                <c:pt idx="81">
                  <c:v>54.5</c:v>
                </c:pt>
                <c:pt idx="82">
                  <c:v>58.1</c:v>
                </c:pt>
                <c:pt idx="83">
                  <c:v>56.7</c:v>
                </c:pt>
                <c:pt idx="84">
                  <c:v>56.7</c:v>
                </c:pt>
                <c:pt idx="85">
                  <c:v>57.4</c:v>
                </c:pt>
                <c:pt idx="86">
                  <c:v>58.9</c:v>
                </c:pt>
                <c:pt idx="87">
                  <c:v>59.9</c:v>
                </c:pt>
                <c:pt idx="88">
                  <c:v>59.6</c:v>
                </c:pt>
                <c:pt idx="89">
                  <c:v>58</c:v>
                </c:pt>
                <c:pt idx="90">
                  <c:v>58.8</c:v>
                </c:pt>
                <c:pt idx="91">
                  <c:v>58.7</c:v>
                </c:pt>
                <c:pt idx="92">
                  <c:v>60.4</c:v>
                </c:pt>
                <c:pt idx="93">
                  <c:v>60.9</c:v>
                </c:pt>
                <c:pt idx="94">
                  <c:v>62.1</c:v>
                </c:pt>
                <c:pt idx="95">
                  <c:v>63.2</c:v>
                </c:pt>
                <c:pt idx="96">
                  <c:v>61.5</c:v>
                </c:pt>
                <c:pt idx="97">
                  <c:v>60.9</c:v>
                </c:pt>
                <c:pt idx="98">
                  <c:v>64.400000000000006</c:v>
                </c:pt>
                <c:pt idx="99">
                  <c:v>61.2</c:v>
                </c:pt>
                <c:pt idx="100">
                  <c:v>61.3</c:v>
                </c:pt>
                <c:pt idx="101">
                  <c:v>60.6</c:v>
                </c:pt>
                <c:pt idx="102">
                  <c:v>60.4</c:v>
                </c:pt>
                <c:pt idx="103">
                  <c:v>61.3</c:v>
                </c:pt>
                <c:pt idx="104">
                  <c:v>60.9</c:v>
                </c:pt>
                <c:pt idx="105">
                  <c:v>63.4</c:v>
                </c:pt>
                <c:pt idx="106">
                  <c:v>64.3</c:v>
                </c:pt>
                <c:pt idx="107">
                  <c:v>65.5</c:v>
                </c:pt>
                <c:pt idx="108">
                  <c:v>63.9</c:v>
                </c:pt>
                <c:pt idx="109">
                  <c:v>65.599999999999994</c:v>
                </c:pt>
                <c:pt idx="110">
                  <c:v>67.2</c:v>
                </c:pt>
                <c:pt idx="111">
                  <c:v>68.5</c:v>
                </c:pt>
                <c:pt idx="112">
                  <c:v>68.2</c:v>
                </c:pt>
                <c:pt idx="113">
                  <c:v>67.5</c:v>
                </c:pt>
                <c:pt idx="114">
                  <c:v>66.3</c:v>
                </c:pt>
                <c:pt idx="115">
                  <c:v>66.8</c:v>
                </c:pt>
                <c:pt idx="116">
                  <c:v>66.7</c:v>
                </c:pt>
                <c:pt idx="117">
                  <c:v>64</c:v>
                </c:pt>
                <c:pt idx="118">
                  <c:v>67.2</c:v>
                </c:pt>
                <c:pt idx="119">
                  <c:v>68.599999999999994</c:v>
                </c:pt>
                <c:pt idx="120">
                  <c:v>66.599999999999994</c:v>
                </c:pt>
                <c:pt idx="121">
                  <c:v>67.7</c:v>
                </c:pt>
                <c:pt idx="122">
                  <c:v>67.599999999999994</c:v>
                </c:pt>
                <c:pt idx="123">
                  <c:v>69.2</c:v>
                </c:pt>
                <c:pt idx="124">
                  <c:v>65.7</c:v>
                </c:pt>
                <c:pt idx="125">
                  <c:v>67.900000000000006</c:v>
                </c:pt>
                <c:pt idx="126">
                  <c:v>68.099999999999994</c:v>
                </c:pt>
                <c:pt idx="127">
                  <c:v>68.7</c:v>
                </c:pt>
                <c:pt idx="128">
                  <c:v>69.5</c:v>
                </c:pt>
                <c:pt idx="129">
                  <c:v>73</c:v>
                </c:pt>
                <c:pt idx="130">
                  <c:v>73.2</c:v>
                </c:pt>
                <c:pt idx="131">
                  <c:v>72.2</c:v>
                </c:pt>
                <c:pt idx="132">
                  <c:v>71.099999999999994</c:v>
                </c:pt>
                <c:pt idx="133">
                  <c:v>72.8</c:v>
                </c:pt>
                <c:pt idx="134">
                  <c:v>73.099999999999994</c:v>
                </c:pt>
                <c:pt idx="135">
                  <c:v>73.900000000000006</c:v>
                </c:pt>
                <c:pt idx="136">
                  <c:v>73.8</c:v>
                </c:pt>
                <c:pt idx="137">
                  <c:v>74.599999999999994</c:v>
                </c:pt>
                <c:pt idx="138">
                  <c:v>73.599999999999994</c:v>
                </c:pt>
                <c:pt idx="139">
                  <c:v>74.900000000000006</c:v>
                </c:pt>
                <c:pt idx="140">
                  <c:v>75.900000000000006</c:v>
                </c:pt>
                <c:pt idx="141">
                  <c:v>75.7</c:v>
                </c:pt>
                <c:pt idx="142">
                  <c:v>76</c:v>
                </c:pt>
                <c:pt idx="143">
                  <c:v>76.400000000000006</c:v>
                </c:pt>
                <c:pt idx="144">
                  <c:v>79.900000000000006</c:v>
                </c:pt>
                <c:pt idx="145">
                  <c:v>79.900000000000006</c:v>
                </c:pt>
                <c:pt idx="146">
                  <c:v>81.8</c:v>
                </c:pt>
                <c:pt idx="147">
                  <c:v>82.8</c:v>
                </c:pt>
                <c:pt idx="148">
                  <c:v>82.8</c:v>
                </c:pt>
                <c:pt idx="149">
                  <c:v>82.7</c:v>
                </c:pt>
                <c:pt idx="150">
                  <c:v>83.2</c:v>
                </c:pt>
                <c:pt idx="151">
                  <c:v>82.9</c:v>
                </c:pt>
                <c:pt idx="152">
                  <c:v>83.3</c:v>
                </c:pt>
                <c:pt idx="153">
                  <c:v>83.6</c:v>
                </c:pt>
                <c:pt idx="154">
                  <c:v>84.2</c:v>
                </c:pt>
                <c:pt idx="155">
                  <c:v>85.1</c:v>
                </c:pt>
                <c:pt idx="156">
                  <c:v>85.6</c:v>
                </c:pt>
                <c:pt idx="157">
                  <c:v>86.9</c:v>
                </c:pt>
                <c:pt idx="158">
                  <c:v>87.4</c:v>
                </c:pt>
                <c:pt idx="159">
                  <c:v>87.5</c:v>
                </c:pt>
                <c:pt idx="160">
                  <c:v>88.7</c:v>
                </c:pt>
                <c:pt idx="161">
                  <c:v>89.7</c:v>
                </c:pt>
                <c:pt idx="162">
                  <c:v>89</c:v>
                </c:pt>
                <c:pt idx="163">
                  <c:v>90</c:v>
                </c:pt>
                <c:pt idx="164">
                  <c:v>90.8</c:v>
                </c:pt>
                <c:pt idx="165">
                  <c:v>91.5</c:v>
                </c:pt>
                <c:pt idx="166">
                  <c:v>91.6</c:v>
                </c:pt>
                <c:pt idx="167">
                  <c:v>91.1</c:v>
                </c:pt>
                <c:pt idx="168">
                  <c:v>93.6</c:v>
                </c:pt>
                <c:pt idx="169">
                  <c:v>94.4</c:v>
                </c:pt>
                <c:pt idx="170">
                  <c:v>94.9</c:v>
                </c:pt>
                <c:pt idx="171">
                  <c:v>95.5</c:v>
                </c:pt>
                <c:pt idx="172">
                  <c:v>95.5</c:v>
                </c:pt>
                <c:pt idx="173">
                  <c:v>95.9</c:v>
                </c:pt>
                <c:pt idx="174">
                  <c:v>95.7</c:v>
                </c:pt>
                <c:pt idx="175">
                  <c:v>98</c:v>
                </c:pt>
                <c:pt idx="176">
                  <c:v>97.2</c:v>
                </c:pt>
                <c:pt idx="177">
                  <c:v>98.2</c:v>
                </c:pt>
                <c:pt idx="178">
                  <c:v>97.7</c:v>
                </c:pt>
                <c:pt idx="179">
                  <c:v>100</c:v>
                </c:pt>
                <c:pt idx="180">
                  <c:v>98.4</c:v>
                </c:pt>
                <c:pt idx="181">
                  <c:v>99.4</c:v>
                </c:pt>
                <c:pt idx="182">
                  <c:v>101.7</c:v>
                </c:pt>
                <c:pt idx="183">
                  <c:v>100.8</c:v>
                </c:pt>
                <c:pt idx="184">
                  <c:v>102.3</c:v>
                </c:pt>
                <c:pt idx="185">
                  <c:v>102.3</c:v>
                </c:pt>
                <c:pt idx="186">
                  <c:v>103.9</c:v>
                </c:pt>
                <c:pt idx="187">
                  <c:v>104.7</c:v>
                </c:pt>
                <c:pt idx="188">
                  <c:v>104.8</c:v>
                </c:pt>
                <c:pt idx="189">
                  <c:v>105.5</c:v>
                </c:pt>
                <c:pt idx="190">
                  <c:v>105</c:v>
                </c:pt>
                <c:pt idx="191">
                  <c:v>104.9</c:v>
                </c:pt>
                <c:pt idx="192">
                  <c:v>104</c:v>
                </c:pt>
                <c:pt idx="193">
                  <c:v>106</c:v>
                </c:pt>
                <c:pt idx="194">
                  <c:v>106.7</c:v>
                </c:pt>
                <c:pt idx="195">
                  <c:v>108.1</c:v>
                </c:pt>
                <c:pt idx="196">
                  <c:v>109.1</c:v>
                </c:pt>
                <c:pt idx="197">
                  <c:v>109.7</c:v>
                </c:pt>
                <c:pt idx="198">
                  <c:v>109.7</c:v>
                </c:pt>
                <c:pt idx="199">
                  <c:v>110.2</c:v>
                </c:pt>
                <c:pt idx="200">
                  <c:v>110.8</c:v>
                </c:pt>
                <c:pt idx="201">
                  <c:v>111.8</c:v>
                </c:pt>
                <c:pt idx="202">
                  <c:v>111.2</c:v>
                </c:pt>
                <c:pt idx="203">
                  <c:v>112.3</c:v>
                </c:pt>
                <c:pt idx="204">
                  <c:v>111.2</c:v>
                </c:pt>
                <c:pt idx="205">
                  <c:v>113.4</c:v>
                </c:pt>
                <c:pt idx="206">
                  <c:v>113.8</c:v>
                </c:pt>
                <c:pt idx="207">
                  <c:v>113.3</c:v>
                </c:pt>
                <c:pt idx="208">
                  <c:v>114.3</c:v>
                </c:pt>
                <c:pt idx="209">
                  <c:v>114.7</c:v>
                </c:pt>
                <c:pt idx="210">
                  <c:v>114.9</c:v>
                </c:pt>
                <c:pt idx="211">
                  <c:v>116</c:v>
                </c:pt>
                <c:pt idx="212">
                  <c:v>116.7</c:v>
                </c:pt>
                <c:pt idx="213">
                  <c:v>116.1</c:v>
                </c:pt>
                <c:pt idx="214">
                  <c:v>117.1</c:v>
                </c:pt>
                <c:pt idx="215">
                  <c:v>118.5</c:v>
                </c:pt>
                <c:pt idx="216">
                  <c:v>117</c:v>
                </c:pt>
                <c:pt idx="217">
                  <c:v>118</c:v>
                </c:pt>
                <c:pt idx="218">
                  <c:v>119.6</c:v>
                </c:pt>
                <c:pt idx="219">
                  <c:v>116.7</c:v>
                </c:pt>
                <c:pt idx="220">
                  <c:v>120.5</c:v>
                </c:pt>
                <c:pt idx="221">
                  <c:v>119.6</c:v>
                </c:pt>
                <c:pt idx="222">
                  <c:v>120.5</c:v>
                </c:pt>
                <c:pt idx="223">
                  <c:v>121</c:v>
                </c:pt>
                <c:pt idx="224">
                  <c:v>122.8</c:v>
                </c:pt>
                <c:pt idx="225">
                  <c:v>125.1</c:v>
                </c:pt>
                <c:pt idx="226">
                  <c:v>125.4</c:v>
                </c:pt>
                <c:pt idx="227">
                  <c:v>125.2</c:v>
                </c:pt>
                <c:pt idx="228">
                  <c:v>122.5</c:v>
                </c:pt>
                <c:pt idx="229">
                  <c:v>123.2</c:v>
                </c:pt>
                <c:pt idx="230">
                  <c:v>125.3</c:v>
                </c:pt>
                <c:pt idx="231">
                  <c:v>126.4</c:v>
                </c:pt>
                <c:pt idx="232">
                  <c:v>126.7</c:v>
                </c:pt>
                <c:pt idx="233">
                  <c:v>125.8</c:v>
                </c:pt>
                <c:pt idx="234">
                  <c:v>126.8</c:v>
                </c:pt>
                <c:pt idx="235">
                  <c:v>127.5</c:v>
                </c:pt>
                <c:pt idx="236">
                  <c:v>127.6</c:v>
                </c:pt>
                <c:pt idx="237">
                  <c:v>129.1</c:v>
                </c:pt>
              </c:numCache>
            </c:numRef>
          </c:val>
          <c:smooth val="0"/>
          <c:extLst>
            <c:ext xmlns:c16="http://schemas.microsoft.com/office/drawing/2014/chart" uri="{C3380CC4-5D6E-409C-BE32-E72D297353CC}">
              <c16:uniqueId val="{00000003-4CCE-4489-9476-AFE0FE308B36}"/>
            </c:ext>
          </c:extLst>
        </c:ser>
        <c:dLbls>
          <c:showLegendKey val="0"/>
          <c:showVal val="0"/>
          <c:showCatName val="0"/>
          <c:showSerName val="0"/>
          <c:showPercent val="0"/>
          <c:showBubbleSize val="0"/>
        </c:dLbls>
        <c:smooth val="0"/>
        <c:axId val="74143279"/>
        <c:axId val="74147439"/>
      </c:lineChart>
      <c:catAx>
        <c:axId val="741432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147439"/>
        <c:crosses val="autoZero"/>
        <c:auto val="1"/>
        <c:lblAlgn val="ctr"/>
        <c:lblOffset val="100"/>
        <c:noMultiLvlLbl val="0"/>
      </c:catAx>
      <c:valAx>
        <c:axId val="74147439"/>
        <c:scaling>
          <c:orientation val="minMax"/>
          <c:min val="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Index Dec 2016 = 100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1432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'[20211123_094600576053_andreg.xlsx]Sheet1'!$S$2</c:f>
              <c:strCache>
                <c:ptCount val="1"/>
                <c:pt idx="0">
                  <c:v>CPI: Books [weight: 0.15]</c:v>
                </c:pt>
              </c:strCache>
            </c:strRef>
          </c:tx>
          <c:spPr>
            <a:ln w="28575" cap="rnd">
              <a:solidFill>
                <a:schemeClr val="accent1"/>
              </a:solidFill>
              <a:round/>
            </a:ln>
            <a:effectLst/>
          </c:spPr>
          <c:marker>
            <c:symbol val="none"/>
          </c:marker>
          <c:cat>
            <c:strRef>
              <c:f>'[20211123_094600576053_andreg.xlsx]Sheet1'!$A$3:$A$60</c:f>
              <c:strCache>
                <c:ptCount val="58"/>
                <c:pt idx="0">
                  <c:v>2017/01/31</c:v>
                </c:pt>
                <c:pt idx="1">
                  <c:v>2017/02/28</c:v>
                </c:pt>
                <c:pt idx="2">
                  <c:v>2017/03/31</c:v>
                </c:pt>
                <c:pt idx="3">
                  <c:v>2017/04/30</c:v>
                </c:pt>
                <c:pt idx="4">
                  <c:v>2017/05/31</c:v>
                </c:pt>
                <c:pt idx="5">
                  <c:v>2017/06/30</c:v>
                </c:pt>
                <c:pt idx="6">
                  <c:v>2017/07/31</c:v>
                </c:pt>
                <c:pt idx="7">
                  <c:v>2017/08/31</c:v>
                </c:pt>
                <c:pt idx="8">
                  <c:v>2017/09/30</c:v>
                </c:pt>
                <c:pt idx="9">
                  <c:v>2017/10/31</c:v>
                </c:pt>
                <c:pt idx="10">
                  <c:v>2017/11/30</c:v>
                </c:pt>
                <c:pt idx="11">
                  <c:v>2017/12/31</c:v>
                </c:pt>
                <c:pt idx="12">
                  <c:v>2018/01/31</c:v>
                </c:pt>
                <c:pt idx="13">
                  <c:v>2018/02/28</c:v>
                </c:pt>
                <c:pt idx="14">
                  <c:v>2018/03/31</c:v>
                </c:pt>
                <c:pt idx="15">
                  <c:v>2018/04/30</c:v>
                </c:pt>
                <c:pt idx="16">
                  <c:v>2018/05/31</c:v>
                </c:pt>
                <c:pt idx="17">
                  <c:v>2018/06/30</c:v>
                </c:pt>
                <c:pt idx="18">
                  <c:v>2018/07/31</c:v>
                </c:pt>
                <c:pt idx="19">
                  <c:v>2018/08/31</c:v>
                </c:pt>
                <c:pt idx="20">
                  <c:v>2018/09/30</c:v>
                </c:pt>
                <c:pt idx="21">
                  <c:v>2018/10/31</c:v>
                </c:pt>
                <c:pt idx="22">
                  <c:v>2018/11/30</c:v>
                </c:pt>
                <c:pt idx="23">
                  <c:v>2018/12/31</c:v>
                </c:pt>
                <c:pt idx="24">
                  <c:v>2019/01/31</c:v>
                </c:pt>
                <c:pt idx="25">
                  <c:v>2019/02/28</c:v>
                </c:pt>
                <c:pt idx="26">
                  <c:v>2019/03/31</c:v>
                </c:pt>
                <c:pt idx="27">
                  <c:v>2019/04/30</c:v>
                </c:pt>
                <c:pt idx="28">
                  <c:v>2019/05/31</c:v>
                </c:pt>
                <c:pt idx="29">
                  <c:v>2019/06/30</c:v>
                </c:pt>
                <c:pt idx="30">
                  <c:v>2019/07/31</c:v>
                </c:pt>
                <c:pt idx="31">
                  <c:v>2019/08/31</c:v>
                </c:pt>
                <c:pt idx="32">
                  <c:v>2019/09/30</c:v>
                </c:pt>
                <c:pt idx="33">
                  <c:v>2019/10/31</c:v>
                </c:pt>
                <c:pt idx="34">
                  <c:v>2019/11/30</c:v>
                </c:pt>
                <c:pt idx="35">
                  <c:v>2019/12/31</c:v>
                </c:pt>
                <c:pt idx="36">
                  <c:v>2020/01/31</c:v>
                </c:pt>
                <c:pt idx="37">
                  <c:v>2020/02/29</c:v>
                </c:pt>
                <c:pt idx="38">
                  <c:v>2020/03/31</c:v>
                </c:pt>
                <c:pt idx="39">
                  <c:v>2020/04/30</c:v>
                </c:pt>
                <c:pt idx="40">
                  <c:v>2020/05/31</c:v>
                </c:pt>
                <c:pt idx="41">
                  <c:v>2020/06/30</c:v>
                </c:pt>
                <c:pt idx="42">
                  <c:v>2020/07/31</c:v>
                </c:pt>
                <c:pt idx="43">
                  <c:v>2020/08/31</c:v>
                </c:pt>
                <c:pt idx="44">
                  <c:v>2020/09/30</c:v>
                </c:pt>
                <c:pt idx="45">
                  <c:v>2020/10/31</c:v>
                </c:pt>
                <c:pt idx="46">
                  <c:v>2020/11/30</c:v>
                </c:pt>
                <c:pt idx="47">
                  <c:v>2020/12/31</c:v>
                </c:pt>
                <c:pt idx="48">
                  <c:v>2021/01/31</c:v>
                </c:pt>
                <c:pt idx="49">
                  <c:v>2021/02/28</c:v>
                </c:pt>
                <c:pt idx="50">
                  <c:v>2021/03/31</c:v>
                </c:pt>
                <c:pt idx="51">
                  <c:v>2021/04/30</c:v>
                </c:pt>
                <c:pt idx="52">
                  <c:v>2021/05/31</c:v>
                </c:pt>
                <c:pt idx="53">
                  <c:v>2021/06/30</c:v>
                </c:pt>
                <c:pt idx="54">
                  <c:v>2021/07/31</c:v>
                </c:pt>
                <c:pt idx="55">
                  <c:v>2021/08/31</c:v>
                </c:pt>
                <c:pt idx="56">
                  <c:v>2021/09/30</c:v>
                </c:pt>
                <c:pt idx="57">
                  <c:v>2021/10/31</c:v>
                </c:pt>
              </c:strCache>
            </c:strRef>
          </c:cat>
          <c:val>
            <c:numRef>
              <c:f>'[20211123_094600576053_andreg.xlsx]Sheet1'!$S$3:$S$60</c:f>
              <c:numCache>
                <c:formatCode>General</c:formatCode>
                <c:ptCount val="58"/>
                <c:pt idx="0">
                  <c:v>99</c:v>
                </c:pt>
                <c:pt idx="1">
                  <c:v>95.3</c:v>
                </c:pt>
                <c:pt idx="2">
                  <c:v>101.1</c:v>
                </c:pt>
                <c:pt idx="3">
                  <c:v>94.8</c:v>
                </c:pt>
                <c:pt idx="4">
                  <c:v>99.3</c:v>
                </c:pt>
                <c:pt idx="5">
                  <c:v>98</c:v>
                </c:pt>
                <c:pt idx="6">
                  <c:v>97.8</c:v>
                </c:pt>
                <c:pt idx="7">
                  <c:v>101.1</c:v>
                </c:pt>
                <c:pt idx="8">
                  <c:v>100.6</c:v>
                </c:pt>
                <c:pt idx="9">
                  <c:v>102.6</c:v>
                </c:pt>
                <c:pt idx="10">
                  <c:v>100</c:v>
                </c:pt>
                <c:pt idx="11">
                  <c:v>99.8</c:v>
                </c:pt>
                <c:pt idx="12">
                  <c:v>102.6</c:v>
                </c:pt>
                <c:pt idx="13">
                  <c:v>100.4</c:v>
                </c:pt>
                <c:pt idx="14">
                  <c:v>101</c:v>
                </c:pt>
                <c:pt idx="15">
                  <c:v>100.9</c:v>
                </c:pt>
                <c:pt idx="16">
                  <c:v>101.5</c:v>
                </c:pt>
                <c:pt idx="17">
                  <c:v>103.3</c:v>
                </c:pt>
                <c:pt idx="18">
                  <c:v>102.6</c:v>
                </c:pt>
                <c:pt idx="19">
                  <c:v>103.2</c:v>
                </c:pt>
                <c:pt idx="20">
                  <c:v>104.2</c:v>
                </c:pt>
                <c:pt idx="21">
                  <c:v>104.9</c:v>
                </c:pt>
                <c:pt idx="22">
                  <c:v>102</c:v>
                </c:pt>
                <c:pt idx="23">
                  <c:v>107</c:v>
                </c:pt>
                <c:pt idx="24">
                  <c:v>106</c:v>
                </c:pt>
                <c:pt idx="25">
                  <c:v>107.3</c:v>
                </c:pt>
                <c:pt idx="26">
                  <c:v>104.9</c:v>
                </c:pt>
                <c:pt idx="27">
                  <c:v>101.2</c:v>
                </c:pt>
                <c:pt idx="28">
                  <c:v>102</c:v>
                </c:pt>
                <c:pt idx="29">
                  <c:v>101.6</c:v>
                </c:pt>
                <c:pt idx="30">
                  <c:v>103.5</c:v>
                </c:pt>
                <c:pt idx="31">
                  <c:v>104.3</c:v>
                </c:pt>
                <c:pt idx="32">
                  <c:v>103.9</c:v>
                </c:pt>
                <c:pt idx="33">
                  <c:v>100.4</c:v>
                </c:pt>
                <c:pt idx="34">
                  <c:v>104.8</c:v>
                </c:pt>
                <c:pt idx="35">
                  <c:v>105.3</c:v>
                </c:pt>
                <c:pt idx="36">
                  <c:v>103.1</c:v>
                </c:pt>
                <c:pt idx="37">
                  <c:v>99.1</c:v>
                </c:pt>
                <c:pt idx="38">
                  <c:v>104</c:v>
                </c:pt>
                <c:pt idx="39">
                  <c:v>103.4</c:v>
                </c:pt>
                <c:pt idx="40">
                  <c:v>102.4</c:v>
                </c:pt>
                <c:pt idx="41">
                  <c:v>100.1</c:v>
                </c:pt>
                <c:pt idx="42">
                  <c:v>99.8</c:v>
                </c:pt>
                <c:pt idx="43">
                  <c:v>100.2</c:v>
                </c:pt>
                <c:pt idx="44">
                  <c:v>98.1</c:v>
                </c:pt>
                <c:pt idx="45">
                  <c:v>100.7</c:v>
                </c:pt>
                <c:pt idx="46">
                  <c:v>100.2</c:v>
                </c:pt>
                <c:pt idx="47">
                  <c:v>98.1</c:v>
                </c:pt>
                <c:pt idx="48">
                  <c:v>96.8</c:v>
                </c:pt>
                <c:pt idx="49">
                  <c:v>99.6</c:v>
                </c:pt>
                <c:pt idx="50">
                  <c:v>98.6</c:v>
                </c:pt>
                <c:pt idx="51">
                  <c:v>98.5</c:v>
                </c:pt>
                <c:pt idx="52">
                  <c:v>98.1</c:v>
                </c:pt>
                <c:pt idx="53">
                  <c:v>94.3</c:v>
                </c:pt>
                <c:pt idx="54">
                  <c:v>97.6</c:v>
                </c:pt>
                <c:pt idx="55">
                  <c:v>99.2</c:v>
                </c:pt>
                <c:pt idx="56">
                  <c:v>98.7</c:v>
                </c:pt>
                <c:pt idx="57">
                  <c:v>103.4</c:v>
                </c:pt>
              </c:numCache>
            </c:numRef>
          </c:val>
          <c:smooth val="0"/>
          <c:extLst>
            <c:ext xmlns:c16="http://schemas.microsoft.com/office/drawing/2014/chart" uri="{C3380CC4-5D6E-409C-BE32-E72D297353CC}">
              <c16:uniqueId val="{00000000-5E67-4794-824B-38765308E140}"/>
            </c:ext>
          </c:extLst>
        </c:ser>
        <c:ser>
          <c:idx val="1"/>
          <c:order val="1"/>
          <c:tx>
            <c:strRef>
              <c:f>'[20211123_094600576053_andreg.xlsx]Sheet1'!$T$2</c:f>
              <c:strCache>
                <c:ptCount val="1"/>
                <c:pt idx="0">
                  <c:v>CPI: Newspapers and periodicals [weight: 0.34]</c:v>
                </c:pt>
              </c:strCache>
            </c:strRef>
          </c:tx>
          <c:spPr>
            <a:ln w="28575" cap="rnd">
              <a:solidFill>
                <a:schemeClr val="accent2"/>
              </a:solidFill>
              <a:round/>
            </a:ln>
            <a:effectLst/>
          </c:spPr>
          <c:marker>
            <c:symbol val="none"/>
          </c:marker>
          <c:cat>
            <c:strRef>
              <c:f>'[20211123_094600576053_andreg.xlsx]Sheet1'!$A$3:$A$60</c:f>
              <c:strCache>
                <c:ptCount val="58"/>
                <c:pt idx="0">
                  <c:v>2017/01/31</c:v>
                </c:pt>
                <c:pt idx="1">
                  <c:v>2017/02/28</c:v>
                </c:pt>
                <c:pt idx="2">
                  <c:v>2017/03/31</c:v>
                </c:pt>
                <c:pt idx="3">
                  <c:v>2017/04/30</c:v>
                </c:pt>
                <c:pt idx="4">
                  <c:v>2017/05/31</c:v>
                </c:pt>
                <c:pt idx="5">
                  <c:v>2017/06/30</c:v>
                </c:pt>
                <c:pt idx="6">
                  <c:v>2017/07/31</c:v>
                </c:pt>
                <c:pt idx="7">
                  <c:v>2017/08/31</c:v>
                </c:pt>
                <c:pt idx="8">
                  <c:v>2017/09/30</c:v>
                </c:pt>
                <c:pt idx="9">
                  <c:v>2017/10/31</c:v>
                </c:pt>
                <c:pt idx="10">
                  <c:v>2017/11/30</c:v>
                </c:pt>
                <c:pt idx="11">
                  <c:v>2017/12/31</c:v>
                </c:pt>
                <c:pt idx="12">
                  <c:v>2018/01/31</c:v>
                </c:pt>
                <c:pt idx="13">
                  <c:v>2018/02/28</c:v>
                </c:pt>
                <c:pt idx="14">
                  <c:v>2018/03/31</c:v>
                </c:pt>
                <c:pt idx="15">
                  <c:v>2018/04/30</c:v>
                </c:pt>
                <c:pt idx="16">
                  <c:v>2018/05/31</c:v>
                </c:pt>
                <c:pt idx="17">
                  <c:v>2018/06/30</c:v>
                </c:pt>
                <c:pt idx="18">
                  <c:v>2018/07/31</c:v>
                </c:pt>
                <c:pt idx="19">
                  <c:v>2018/08/31</c:v>
                </c:pt>
                <c:pt idx="20">
                  <c:v>2018/09/30</c:v>
                </c:pt>
                <c:pt idx="21">
                  <c:v>2018/10/31</c:v>
                </c:pt>
                <c:pt idx="22">
                  <c:v>2018/11/30</c:v>
                </c:pt>
                <c:pt idx="23">
                  <c:v>2018/12/31</c:v>
                </c:pt>
                <c:pt idx="24">
                  <c:v>2019/01/31</c:v>
                </c:pt>
                <c:pt idx="25">
                  <c:v>2019/02/28</c:v>
                </c:pt>
                <c:pt idx="26">
                  <c:v>2019/03/31</c:v>
                </c:pt>
                <c:pt idx="27">
                  <c:v>2019/04/30</c:v>
                </c:pt>
                <c:pt idx="28">
                  <c:v>2019/05/31</c:v>
                </c:pt>
                <c:pt idx="29">
                  <c:v>2019/06/30</c:v>
                </c:pt>
                <c:pt idx="30">
                  <c:v>2019/07/31</c:v>
                </c:pt>
                <c:pt idx="31">
                  <c:v>2019/08/31</c:v>
                </c:pt>
                <c:pt idx="32">
                  <c:v>2019/09/30</c:v>
                </c:pt>
                <c:pt idx="33">
                  <c:v>2019/10/31</c:v>
                </c:pt>
                <c:pt idx="34">
                  <c:v>2019/11/30</c:v>
                </c:pt>
                <c:pt idx="35">
                  <c:v>2019/12/31</c:v>
                </c:pt>
                <c:pt idx="36">
                  <c:v>2020/01/31</c:v>
                </c:pt>
                <c:pt idx="37">
                  <c:v>2020/02/29</c:v>
                </c:pt>
                <c:pt idx="38">
                  <c:v>2020/03/31</c:v>
                </c:pt>
                <c:pt idx="39">
                  <c:v>2020/04/30</c:v>
                </c:pt>
                <c:pt idx="40">
                  <c:v>2020/05/31</c:v>
                </c:pt>
                <c:pt idx="41">
                  <c:v>2020/06/30</c:v>
                </c:pt>
                <c:pt idx="42">
                  <c:v>2020/07/31</c:v>
                </c:pt>
                <c:pt idx="43">
                  <c:v>2020/08/31</c:v>
                </c:pt>
                <c:pt idx="44">
                  <c:v>2020/09/30</c:v>
                </c:pt>
                <c:pt idx="45">
                  <c:v>2020/10/31</c:v>
                </c:pt>
                <c:pt idx="46">
                  <c:v>2020/11/30</c:v>
                </c:pt>
                <c:pt idx="47">
                  <c:v>2020/12/31</c:v>
                </c:pt>
                <c:pt idx="48">
                  <c:v>2021/01/31</c:v>
                </c:pt>
                <c:pt idx="49">
                  <c:v>2021/02/28</c:v>
                </c:pt>
                <c:pt idx="50">
                  <c:v>2021/03/31</c:v>
                </c:pt>
                <c:pt idx="51">
                  <c:v>2021/04/30</c:v>
                </c:pt>
                <c:pt idx="52">
                  <c:v>2021/05/31</c:v>
                </c:pt>
                <c:pt idx="53">
                  <c:v>2021/06/30</c:v>
                </c:pt>
                <c:pt idx="54">
                  <c:v>2021/07/31</c:v>
                </c:pt>
                <c:pt idx="55">
                  <c:v>2021/08/31</c:v>
                </c:pt>
                <c:pt idx="56">
                  <c:v>2021/09/30</c:v>
                </c:pt>
                <c:pt idx="57">
                  <c:v>2021/10/31</c:v>
                </c:pt>
              </c:strCache>
            </c:strRef>
          </c:cat>
          <c:val>
            <c:numRef>
              <c:f>'[20211123_094600576053_andreg.xlsx]Sheet1'!$T$3:$T$60</c:f>
              <c:numCache>
                <c:formatCode>General</c:formatCode>
                <c:ptCount val="58"/>
                <c:pt idx="0">
                  <c:v>101.6</c:v>
                </c:pt>
                <c:pt idx="1">
                  <c:v>102</c:v>
                </c:pt>
                <c:pt idx="2">
                  <c:v>102</c:v>
                </c:pt>
                <c:pt idx="3">
                  <c:v>102.6</c:v>
                </c:pt>
                <c:pt idx="4">
                  <c:v>102.7</c:v>
                </c:pt>
                <c:pt idx="5">
                  <c:v>102.7</c:v>
                </c:pt>
                <c:pt idx="6">
                  <c:v>105.8</c:v>
                </c:pt>
                <c:pt idx="7">
                  <c:v>105.8</c:v>
                </c:pt>
                <c:pt idx="8">
                  <c:v>105.9</c:v>
                </c:pt>
                <c:pt idx="9">
                  <c:v>106.1</c:v>
                </c:pt>
                <c:pt idx="10">
                  <c:v>106.1</c:v>
                </c:pt>
                <c:pt idx="11">
                  <c:v>106.1</c:v>
                </c:pt>
                <c:pt idx="12">
                  <c:v>108.8</c:v>
                </c:pt>
                <c:pt idx="13">
                  <c:v>108.8</c:v>
                </c:pt>
                <c:pt idx="14">
                  <c:v>109.3</c:v>
                </c:pt>
                <c:pt idx="15">
                  <c:v>110.6</c:v>
                </c:pt>
                <c:pt idx="16">
                  <c:v>111.6</c:v>
                </c:pt>
                <c:pt idx="17">
                  <c:v>111.6</c:v>
                </c:pt>
                <c:pt idx="18">
                  <c:v>112.3</c:v>
                </c:pt>
                <c:pt idx="19">
                  <c:v>112.6</c:v>
                </c:pt>
                <c:pt idx="20">
                  <c:v>112.7</c:v>
                </c:pt>
                <c:pt idx="21">
                  <c:v>114.2</c:v>
                </c:pt>
                <c:pt idx="22">
                  <c:v>114.2</c:v>
                </c:pt>
                <c:pt idx="23">
                  <c:v>114.3</c:v>
                </c:pt>
                <c:pt idx="24">
                  <c:v>117.6</c:v>
                </c:pt>
                <c:pt idx="25">
                  <c:v>117.6</c:v>
                </c:pt>
                <c:pt idx="26">
                  <c:v>118.7</c:v>
                </c:pt>
                <c:pt idx="27">
                  <c:v>119</c:v>
                </c:pt>
                <c:pt idx="28">
                  <c:v>119.4</c:v>
                </c:pt>
                <c:pt idx="29">
                  <c:v>119.4</c:v>
                </c:pt>
                <c:pt idx="30">
                  <c:v>119.4</c:v>
                </c:pt>
                <c:pt idx="31">
                  <c:v>120.5</c:v>
                </c:pt>
                <c:pt idx="32">
                  <c:v>120.6</c:v>
                </c:pt>
                <c:pt idx="33">
                  <c:v>120.7</c:v>
                </c:pt>
                <c:pt idx="34">
                  <c:v>120.8</c:v>
                </c:pt>
                <c:pt idx="35">
                  <c:v>123.2</c:v>
                </c:pt>
                <c:pt idx="36">
                  <c:v>126</c:v>
                </c:pt>
                <c:pt idx="37">
                  <c:v>126</c:v>
                </c:pt>
                <c:pt idx="38">
                  <c:v>126.2</c:v>
                </c:pt>
                <c:pt idx="39">
                  <c:v>125.5</c:v>
                </c:pt>
                <c:pt idx="40">
                  <c:v>127.4</c:v>
                </c:pt>
                <c:pt idx="41">
                  <c:v>127.7</c:v>
                </c:pt>
                <c:pt idx="42">
                  <c:v>128.1</c:v>
                </c:pt>
                <c:pt idx="43">
                  <c:v>128.5</c:v>
                </c:pt>
                <c:pt idx="44">
                  <c:v>132.69999999999999</c:v>
                </c:pt>
                <c:pt idx="45">
                  <c:v>135.69999999999999</c:v>
                </c:pt>
                <c:pt idx="46">
                  <c:v>136.4</c:v>
                </c:pt>
                <c:pt idx="47">
                  <c:v>136.80000000000001</c:v>
                </c:pt>
                <c:pt idx="48">
                  <c:v>137.4</c:v>
                </c:pt>
                <c:pt idx="49">
                  <c:v>137.80000000000001</c:v>
                </c:pt>
                <c:pt idx="50">
                  <c:v>138</c:v>
                </c:pt>
                <c:pt idx="51">
                  <c:v>140.19999999999999</c:v>
                </c:pt>
                <c:pt idx="52">
                  <c:v>140.6</c:v>
                </c:pt>
                <c:pt idx="53">
                  <c:v>140.6</c:v>
                </c:pt>
                <c:pt idx="54">
                  <c:v>140.6</c:v>
                </c:pt>
                <c:pt idx="55">
                  <c:v>140.6</c:v>
                </c:pt>
                <c:pt idx="56">
                  <c:v>140.6</c:v>
                </c:pt>
                <c:pt idx="57">
                  <c:v>141</c:v>
                </c:pt>
              </c:numCache>
            </c:numRef>
          </c:val>
          <c:smooth val="0"/>
          <c:extLst>
            <c:ext xmlns:c16="http://schemas.microsoft.com/office/drawing/2014/chart" uri="{C3380CC4-5D6E-409C-BE32-E72D297353CC}">
              <c16:uniqueId val="{00000001-5E67-4794-824B-38765308E140}"/>
            </c:ext>
          </c:extLst>
        </c:ser>
        <c:dLbls>
          <c:showLegendKey val="0"/>
          <c:showVal val="0"/>
          <c:showCatName val="0"/>
          <c:showSerName val="0"/>
          <c:showPercent val="0"/>
          <c:showBubbleSize val="0"/>
        </c:dLbls>
        <c:smooth val="0"/>
        <c:axId val="1468819247"/>
        <c:axId val="1468815503"/>
      </c:lineChart>
      <c:catAx>
        <c:axId val="14688192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8815503"/>
        <c:crosses val="autoZero"/>
        <c:auto val="1"/>
        <c:lblAlgn val="ctr"/>
        <c:lblOffset val="100"/>
        <c:noMultiLvlLbl val="0"/>
      </c:catAx>
      <c:valAx>
        <c:axId val="1468815503"/>
        <c:scaling>
          <c:orientation val="minMax"/>
          <c:max val="145"/>
          <c:min val="9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Index Dec 2016 = 100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8819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Sheet1!$P$2</c:f>
              <c:strCache>
                <c:ptCount val="1"/>
                <c:pt idx="0">
                  <c:v>CPI: Cinemas, theatres, concerts [weight: 0.1]</c:v>
                </c:pt>
              </c:strCache>
            </c:strRef>
          </c:tx>
          <c:spPr>
            <a:ln w="28575" cap="rnd">
              <a:solidFill>
                <a:schemeClr val="accent1"/>
              </a:solidFill>
              <a:round/>
            </a:ln>
            <a:effectLst/>
          </c:spPr>
          <c:marker>
            <c:symbol val="none"/>
          </c:marker>
          <c:cat>
            <c:strRef>
              <c:f>Sheet1!$A$3:$A$60</c:f>
              <c:strCache>
                <c:ptCount val="58"/>
                <c:pt idx="0">
                  <c:v>2017/01/31</c:v>
                </c:pt>
                <c:pt idx="1">
                  <c:v>2017/02/28</c:v>
                </c:pt>
                <c:pt idx="2">
                  <c:v>2017/03/31</c:v>
                </c:pt>
                <c:pt idx="3">
                  <c:v>2017/04/30</c:v>
                </c:pt>
                <c:pt idx="4">
                  <c:v>2017/05/31</c:v>
                </c:pt>
                <c:pt idx="5">
                  <c:v>2017/06/30</c:v>
                </c:pt>
                <c:pt idx="6">
                  <c:v>2017/07/31</c:v>
                </c:pt>
                <c:pt idx="7">
                  <c:v>2017/08/31</c:v>
                </c:pt>
                <c:pt idx="8">
                  <c:v>2017/09/30</c:v>
                </c:pt>
                <c:pt idx="9">
                  <c:v>2017/10/31</c:v>
                </c:pt>
                <c:pt idx="10">
                  <c:v>2017/11/30</c:v>
                </c:pt>
                <c:pt idx="11">
                  <c:v>2017/12/31</c:v>
                </c:pt>
                <c:pt idx="12">
                  <c:v>2018/01/31</c:v>
                </c:pt>
                <c:pt idx="13">
                  <c:v>2018/02/28</c:v>
                </c:pt>
                <c:pt idx="14">
                  <c:v>2018/03/31</c:v>
                </c:pt>
                <c:pt idx="15">
                  <c:v>2018/04/30</c:v>
                </c:pt>
                <c:pt idx="16">
                  <c:v>2018/05/31</c:v>
                </c:pt>
                <c:pt idx="17">
                  <c:v>2018/06/30</c:v>
                </c:pt>
                <c:pt idx="18">
                  <c:v>2018/07/31</c:v>
                </c:pt>
                <c:pt idx="19">
                  <c:v>2018/08/31</c:v>
                </c:pt>
                <c:pt idx="20">
                  <c:v>2018/09/30</c:v>
                </c:pt>
                <c:pt idx="21">
                  <c:v>2018/10/31</c:v>
                </c:pt>
                <c:pt idx="22">
                  <c:v>2018/11/30</c:v>
                </c:pt>
                <c:pt idx="23">
                  <c:v>2018/12/31</c:v>
                </c:pt>
                <c:pt idx="24">
                  <c:v>2019/01/31</c:v>
                </c:pt>
                <c:pt idx="25">
                  <c:v>2019/02/28</c:v>
                </c:pt>
                <c:pt idx="26">
                  <c:v>2019/03/31</c:v>
                </c:pt>
                <c:pt idx="27">
                  <c:v>2019/04/30</c:v>
                </c:pt>
                <c:pt idx="28">
                  <c:v>2019/05/31</c:v>
                </c:pt>
                <c:pt idx="29">
                  <c:v>2019/06/30</c:v>
                </c:pt>
                <c:pt idx="30">
                  <c:v>2019/07/31</c:v>
                </c:pt>
                <c:pt idx="31">
                  <c:v>2019/08/31</c:v>
                </c:pt>
                <c:pt idx="32">
                  <c:v>2019/09/30</c:v>
                </c:pt>
                <c:pt idx="33">
                  <c:v>2019/10/31</c:v>
                </c:pt>
                <c:pt idx="34">
                  <c:v>2019/11/30</c:v>
                </c:pt>
                <c:pt idx="35">
                  <c:v>2019/12/31</c:v>
                </c:pt>
                <c:pt idx="36">
                  <c:v>2020/01/31</c:v>
                </c:pt>
                <c:pt idx="37">
                  <c:v>2020/02/29</c:v>
                </c:pt>
                <c:pt idx="38">
                  <c:v>2020/03/31</c:v>
                </c:pt>
                <c:pt idx="39">
                  <c:v>2020/04/30</c:v>
                </c:pt>
                <c:pt idx="40">
                  <c:v>2020/05/31</c:v>
                </c:pt>
                <c:pt idx="41">
                  <c:v>2020/06/30</c:v>
                </c:pt>
                <c:pt idx="42">
                  <c:v>2020/07/31</c:v>
                </c:pt>
                <c:pt idx="43">
                  <c:v>2020/08/31</c:v>
                </c:pt>
                <c:pt idx="44">
                  <c:v>2020/09/30</c:v>
                </c:pt>
                <c:pt idx="45">
                  <c:v>2020/10/31</c:v>
                </c:pt>
                <c:pt idx="46">
                  <c:v>2020/11/30</c:v>
                </c:pt>
                <c:pt idx="47">
                  <c:v>2020/12/31</c:v>
                </c:pt>
                <c:pt idx="48">
                  <c:v>2021/01/31</c:v>
                </c:pt>
                <c:pt idx="49">
                  <c:v>2021/02/28</c:v>
                </c:pt>
                <c:pt idx="50">
                  <c:v>2021/03/31</c:v>
                </c:pt>
                <c:pt idx="51">
                  <c:v>2021/04/30</c:v>
                </c:pt>
                <c:pt idx="52">
                  <c:v>2021/05/31</c:v>
                </c:pt>
                <c:pt idx="53">
                  <c:v>2021/06/30</c:v>
                </c:pt>
                <c:pt idx="54">
                  <c:v>2021/07/31</c:v>
                </c:pt>
                <c:pt idx="55">
                  <c:v>2021/08/31</c:v>
                </c:pt>
                <c:pt idx="56">
                  <c:v>2021/09/30</c:v>
                </c:pt>
                <c:pt idx="57">
                  <c:v>2021/10/31</c:v>
                </c:pt>
              </c:strCache>
            </c:strRef>
          </c:cat>
          <c:val>
            <c:numRef>
              <c:f>Sheet1!$P$3:$P$60</c:f>
              <c:numCache>
                <c:formatCode>General</c:formatCode>
                <c:ptCount val="58"/>
                <c:pt idx="0">
                  <c:v>100</c:v>
                </c:pt>
                <c:pt idx="1">
                  <c:v>100</c:v>
                </c:pt>
                <c:pt idx="2">
                  <c:v>100</c:v>
                </c:pt>
                <c:pt idx="3">
                  <c:v>100</c:v>
                </c:pt>
                <c:pt idx="4">
                  <c:v>100</c:v>
                </c:pt>
                <c:pt idx="5">
                  <c:v>102</c:v>
                </c:pt>
                <c:pt idx="6">
                  <c:v>106.3</c:v>
                </c:pt>
                <c:pt idx="7">
                  <c:v>106.3</c:v>
                </c:pt>
                <c:pt idx="8">
                  <c:v>93</c:v>
                </c:pt>
                <c:pt idx="9">
                  <c:v>93</c:v>
                </c:pt>
                <c:pt idx="10">
                  <c:v>93</c:v>
                </c:pt>
                <c:pt idx="11">
                  <c:v>106.5</c:v>
                </c:pt>
                <c:pt idx="12">
                  <c:v>106.5</c:v>
                </c:pt>
                <c:pt idx="13">
                  <c:v>106.5</c:v>
                </c:pt>
                <c:pt idx="14">
                  <c:v>108.7</c:v>
                </c:pt>
                <c:pt idx="15">
                  <c:v>112.8</c:v>
                </c:pt>
                <c:pt idx="16">
                  <c:v>112.8</c:v>
                </c:pt>
                <c:pt idx="17">
                  <c:v>117</c:v>
                </c:pt>
                <c:pt idx="18">
                  <c:v>117</c:v>
                </c:pt>
                <c:pt idx="19">
                  <c:v>117</c:v>
                </c:pt>
                <c:pt idx="20">
                  <c:v>119</c:v>
                </c:pt>
                <c:pt idx="21">
                  <c:v>119</c:v>
                </c:pt>
                <c:pt idx="22">
                  <c:v>119</c:v>
                </c:pt>
                <c:pt idx="23">
                  <c:v>121</c:v>
                </c:pt>
                <c:pt idx="24">
                  <c:v>121.1</c:v>
                </c:pt>
                <c:pt idx="25">
                  <c:v>121.1</c:v>
                </c:pt>
                <c:pt idx="26">
                  <c:v>122.3</c:v>
                </c:pt>
                <c:pt idx="27">
                  <c:v>122.3</c:v>
                </c:pt>
                <c:pt idx="28">
                  <c:v>125</c:v>
                </c:pt>
                <c:pt idx="29">
                  <c:v>126.1</c:v>
                </c:pt>
                <c:pt idx="30">
                  <c:v>126.1</c:v>
                </c:pt>
                <c:pt idx="31">
                  <c:v>126.1</c:v>
                </c:pt>
                <c:pt idx="32">
                  <c:v>131.4</c:v>
                </c:pt>
                <c:pt idx="33">
                  <c:v>131.4</c:v>
                </c:pt>
                <c:pt idx="34">
                  <c:v>131.4</c:v>
                </c:pt>
                <c:pt idx="35">
                  <c:v>131.4</c:v>
                </c:pt>
                <c:pt idx="36">
                  <c:v>131.4</c:v>
                </c:pt>
                <c:pt idx="37">
                  <c:v>131.4</c:v>
                </c:pt>
                <c:pt idx="38">
                  <c:v>131.6</c:v>
                </c:pt>
                <c:pt idx="39">
                  <c:v>130.80000000000001</c:v>
                </c:pt>
                <c:pt idx="40">
                  <c:v>130</c:v>
                </c:pt>
                <c:pt idx="41">
                  <c:v>130</c:v>
                </c:pt>
                <c:pt idx="42">
                  <c:v>131.80000000000001</c:v>
                </c:pt>
                <c:pt idx="43">
                  <c:v>132</c:v>
                </c:pt>
                <c:pt idx="44">
                  <c:v>132</c:v>
                </c:pt>
                <c:pt idx="45">
                  <c:v>132</c:v>
                </c:pt>
                <c:pt idx="46">
                  <c:v>132</c:v>
                </c:pt>
                <c:pt idx="47">
                  <c:v>132</c:v>
                </c:pt>
                <c:pt idx="48">
                  <c:v>132</c:v>
                </c:pt>
                <c:pt idx="49">
                  <c:v>132</c:v>
                </c:pt>
                <c:pt idx="50">
                  <c:v>132</c:v>
                </c:pt>
                <c:pt idx="51">
                  <c:v>132</c:v>
                </c:pt>
                <c:pt idx="52">
                  <c:v>132</c:v>
                </c:pt>
                <c:pt idx="53">
                  <c:v>132</c:v>
                </c:pt>
                <c:pt idx="54">
                  <c:v>133.4</c:v>
                </c:pt>
                <c:pt idx="55">
                  <c:v>137.30000000000001</c:v>
                </c:pt>
                <c:pt idx="56">
                  <c:v>137.30000000000001</c:v>
                </c:pt>
                <c:pt idx="57">
                  <c:v>137.4</c:v>
                </c:pt>
              </c:numCache>
            </c:numRef>
          </c:val>
          <c:smooth val="0"/>
          <c:extLst>
            <c:ext xmlns:c16="http://schemas.microsoft.com/office/drawing/2014/chart" uri="{C3380CC4-5D6E-409C-BE32-E72D297353CC}">
              <c16:uniqueId val="{00000000-9BBF-421A-B914-51D01E3034EB}"/>
            </c:ext>
          </c:extLst>
        </c:ser>
        <c:ser>
          <c:idx val="1"/>
          <c:order val="1"/>
          <c:tx>
            <c:strRef>
              <c:f>Sheet1!$Q$2</c:f>
              <c:strCache>
                <c:ptCount val="1"/>
                <c:pt idx="0">
                  <c:v>CPI: Television licence and subscription [weight: 1.05]</c:v>
                </c:pt>
              </c:strCache>
            </c:strRef>
          </c:tx>
          <c:spPr>
            <a:ln w="28575" cap="rnd">
              <a:solidFill>
                <a:schemeClr val="accent2"/>
              </a:solidFill>
              <a:round/>
            </a:ln>
            <a:effectLst/>
          </c:spPr>
          <c:marker>
            <c:symbol val="none"/>
          </c:marker>
          <c:cat>
            <c:strRef>
              <c:f>Sheet1!$A$3:$A$60</c:f>
              <c:strCache>
                <c:ptCount val="58"/>
                <c:pt idx="0">
                  <c:v>2017/01/31</c:v>
                </c:pt>
                <c:pt idx="1">
                  <c:v>2017/02/28</c:v>
                </c:pt>
                <c:pt idx="2">
                  <c:v>2017/03/31</c:v>
                </c:pt>
                <c:pt idx="3">
                  <c:v>2017/04/30</c:v>
                </c:pt>
                <c:pt idx="4">
                  <c:v>2017/05/31</c:v>
                </c:pt>
                <c:pt idx="5">
                  <c:v>2017/06/30</c:v>
                </c:pt>
                <c:pt idx="6">
                  <c:v>2017/07/31</c:v>
                </c:pt>
                <c:pt idx="7">
                  <c:v>2017/08/31</c:v>
                </c:pt>
                <c:pt idx="8">
                  <c:v>2017/09/30</c:v>
                </c:pt>
                <c:pt idx="9">
                  <c:v>2017/10/31</c:v>
                </c:pt>
                <c:pt idx="10">
                  <c:v>2017/11/30</c:v>
                </c:pt>
                <c:pt idx="11">
                  <c:v>2017/12/31</c:v>
                </c:pt>
                <c:pt idx="12">
                  <c:v>2018/01/31</c:v>
                </c:pt>
                <c:pt idx="13">
                  <c:v>2018/02/28</c:v>
                </c:pt>
                <c:pt idx="14">
                  <c:v>2018/03/31</c:v>
                </c:pt>
                <c:pt idx="15">
                  <c:v>2018/04/30</c:v>
                </c:pt>
                <c:pt idx="16">
                  <c:v>2018/05/31</c:v>
                </c:pt>
                <c:pt idx="17">
                  <c:v>2018/06/30</c:v>
                </c:pt>
                <c:pt idx="18">
                  <c:v>2018/07/31</c:v>
                </c:pt>
                <c:pt idx="19">
                  <c:v>2018/08/31</c:v>
                </c:pt>
                <c:pt idx="20">
                  <c:v>2018/09/30</c:v>
                </c:pt>
                <c:pt idx="21">
                  <c:v>2018/10/31</c:v>
                </c:pt>
                <c:pt idx="22">
                  <c:v>2018/11/30</c:v>
                </c:pt>
                <c:pt idx="23">
                  <c:v>2018/12/31</c:v>
                </c:pt>
                <c:pt idx="24">
                  <c:v>2019/01/31</c:v>
                </c:pt>
                <c:pt idx="25">
                  <c:v>2019/02/28</c:v>
                </c:pt>
                <c:pt idx="26">
                  <c:v>2019/03/31</c:v>
                </c:pt>
                <c:pt idx="27">
                  <c:v>2019/04/30</c:v>
                </c:pt>
                <c:pt idx="28">
                  <c:v>2019/05/31</c:v>
                </c:pt>
                <c:pt idx="29">
                  <c:v>2019/06/30</c:v>
                </c:pt>
                <c:pt idx="30">
                  <c:v>2019/07/31</c:v>
                </c:pt>
                <c:pt idx="31">
                  <c:v>2019/08/31</c:v>
                </c:pt>
                <c:pt idx="32">
                  <c:v>2019/09/30</c:v>
                </c:pt>
                <c:pt idx="33">
                  <c:v>2019/10/31</c:v>
                </c:pt>
                <c:pt idx="34">
                  <c:v>2019/11/30</c:v>
                </c:pt>
                <c:pt idx="35">
                  <c:v>2019/12/31</c:v>
                </c:pt>
                <c:pt idx="36">
                  <c:v>2020/01/31</c:v>
                </c:pt>
                <c:pt idx="37">
                  <c:v>2020/02/29</c:v>
                </c:pt>
                <c:pt idx="38">
                  <c:v>2020/03/31</c:v>
                </c:pt>
                <c:pt idx="39">
                  <c:v>2020/04/30</c:v>
                </c:pt>
                <c:pt idx="40">
                  <c:v>2020/05/31</c:v>
                </c:pt>
                <c:pt idx="41">
                  <c:v>2020/06/30</c:v>
                </c:pt>
                <c:pt idx="42">
                  <c:v>2020/07/31</c:v>
                </c:pt>
                <c:pt idx="43">
                  <c:v>2020/08/31</c:v>
                </c:pt>
                <c:pt idx="44">
                  <c:v>2020/09/30</c:v>
                </c:pt>
                <c:pt idx="45">
                  <c:v>2020/10/31</c:v>
                </c:pt>
                <c:pt idx="46">
                  <c:v>2020/11/30</c:v>
                </c:pt>
                <c:pt idx="47">
                  <c:v>2020/12/31</c:v>
                </c:pt>
                <c:pt idx="48">
                  <c:v>2021/01/31</c:v>
                </c:pt>
                <c:pt idx="49">
                  <c:v>2021/02/28</c:v>
                </c:pt>
                <c:pt idx="50">
                  <c:v>2021/03/31</c:v>
                </c:pt>
                <c:pt idx="51">
                  <c:v>2021/04/30</c:v>
                </c:pt>
                <c:pt idx="52">
                  <c:v>2021/05/31</c:v>
                </c:pt>
                <c:pt idx="53">
                  <c:v>2021/06/30</c:v>
                </c:pt>
                <c:pt idx="54">
                  <c:v>2021/07/31</c:v>
                </c:pt>
                <c:pt idx="55">
                  <c:v>2021/08/31</c:v>
                </c:pt>
                <c:pt idx="56">
                  <c:v>2021/09/30</c:v>
                </c:pt>
                <c:pt idx="57">
                  <c:v>2021/10/31</c:v>
                </c:pt>
              </c:strCache>
            </c:strRef>
          </c:cat>
          <c:val>
            <c:numRef>
              <c:f>Sheet1!$Q$3:$Q$60</c:f>
              <c:numCache>
                <c:formatCode>General</c:formatCode>
                <c:ptCount val="58"/>
                <c:pt idx="0">
                  <c:v>100</c:v>
                </c:pt>
                <c:pt idx="1">
                  <c:v>100</c:v>
                </c:pt>
                <c:pt idx="2">
                  <c:v>100</c:v>
                </c:pt>
                <c:pt idx="3">
                  <c:v>101.6</c:v>
                </c:pt>
                <c:pt idx="4">
                  <c:v>101.6</c:v>
                </c:pt>
                <c:pt idx="5">
                  <c:v>101.6</c:v>
                </c:pt>
                <c:pt idx="6">
                  <c:v>101.6</c:v>
                </c:pt>
                <c:pt idx="7">
                  <c:v>101.6</c:v>
                </c:pt>
                <c:pt idx="8">
                  <c:v>101.6</c:v>
                </c:pt>
                <c:pt idx="9">
                  <c:v>101.6</c:v>
                </c:pt>
                <c:pt idx="10">
                  <c:v>101.6</c:v>
                </c:pt>
                <c:pt idx="11">
                  <c:v>101.6</c:v>
                </c:pt>
                <c:pt idx="12">
                  <c:v>101.6</c:v>
                </c:pt>
                <c:pt idx="13">
                  <c:v>101.6</c:v>
                </c:pt>
                <c:pt idx="14">
                  <c:v>101.6</c:v>
                </c:pt>
                <c:pt idx="15">
                  <c:v>105.8</c:v>
                </c:pt>
                <c:pt idx="16">
                  <c:v>105.8</c:v>
                </c:pt>
                <c:pt idx="17">
                  <c:v>105.8</c:v>
                </c:pt>
                <c:pt idx="18">
                  <c:v>105.8</c:v>
                </c:pt>
                <c:pt idx="19">
                  <c:v>105.8</c:v>
                </c:pt>
                <c:pt idx="20">
                  <c:v>105.8</c:v>
                </c:pt>
                <c:pt idx="21">
                  <c:v>105.8</c:v>
                </c:pt>
                <c:pt idx="22">
                  <c:v>105.8</c:v>
                </c:pt>
                <c:pt idx="23">
                  <c:v>105.8</c:v>
                </c:pt>
                <c:pt idx="24">
                  <c:v>105.8</c:v>
                </c:pt>
                <c:pt idx="25">
                  <c:v>105.8</c:v>
                </c:pt>
                <c:pt idx="26">
                  <c:v>105.8</c:v>
                </c:pt>
                <c:pt idx="27">
                  <c:v>107.5</c:v>
                </c:pt>
                <c:pt idx="28">
                  <c:v>107.5</c:v>
                </c:pt>
                <c:pt idx="29">
                  <c:v>107.5</c:v>
                </c:pt>
                <c:pt idx="30">
                  <c:v>107.5</c:v>
                </c:pt>
                <c:pt idx="31">
                  <c:v>107.5</c:v>
                </c:pt>
                <c:pt idx="32">
                  <c:v>107.5</c:v>
                </c:pt>
                <c:pt idx="33">
                  <c:v>107.5</c:v>
                </c:pt>
                <c:pt idx="34">
                  <c:v>107.5</c:v>
                </c:pt>
                <c:pt idx="35">
                  <c:v>107.5</c:v>
                </c:pt>
                <c:pt idx="36">
                  <c:v>107.5</c:v>
                </c:pt>
                <c:pt idx="37">
                  <c:v>107.5</c:v>
                </c:pt>
                <c:pt idx="38">
                  <c:v>107.5</c:v>
                </c:pt>
                <c:pt idx="39">
                  <c:v>108.6</c:v>
                </c:pt>
                <c:pt idx="40">
                  <c:v>108.6</c:v>
                </c:pt>
                <c:pt idx="41">
                  <c:v>108.6</c:v>
                </c:pt>
                <c:pt idx="42">
                  <c:v>108.6</c:v>
                </c:pt>
                <c:pt idx="43">
                  <c:v>108.6</c:v>
                </c:pt>
                <c:pt idx="44">
                  <c:v>108.6</c:v>
                </c:pt>
                <c:pt idx="45">
                  <c:v>108.6</c:v>
                </c:pt>
                <c:pt idx="46">
                  <c:v>108.6</c:v>
                </c:pt>
                <c:pt idx="47">
                  <c:v>108.6</c:v>
                </c:pt>
                <c:pt idx="48">
                  <c:v>108.6</c:v>
                </c:pt>
                <c:pt idx="49">
                  <c:v>108.6</c:v>
                </c:pt>
                <c:pt idx="50">
                  <c:v>108.6</c:v>
                </c:pt>
                <c:pt idx="51">
                  <c:v>110</c:v>
                </c:pt>
                <c:pt idx="52">
                  <c:v>110</c:v>
                </c:pt>
                <c:pt idx="53">
                  <c:v>110</c:v>
                </c:pt>
                <c:pt idx="54">
                  <c:v>110</c:v>
                </c:pt>
                <c:pt idx="55">
                  <c:v>110</c:v>
                </c:pt>
                <c:pt idx="56">
                  <c:v>110</c:v>
                </c:pt>
                <c:pt idx="57">
                  <c:v>110</c:v>
                </c:pt>
              </c:numCache>
            </c:numRef>
          </c:val>
          <c:smooth val="0"/>
          <c:extLst>
            <c:ext xmlns:c16="http://schemas.microsoft.com/office/drawing/2014/chart" uri="{C3380CC4-5D6E-409C-BE32-E72D297353CC}">
              <c16:uniqueId val="{00000001-9BBF-421A-B914-51D01E3034EB}"/>
            </c:ext>
          </c:extLst>
        </c:ser>
        <c:dLbls>
          <c:showLegendKey val="0"/>
          <c:showVal val="0"/>
          <c:showCatName val="0"/>
          <c:showSerName val="0"/>
          <c:showPercent val="0"/>
          <c:showBubbleSize val="0"/>
        </c:dLbls>
        <c:smooth val="0"/>
        <c:axId val="1329478015"/>
        <c:axId val="74137039"/>
      </c:lineChart>
      <c:catAx>
        <c:axId val="13294780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137039"/>
        <c:crosses val="autoZero"/>
        <c:auto val="1"/>
        <c:lblAlgn val="ctr"/>
        <c:lblOffset val="100"/>
        <c:noMultiLvlLbl val="0"/>
      </c:catAx>
      <c:valAx>
        <c:axId val="74137039"/>
        <c:scaling>
          <c:orientation val="minMax"/>
          <c:max val="140"/>
          <c:min val="9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Index Dec 2016 = 100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94780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Sheet1!$J$2</c:f>
              <c:strCache>
                <c:ptCount val="1"/>
                <c:pt idx="0">
                  <c:v>CPI: Musical instruments [weight: 0.02]</c:v>
                </c:pt>
              </c:strCache>
            </c:strRef>
          </c:tx>
          <c:spPr>
            <a:ln w="28575" cap="rnd">
              <a:solidFill>
                <a:schemeClr val="accent1"/>
              </a:solidFill>
              <a:round/>
            </a:ln>
            <a:effectLst/>
          </c:spPr>
          <c:marker>
            <c:symbol val="none"/>
          </c:marker>
          <c:cat>
            <c:strRef>
              <c:f>Sheet1!$A$3:$A$60</c:f>
              <c:strCache>
                <c:ptCount val="58"/>
                <c:pt idx="0">
                  <c:v>2017/01/31</c:v>
                </c:pt>
                <c:pt idx="1">
                  <c:v>2017/02/28</c:v>
                </c:pt>
                <c:pt idx="2">
                  <c:v>2017/03/31</c:v>
                </c:pt>
                <c:pt idx="3">
                  <c:v>2017/04/30</c:v>
                </c:pt>
                <c:pt idx="4">
                  <c:v>2017/05/31</c:v>
                </c:pt>
                <c:pt idx="5">
                  <c:v>2017/06/30</c:v>
                </c:pt>
                <c:pt idx="6">
                  <c:v>2017/07/31</c:v>
                </c:pt>
                <c:pt idx="7">
                  <c:v>2017/08/31</c:v>
                </c:pt>
                <c:pt idx="8">
                  <c:v>2017/09/30</c:v>
                </c:pt>
                <c:pt idx="9">
                  <c:v>2017/10/31</c:v>
                </c:pt>
                <c:pt idx="10">
                  <c:v>2017/11/30</c:v>
                </c:pt>
                <c:pt idx="11">
                  <c:v>2017/12/31</c:v>
                </c:pt>
                <c:pt idx="12">
                  <c:v>2018/01/31</c:v>
                </c:pt>
                <c:pt idx="13">
                  <c:v>2018/02/28</c:v>
                </c:pt>
                <c:pt idx="14">
                  <c:v>2018/03/31</c:v>
                </c:pt>
                <c:pt idx="15">
                  <c:v>2018/04/30</c:v>
                </c:pt>
                <c:pt idx="16">
                  <c:v>2018/05/31</c:v>
                </c:pt>
                <c:pt idx="17">
                  <c:v>2018/06/30</c:v>
                </c:pt>
                <c:pt idx="18">
                  <c:v>2018/07/31</c:v>
                </c:pt>
                <c:pt idx="19">
                  <c:v>2018/08/31</c:v>
                </c:pt>
                <c:pt idx="20">
                  <c:v>2018/09/30</c:v>
                </c:pt>
                <c:pt idx="21">
                  <c:v>2018/10/31</c:v>
                </c:pt>
                <c:pt idx="22">
                  <c:v>2018/11/30</c:v>
                </c:pt>
                <c:pt idx="23">
                  <c:v>2018/12/31</c:v>
                </c:pt>
                <c:pt idx="24">
                  <c:v>2019/01/31</c:v>
                </c:pt>
                <c:pt idx="25">
                  <c:v>2019/02/28</c:v>
                </c:pt>
                <c:pt idx="26">
                  <c:v>2019/03/31</c:v>
                </c:pt>
                <c:pt idx="27">
                  <c:v>2019/04/30</c:v>
                </c:pt>
                <c:pt idx="28">
                  <c:v>2019/05/31</c:v>
                </c:pt>
                <c:pt idx="29">
                  <c:v>2019/06/30</c:v>
                </c:pt>
                <c:pt idx="30">
                  <c:v>2019/07/31</c:v>
                </c:pt>
                <c:pt idx="31">
                  <c:v>2019/08/31</c:v>
                </c:pt>
                <c:pt idx="32">
                  <c:v>2019/09/30</c:v>
                </c:pt>
                <c:pt idx="33">
                  <c:v>2019/10/31</c:v>
                </c:pt>
                <c:pt idx="34">
                  <c:v>2019/11/30</c:v>
                </c:pt>
                <c:pt idx="35">
                  <c:v>2019/12/31</c:v>
                </c:pt>
                <c:pt idx="36">
                  <c:v>2020/01/31</c:v>
                </c:pt>
                <c:pt idx="37">
                  <c:v>2020/02/29</c:v>
                </c:pt>
                <c:pt idx="38">
                  <c:v>2020/03/31</c:v>
                </c:pt>
                <c:pt idx="39">
                  <c:v>2020/04/30</c:v>
                </c:pt>
                <c:pt idx="40">
                  <c:v>2020/05/31</c:v>
                </c:pt>
                <c:pt idx="41">
                  <c:v>2020/06/30</c:v>
                </c:pt>
                <c:pt idx="42">
                  <c:v>2020/07/31</c:v>
                </c:pt>
                <c:pt idx="43">
                  <c:v>2020/08/31</c:v>
                </c:pt>
                <c:pt idx="44">
                  <c:v>2020/09/30</c:v>
                </c:pt>
                <c:pt idx="45">
                  <c:v>2020/10/31</c:v>
                </c:pt>
                <c:pt idx="46">
                  <c:v>2020/11/30</c:v>
                </c:pt>
                <c:pt idx="47">
                  <c:v>2020/12/31</c:v>
                </c:pt>
                <c:pt idx="48">
                  <c:v>2021/01/31</c:v>
                </c:pt>
                <c:pt idx="49">
                  <c:v>2021/02/28</c:v>
                </c:pt>
                <c:pt idx="50">
                  <c:v>2021/03/31</c:v>
                </c:pt>
                <c:pt idx="51">
                  <c:v>2021/04/30</c:v>
                </c:pt>
                <c:pt idx="52">
                  <c:v>2021/05/31</c:v>
                </c:pt>
                <c:pt idx="53">
                  <c:v>2021/06/30</c:v>
                </c:pt>
                <c:pt idx="54">
                  <c:v>2021/07/31</c:v>
                </c:pt>
                <c:pt idx="55">
                  <c:v>2021/08/31</c:v>
                </c:pt>
                <c:pt idx="56">
                  <c:v>2021/09/30</c:v>
                </c:pt>
                <c:pt idx="57">
                  <c:v>2021/10/31</c:v>
                </c:pt>
              </c:strCache>
            </c:strRef>
          </c:cat>
          <c:val>
            <c:numRef>
              <c:f>Sheet1!$J$3:$J$60</c:f>
              <c:numCache>
                <c:formatCode>General</c:formatCode>
                <c:ptCount val="58"/>
                <c:pt idx="0">
                  <c:v>100.9</c:v>
                </c:pt>
                <c:pt idx="1">
                  <c:v>99.6</c:v>
                </c:pt>
                <c:pt idx="2">
                  <c:v>100</c:v>
                </c:pt>
                <c:pt idx="3">
                  <c:v>105.1</c:v>
                </c:pt>
                <c:pt idx="4">
                  <c:v>101</c:v>
                </c:pt>
                <c:pt idx="5">
                  <c:v>101.5</c:v>
                </c:pt>
                <c:pt idx="6">
                  <c:v>101.8</c:v>
                </c:pt>
                <c:pt idx="7">
                  <c:v>98.9</c:v>
                </c:pt>
                <c:pt idx="8">
                  <c:v>99.1</c:v>
                </c:pt>
                <c:pt idx="9">
                  <c:v>99.6</c:v>
                </c:pt>
                <c:pt idx="10">
                  <c:v>99</c:v>
                </c:pt>
                <c:pt idx="11">
                  <c:v>98.1</c:v>
                </c:pt>
                <c:pt idx="12">
                  <c:v>99</c:v>
                </c:pt>
                <c:pt idx="13">
                  <c:v>97.6</c:v>
                </c:pt>
                <c:pt idx="14">
                  <c:v>98.6</c:v>
                </c:pt>
                <c:pt idx="15">
                  <c:v>96.8</c:v>
                </c:pt>
                <c:pt idx="16">
                  <c:v>95.9</c:v>
                </c:pt>
                <c:pt idx="17">
                  <c:v>96.7</c:v>
                </c:pt>
                <c:pt idx="18">
                  <c:v>98</c:v>
                </c:pt>
                <c:pt idx="19">
                  <c:v>98.7</c:v>
                </c:pt>
                <c:pt idx="20">
                  <c:v>98.7</c:v>
                </c:pt>
                <c:pt idx="21">
                  <c:v>99.3</c:v>
                </c:pt>
                <c:pt idx="22">
                  <c:v>99.5</c:v>
                </c:pt>
                <c:pt idx="23">
                  <c:v>97.4</c:v>
                </c:pt>
                <c:pt idx="24">
                  <c:v>99.6</c:v>
                </c:pt>
                <c:pt idx="25">
                  <c:v>100.3</c:v>
                </c:pt>
                <c:pt idx="26">
                  <c:v>99.1</c:v>
                </c:pt>
                <c:pt idx="27">
                  <c:v>97.9</c:v>
                </c:pt>
                <c:pt idx="28">
                  <c:v>98.5</c:v>
                </c:pt>
                <c:pt idx="29">
                  <c:v>99.2</c:v>
                </c:pt>
                <c:pt idx="30">
                  <c:v>97.2</c:v>
                </c:pt>
                <c:pt idx="31">
                  <c:v>97.7</c:v>
                </c:pt>
                <c:pt idx="32">
                  <c:v>96.8</c:v>
                </c:pt>
                <c:pt idx="33">
                  <c:v>98.3</c:v>
                </c:pt>
                <c:pt idx="34">
                  <c:v>95.7</c:v>
                </c:pt>
                <c:pt idx="35">
                  <c:v>97.1</c:v>
                </c:pt>
                <c:pt idx="36">
                  <c:v>99.9</c:v>
                </c:pt>
                <c:pt idx="37">
                  <c:v>100.5</c:v>
                </c:pt>
                <c:pt idx="38">
                  <c:v>100.2</c:v>
                </c:pt>
                <c:pt idx="39">
                  <c:v>99.6</c:v>
                </c:pt>
                <c:pt idx="40">
                  <c:v>99</c:v>
                </c:pt>
                <c:pt idx="41">
                  <c:v>99</c:v>
                </c:pt>
                <c:pt idx="42">
                  <c:v>99</c:v>
                </c:pt>
                <c:pt idx="43">
                  <c:v>99</c:v>
                </c:pt>
                <c:pt idx="44">
                  <c:v>98.2</c:v>
                </c:pt>
                <c:pt idx="45">
                  <c:v>98.4</c:v>
                </c:pt>
                <c:pt idx="46">
                  <c:v>98.1</c:v>
                </c:pt>
                <c:pt idx="47">
                  <c:v>98.1</c:v>
                </c:pt>
                <c:pt idx="48">
                  <c:v>100.2</c:v>
                </c:pt>
                <c:pt idx="49">
                  <c:v>105.3</c:v>
                </c:pt>
                <c:pt idx="50">
                  <c:v>103.4</c:v>
                </c:pt>
                <c:pt idx="51">
                  <c:v>106.9</c:v>
                </c:pt>
                <c:pt idx="52">
                  <c:v>105.6</c:v>
                </c:pt>
                <c:pt idx="53">
                  <c:v>105.8</c:v>
                </c:pt>
                <c:pt idx="54">
                  <c:v>106.5</c:v>
                </c:pt>
                <c:pt idx="55">
                  <c:v>104.2</c:v>
                </c:pt>
                <c:pt idx="56">
                  <c:v>101.4</c:v>
                </c:pt>
                <c:pt idx="57">
                  <c:v>100.8</c:v>
                </c:pt>
              </c:numCache>
            </c:numRef>
          </c:val>
          <c:smooth val="1"/>
          <c:extLst>
            <c:ext xmlns:c16="http://schemas.microsoft.com/office/drawing/2014/chart" uri="{C3380CC4-5D6E-409C-BE32-E72D297353CC}">
              <c16:uniqueId val="{00000000-C869-4410-A211-4691BFCB4E57}"/>
            </c:ext>
          </c:extLst>
        </c:ser>
        <c:dLbls>
          <c:showLegendKey val="0"/>
          <c:showVal val="0"/>
          <c:showCatName val="0"/>
          <c:showSerName val="0"/>
          <c:showPercent val="0"/>
          <c:showBubbleSize val="0"/>
        </c:dLbls>
        <c:smooth val="0"/>
        <c:axId val="1588644607"/>
        <c:axId val="1588645023"/>
      </c:lineChart>
      <c:catAx>
        <c:axId val="15886446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8645023"/>
        <c:crosses val="autoZero"/>
        <c:auto val="1"/>
        <c:lblAlgn val="ctr"/>
        <c:lblOffset val="100"/>
        <c:noMultiLvlLbl val="0"/>
      </c:catAx>
      <c:valAx>
        <c:axId val="1588645023"/>
        <c:scaling>
          <c:orientation val="minMax"/>
          <c:max val="107"/>
          <c:min val="9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Index Dec 2016 = 100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86446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0.19785</cdr:x>
      <cdr:y>0.13656</cdr:y>
    </cdr:from>
    <cdr:to>
      <cdr:x>0.26682</cdr:x>
      <cdr:y>0.18849</cdr:y>
    </cdr:to>
    <cdr:sp macro="" textlink="">
      <cdr:nvSpPr>
        <cdr:cNvPr id="5" name="TextBox 1">
          <a:extLst xmlns:a="http://schemas.openxmlformats.org/drawingml/2006/main">
            <a:ext uri="{FF2B5EF4-FFF2-40B4-BE49-F238E27FC236}">
              <a16:creationId xmlns:a16="http://schemas.microsoft.com/office/drawing/2014/main" id="{DEA1622A-8D72-44D3-9179-3433E95AD356}"/>
            </a:ext>
          </a:extLst>
        </cdr:cNvPr>
        <cdr:cNvSpPr txBox="1"/>
      </cdr:nvSpPr>
      <cdr:spPr>
        <a:xfrm xmlns:a="http://schemas.openxmlformats.org/drawingml/2006/main">
          <a:off x="1133973" y="568404"/>
          <a:ext cx="395302" cy="216155"/>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ZA" sz="1600"/>
            <a:t>2016</a:t>
          </a:r>
        </a:p>
      </cdr:txBody>
    </cdr:sp>
  </cdr:relSizeAnchor>
  <cdr:relSizeAnchor xmlns:cdr="http://schemas.openxmlformats.org/drawingml/2006/chartDrawing">
    <cdr:from>
      <cdr:x>0.28675</cdr:x>
      <cdr:y>0.13263</cdr:y>
    </cdr:from>
    <cdr:to>
      <cdr:x>0.35572</cdr:x>
      <cdr:y>0.18456</cdr:y>
    </cdr:to>
    <cdr:sp macro="" textlink="">
      <cdr:nvSpPr>
        <cdr:cNvPr id="6" name="TextBox 1">
          <a:extLst xmlns:a="http://schemas.openxmlformats.org/drawingml/2006/main">
            <a:ext uri="{FF2B5EF4-FFF2-40B4-BE49-F238E27FC236}">
              <a16:creationId xmlns:a16="http://schemas.microsoft.com/office/drawing/2014/main" id="{A7BA4C58-60DF-4071-AF26-75D5879E3D24}"/>
            </a:ext>
          </a:extLst>
        </cdr:cNvPr>
        <cdr:cNvSpPr txBox="1"/>
      </cdr:nvSpPr>
      <cdr:spPr>
        <a:xfrm xmlns:a="http://schemas.openxmlformats.org/drawingml/2006/main">
          <a:off x="1643482" y="552042"/>
          <a:ext cx="395303" cy="216155"/>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ZA" sz="1600"/>
            <a:t>2018</a:t>
          </a:r>
        </a:p>
      </cdr:txBody>
    </cdr:sp>
  </cdr:relSizeAnchor>
  <cdr:relSizeAnchor xmlns:cdr="http://schemas.openxmlformats.org/drawingml/2006/chartDrawing">
    <cdr:from>
      <cdr:x>0.36559</cdr:x>
      <cdr:y>0.13359</cdr:y>
    </cdr:from>
    <cdr:to>
      <cdr:x>0.43455</cdr:x>
      <cdr:y>0.18552</cdr:y>
    </cdr:to>
    <cdr:sp macro="" textlink="">
      <cdr:nvSpPr>
        <cdr:cNvPr id="8" name="TextBox 1">
          <a:extLst xmlns:a="http://schemas.openxmlformats.org/drawingml/2006/main">
            <a:ext uri="{FF2B5EF4-FFF2-40B4-BE49-F238E27FC236}">
              <a16:creationId xmlns:a16="http://schemas.microsoft.com/office/drawing/2014/main" id="{A7BA4C58-60DF-4071-AF26-75D5879E3D24}"/>
            </a:ext>
          </a:extLst>
        </cdr:cNvPr>
        <cdr:cNvSpPr txBox="1"/>
      </cdr:nvSpPr>
      <cdr:spPr>
        <a:xfrm xmlns:a="http://schemas.openxmlformats.org/drawingml/2006/main">
          <a:off x="2095362" y="556042"/>
          <a:ext cx="395245" cy="216155"/>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ZA" sz="1600"/>
            <a:t>2020</a:t>
          </a:r>
        </a:p>
      </cdr:txBody>
    </cdr:sp>
  </cdr:relSizeAnchor>
  <cdr:relSizeAnchor xmlns:cdr="http://schemas.openxmlformats.org/drawingml/2006/chartDrawing">
    <cdr:from>
      <cdr:x>0.23233</cdr:x>
      <cdr:y>0.18849</cdr:y>
    </cdr:from>
    <cdr:to>
      <cdr:x>0.30312</cdr:x>
      <cdr:y>0.37834</cdr:y>
    </cdr:to>
    <cdr:cxnSp macro="">
      <cdr:nvCxnSpPr>
        <cdr:cNvPr id="10" name="Connector: Elbow 9">
          <a:extLst xmlns:a="http://schemas.openxmlformats.org/drawingml/2006/main">
            <a:ext uri="{FF2B5EF4-FFF2-40B4-BE49-F238E27FC236}">
              <a16:creationId xmlns:a16="http://schemas.microsoft.com/office/drawing/2014/main" id="{8AE3D4FA-104D-4E8A-A0A0-47EB447AAED6}"/>
            </a:ext>
          </a:extLst>
        </cdr:cNvPr>
        <cdr:cNvCxnSpPr>
          <a:stCxn xmlns:a="http://schemas.openxmlformats.org/drawingml/2006/main" id="5" idx="2"/>
        </cdr:cNvCxnSpPr>
      </cdr:nvCxnSpPr>
      <cdr:spPr>
        <a:xfrm xmlns:a="http://schemas.openxmlformats.org/drawingml/2006/main" rot="16200000" flipH="1">
          <a:off x="1139371" y="976811"/>
          <a:ext cx="790244" cy="405739"/>
        </a:xfrm>
        <a:prstGeom xmlns:a="http://schemas.openxmlformats.org/drawingml/2006/main" prst="bentConnector3">
          <a:avLst>
            <a:gd name="adj1" fmla="val 50000"/>
          </a:avLst>
        </a:prstGeom>
        <a:ln xmlns:a="http://schemas.openxmlformats.org/drawingml/2006/main" w="28575">
          <a:solidFill>
            <a:schemeClr val="accent4">
              <a:lumMod val="60000"/>
              <a:lumOff val="4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0.32123</cdr:x>
      <cdr:y>0.18455</cdr:y>
    </cdr:from>
    <cdr:to>
      <cdr:x>0.36339</cdr:x>
      <cdr:y>0.36735</cdr:y>
    </cdr:to>
    <cdr:cxnSp macro="">
      <cdr:nvCxnSpPr>
        <cdr:cNvPr id="12" name="Connector: Elbow 11">
          <a:extLst xmlns:a="http://schemas.openxmlformats.org/drawingml/2006/main">
            <a:ext uri="{FF2B5EF4-FFF2-40B4-BE49-F238E27FC236}">
              <a16:creationId xmlns:a16="http://schemas.microsoft.com/office/drawing/2014/main" id="{3EBE70B1-1E5C-44DB-910D-39B0454AB480}"/>
            </a:ext>
          </a:extLst>
        </cdr:cNvPr>
        <cdr:cNvCxnSpPr>
          <a:stCxn xmlns:a="http://schemas.openxmlformats.org/drawingml/2006/main" id="6" idx="2"/>
        </cdr:cNvCxnSpPr>
      </cdr:nvCxnSpPr>
      <cdr:spPr>
        <a:xfrm xmlns:a="http://schemas.openxmlformats.org/drawingml/2006/main" rot="16200000" flipH="1">
          <a:off x="1581526" y="1027805"/>
          <a:ext cx="760883" cy="241666"/>
        </a:xfrm>
        <a:prstGeom xmlns:a="http://schemas.openxmlformats.org/drawingml/2006/main" prst="bentConnector3">
          <a:avLst>
            <a:gd name="adj1" fmla="val 50000"/>
          </a:avLst>
        </a:prstGeom>
        <a:ln xmlns:a="http://schemas.openxmlformats.org/drawingml/2006/main" w="28575">
          <a:solidFill>
            <a:schemeClr val="accent4">
              <a:lumMod val="60000"/>
              <a:lumOff val="4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0.40007</cdr:x>
      <cdr:y>0.18552</cdr:y>
    </cdr:from>
    <cdr:to>
      <cdr:x>0.45671</cdr:x>
      <cdr:y>0.34065</cdr:y>
    </cdr:to>
    <cdr:cxnSp macro="">
      <cdr:nvCxnSpPr>
        <cdr:cNvPr id="17" name="Connector: Elbow 16">
          <a:extLst xmlns:a="http://schemas.openxmlformats.org/drawingml/2006/main">
            <a:ext uri="{FF2B5EF4-FFF2-40B4-BE49-F238E27FC236}">
              <a16:creationId xmlns:a16="http://schemas.microsoft.com/office/drawing/2014/main" id="{FFB5D0F3-B725-44AD-8696-B4B3B70B1485}"/>
            </a:ext>
          </a:extLst>
        </cdr:cNvPr>
        <cdr:cNvCxnSpPr>
          <a:stCxn xmlns:a="http://schemas.openxmlformats.org/drawingml/2006/main" id="8" idx="2"/>
        </cdr:cNvCxnSpPr>
      </cdr:nvCxnSpPr>
      <cdr:spPr>
        <a:xfrm xmlns:a="http://schemas.openxmlformats.org/drawingml/2006/main" rot="16200000" flipH="1">
          <a:off x="2132442" y="932739"/>
          <a:ext cx="645717" cy="324633"/>
        </a:xfrm>
        <a:prstGeom xmlns:a="http://schemas.openxmlformats.org/drawingml/2006/main" prst="bentConnector3">
          <a:avLst/>
        </a:prstGeom>
        <a:ln xmlns:a="http://schemas.openxmlformats.org/drawingml/2006/main" w="28575">
          <a:solidFill>
            <a:schemeClr val="accent4">
              <a:lumMod val="60000"/>
              <a:lumOff val="4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aNiscwpyR/0a+iMtx8WKbwpy7Q==">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</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C096059-9C46-4711-8563-9F53964FB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72</Pages>
  <Words>24818</Words>
  <Characters>141468</Characters>
  <Application>Microsoft Office Word</Application>
  <DocSecurity>0</DocSecurity>
  <PresentationFormat/>
  <Lines>1178</Lines>
  <Paragraphs>331</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165955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Snowball</dc:creator>
  <cp:keywords/>
  <dc:description/>
  <cp:lastModifiedBy>Derrocks, René (Ms) (Bird Street Campus )</cp:lastModifiedBy>
  <cp:revision>2</cp:revision>
  <cp:lastPrinted>2022-01-06T15:27:00Z</cp:lastPrinted>
  <dcterms:created xsi:type="dcterms:W3CDTF">2022-02-08T12:31:00Z</dcterms:created>
  <dcterms:modified xsi:type="dcterms:W3CDTF">2022-02-08T12:31:00Z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
  </property>
  <property fmtid="{D5CDD505-2E9C-101B-9397-08002B2CF9AE}" pid="3" name="ZOTERO_PREF_2">
    <vt:lpwstr/>
  </property>
</Properties>
</file>