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B80FBA" w14:textId="77777777" w:rsidR="009916D2" w:rsidRDefault="009916D2">
      <w:pPr>
        <w:rPr>
          <w:sz w:val="22"/>
          <w:szCs w:val="22"/>
        </w:rPr>
      </w:pPr>
      <w:bookmarkStart w:id="0" w:name="_heading=h.gjdgxs" w:colFirst="0" w:colLast="0"/>
      <w:bookmarkStart w:id="1" w:name="_GoBack"/>
      <w:bookmarkEnd w:id="0"/>
      <w:bookmarkEnd w:id="1"/>
    </w:p>
    <w:p w14:paraId="00000001" w14:textId="5120FDDE" w:rsidR="00294ABB" w:rsidRDefault="00420BFB">
      <w:pPr>
        <w:rPr>
          <w:sz w:val="22"/>
          <w:szCs w:val="22"/>
        </w:rPr>
      </w:pPr>
      <w:r>
        <w:rPr>
          <w:noProof/>
          <w:lang w:val="en-ZA"/>
        </w:rPr>
        <w:drawing>
          <wp:anchor distT="0" distB="0" distL="114300" distR="114300" simplePos="0" relativeHeight="251655680" behindDoc="0" locked="0" layoutInCell="1" hidden="0" allowOverlap="1" wp14:anchorId="5D679DC5" wp14:editId="7228FBCB">
            <wp:simplePos x="0" y="0"/>
            <wp:positionH relativeFrom="page">
              <wp:align>left</wp:align>
            </wp:positionH>
            <wp:positionV relativeFrom="page">
              <wp:align>top</wp:align>
            </wp:positionV>
            <wp:extent cx="7559387" cy="10692875"/>
            <wp:effectExtent l="0" t="0" r="0" b="0"/>
            <wp:wrapNone/>
            <wp:docPr id="30" name="image2.jpg" descr="Websit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2.jpg" descr="Website&#10;&#10;Description automatically generated with medium confidence"/>
                    <pic:cNvPicPr preferRelativeResize="0"/>
                  </pic:nvPicPr>
                  <pic:blipFill>
                    <a:blip r:embed="rId9"/>
                    <a:srcRect/>
                    <a:stretch>
                      <a:fillRect/>
                    </a:stretch>
                  </pic:blipFill>
                  <pic:spPr>
                    <a:xfrm>
                      <a:off x="0" y="0"/>
                      <a:ext cx="7559387" cy="10692875"/>
                    </a:xfrm>
                    <a:prstGeom prst="rect">
                      <a:avLst/>
                    </a:prstGeom>
                    <a:ln/>
                  </pic:spPr>
                </pic:pic>
              </a:graphicData>
            </a:graphic>
          </wp:anchor>
        </w:drawing>
      </w:r>
    </w:p>
    <w:p w14:paraId="00000002" w14:textId="77777777" w:rsidR="00294ABB" w:rsidRDefault="00294ABB">
      <w:pPr>
        <w:rPr>
          <w:sz w:val="22"/>
          <w:szCs w:val="22"/>
        </w:rPr>
      </w:pPr>
    </w:p>
    <w:p w14:paraId="00000003" w14:textId="77777777" w:rsidR="00294ABB" w:rsidRDefault="00420BFB">
      <w:pPr>
        <w:rPr>
          <w:color w:val="2E75B5"/>
          <w:sz w:val="22"/>
          <w:szCs w:val="22"/>
        </w:rPr>
      </w:pPr>
      <w:r>
        <w:br w:type="page"/>
      </w:r>
      <w:r>
        <w:rPr>
          <w:noProof/>
          <w:lang w:val="en-ZA"/>
        </w:rPr>
        <mc:AlternateContent>
          <mc:Choice Requires="wps">
            <w:drawing>
              <wp:anchor distT="45720" distB="45720" distL="114300" distR="114300" simplePos="0" relativeHeight="251656704" behindDoc="0" locked="0" layoutInCell="1" hidden="0" allowOverlap="1" wp14:anchorId="40985902" wp14:editId="0217A437">
                <wp:simplePos x="0" y="0"/>
                <wp:positionH relativeFrom="column">
                  <wp:posOffset>342900</wp:posOffset>
                </wp:positionH>
                <wp:positionV relativeFrom="paragraph">
                  <wp:posOffset>4122420</wp:posOffset>
                </wp:positionV>
                <wp:extent cx="5026025" cy="1752600"/>
                <wp:effectExtent l="0" t="0" r="0" b="0"/>
                <wp:wrapSquare wrapText="bothSides" distT="45720" distB="45720" distL="114300" distR="114300"/>
                <wp:docPr id="28" name="Rectangle 28"/>
                <wp:cNvGraphicFramePr/>
                <a:graphic xmlns:a="http://schemas.openxmlformats.org/drawingml/2006/main">
                  <a:graphicData uri="http://schemas.microsoft.com/office/word/2010/wordprocessingShape">
                    <wps:wsp>
                      <wps:cNvSpPr/>
                      <wps:spPr>
                        <a:xfrm>
                          <a:off x="2837750" y="2908463"/>
                          <a:ext cx="5016500" cy="1743075"/>
                        </a:xfrm>
                        <a:prstGeom prst="rect">
                          <a:avLst/>
                        </a:prstGeom>
                        <a:noFill/>
                        <a:ln>
                          <a:noFill/>
                        </a:ln>
                      </wps:spPr>
                      <wps:txbx>
                        <w:txbxContent>
                          <w:p w14:paraId="5468F353" w14:textId="77777777" w:rsidR="001F4844" w:rsidRDefault="001F4844">
                            <w:pPr>
                              <w:jc w:val="center"/>
                              <w:textDirection w:val="btLr"/>
                            </w:pPr>
                            <w:r>
                              <w:rPr>
                                <w:b/>
                                <w:color w:val="FFFFFF"/>
                                <w:sz w:val="36"/>
                              </w:rPr>
                              <w:t xml:space="preserve">South Africa’s cultural goods trade with a focus on the US-Mexico-Canada (USMCA) bloc and SADC in comparative perspective and the impact of the COVID-19 pandemic   </w:t>
                            </w:r>
                          </w:p>
                          <w:p w14:paraId="594B8F31" w14:textId="77777777" w:rsidR="001F4844" w:rsidRDefault="001F4844">
                            <w:pPr>
                              <w:jc w:val="center"/>
                              <w:textDirection w:val="btLr"/>
                            </w:pPr>
                            <w:r>
                              <w:rPr>
                                <w:color w:val="FFFFFF"/>
                                <w:sz w:val="36"/>
                              </w:rPr>
                              <w:t>2022</w:t>
                            </w:r>
                          </w:p>
                          <w:p w14:paraId="42C1350D" w14:textId="77777777" w:rsidR="001F4844" w:rsidRDefault="001F4844">
                            <w:pPr>
                              <w:textDirection w:val="btLr"/>
                            </w:pPr>
                          </w:p>
                          <w:p w14:paraId="091CFCEE" w14:textId="77777777" w:rsidR="001F4844" w:rsidRDefault="001F4844">
                            <w:pPr>
                              <w:textDirection w:val="btLr"/>
                            </w:pPr>
                            <w:r>
                              <w:rPr>
                                <w:color w:val="FFFFFF"/>
                                <w:sz w:val="56"/>
                              </w:rPr>
                              <w:tab/>
                            </w:r>
                            <w:r>
                              <w:rPr>
                                <w:color w:val="FFFFFF"/>
                                <w:sz w:val="56"/>
                              </w:rPr>
                              <w:tab/>
                            </w:r>
                          </w:p>
                          <w:p w14:paraId="381FFBB2" w14:textId="77777777" w:rsidR="001F4844" w:rsidRDefault="001F4844">
                            <w:pPr>
                              <w:textDirection w:val="btLr"/>
                            </w:pPr>
                          </w:p>
                        </w:txbxContent>
                      </wps:txbx>
                      <wps:bodyPr spcFirstLastPara="1" wrap="square" lIns="91425" tIns="45700" rIns="91425" bIns="45700" anchor="t" anchorCtr="0">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0985902" id="Rectangle 28" o:spid="_x0000_s1026" style="position:absolute;left:0;text-align:left;margin-left:27pt;margin-top:324.6pt;width:395.75pt;height:138pt;z-index:25165670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" filled="f" stroked="f">
                <v:textbox inset="2.53958mm,1.2694mm,2.53958mm,1.2694mm">
                  <w:txbxContent>
                    <w:p w14:paraId="5468F353" w14:textId="77777777" w:rsidR="001F4844" w:rsidRDefault="001F4844">
                      <w:pPr>
                        <w:jc w:val="center"/>
                        <w:textDirection w:val="btLr"/>
                      </w:pPr>
                      <w:r>
                        <w:rPr>
                          <w:b/>
                          <w:color w:val="FFFFFF"/>
                          <w:sz w:val="36"/>
                        </w:rPr>
                        <w:t xml:space="preserve">South Africa’s cultural goods trade with a focus on the US-Mexico-Canada (USMCA) bloc and SADC in comparative perspective and the impact of the COVID-19 pandemic   </w:t>
                      </w:r>
                    </w:p>
                    <w:p w14:paraId="594B8F31" w14:textId="77777777" w:rsidR="001F4844" w:rsidRDefault="001F4844">
                      <w:pPr>
                        <w:jc w:val="center"/>
                        <w:textDirection w:val="btLr"/>
                      </w:pPr>
                      <w:r>
                        <w:rPr>
                          <w:color w:val="FFFFFF"/>
                          <w:sz w:val="36"/>
                        </w:rPr>
                        <w:t>2022</w:t>
                      </w:r>
                    </w:p>
                    <w:p w14:paraId="42C1350D" w14:textId="77777777" w:rsidR="001F4844" w:rsidRDefault="001F4844">
                      <w:pPr>
                        <w:textDirection w:val="btLr"/>
                      </w:pPr>
                    </w:p>
                    <w:p w14:paraId="091CFCEE" w14:textId="77777777" w:rsidR="001F4844" w:rsidRDefault="001F4844">
                      <w:pPr>
                        <w:textDirection w:val="btLr"/>
                      </w:pPr>
                      <w:r>
                        <w:rPr>
                          <w:color w:val="FFFFFF"/>
                          <w:sz w:val="56"/>
                        </w:rPr>
                        <w:tab/>
                      </w:r>
                      <w:r>
                        <w:rPr>
                          <w:color w:val="FFFFFF"/>
                          <w:sz w:val="56"/>
                        </w:rPr>
                        <w:tab/>
                      </w:r>
                    </w:p>
                    <w:p w14:paraId="381FFBB2" w14:textId="77777777" w:rsidR="001F4844" w:rsidRDefault="001F4844">
                      <w:pPr>
                        <w:textDirection w:val="btLr"/>
                      </w:pPr>
                    </w:p>
                  </w:txbxContent>
                </v:textbox>
                <w10:wrap type="square"/>
              </v:rect>
            </w:pict>
          </mc:Fallback>
        </mc:AlternateContent>
      </w:r>
      <w:r>
        <w:rPr>
          <w:noProof/>
          <w:lang w:val="en-ZA"/>
        </w:rPr>
        <mc:AlternateContent>
          <mc:Choice Requires="wps">
            <w:drawing>
              <wp:anchor distT="0" distB="0" distL="114300" distR="114300" simplePos="0" relativeHeight="251657728" behindDoc="0" locked="0" layoutInCell="1" hidden="0" allowOverlap="1" wp14:anchorId="79874ADD" wp14:editId="60037FE9">
                <wp:simplePos x="0" y="0"/>
                <wp:positionH relativeFrom="column">
                  <wp:posOffset>508000</wp:posOffset>
                </wp:positionH>
                <wp:positionV relativeFrom="paragraph">
                  <wp:posOffset>3632200</wp:posOffset>
                </wp:positionV>
                <wp:extent cx="4711700" cy="1736725"/>
                <wp:effectExtent l="0" t="0" r="0" b="0"/>
                <wp:wrapNone/>
                <wp:docPr id="27" name="Rectangle 27"/>
                <wp:cNvGraphicFramePr/>
                <a:graphic xmlns:a="http://schemas.openxmlformats.org/drawingml/2006/main">
                  <a:graphicData uri="http://schemas.microsoft.com/office/word/2010/wordprocessingShape">
                    <wps:wsp>
                      <wps:cNvSpPr/>
                      <wps:spPr>
                        <a:xfrm>
                          <a:off x="2994913" y="2916400"/>
                          <a:ext cx="4702175" cy="1727200"/>
                        </a:xfrm>
                        <a:prstGeom prst="rect">
                          <a:avLst/>
                        </a:prstGeom>
                        <a:solidFill>
                          <a:schemeClr val="lt1"/>
                        </a:solidFill>
                        <a:ln w="9525" cap="flat" cmpd="sng">
                          <a:solidFill>
                            <a:srgbClr val="000000"/>
                          </a:solidFill>
                          <a:prstDash val="solid"/>
                          <a:round/>
                          <a:headEnd type="none" w="sm" len="sm"/>
                          <a:tailEnd type="none" w="sm" len="sm"/>
                        </a:ln>
                      </wps:spPr>
                      <wps:txbx>
                        <w:txbxContent>
                          <w:p w14:paraId="7C068D57" w14:textId="7B92B2B2" w:rsidR="001F4844" w:rsidRDefault="001F4844">
                            <w:pPr>
                              <w:jc w:val="center"/>
                              <w:textDirection w:val="btLr"/>
                            </w:pPr>
                            <w:r>
                              <w:rPr>
                                <w:b/>
                                <w:color w:val="000000"/>
                                <w:sz w:val="36"/>
                              </w:rPr>
                              <w:t>South Africa’s cultural goods trade with a focus on the US-Mexico-Canada (USMCA) bloc and SADC in comparative perspective and the impact of the COVID-19 pandemic</w:t>
                            </w:r>
                          </w:p>
                          <w:p w14:paraId="22693E17" w14:textId="77777777" w:rsidR="001F4844" w:rsidRDefault="001F4844">
                            <w:pPr>
                              <w:jc w:val="center"/>
                              <w:textDirection w:val="btLr"/>
                            </w:pPr>
                            <w:r>
                              <w:rPr>
                                <w:color w:val="000000"/>
                                <w:sz w:val="36"/>
                              </w:rPr>
                              <w:t>2022</w:t>
                            </w:r>
                          </w:p>
                          <w:p w14:paraId="3A7FB905" w14:textId="77777777" w:rsidR="001F4844" w:rsidRDefault="001F4844">
                            <w:pPr>
                              <w:textDirection w:val="btLr"/>
                            </w:pPr>
                          </w:p>
                        </w:txbxContent>
                      </wps:txbx>
                      <wps:bodyPr spcFirstLastPara="1" wrap="square" lIns="91425" tIns="45700" rIns="91425" bIns="45700" anchor="t" anchorCtr="0">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9874ADD" id="Rectangle 27" o:spid="_x0000_s1027" style="position:absolute;left:0;text-align:left;margin-left:40pt;margin-top:286pt;width:371pt;height:136.75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" fillcolor="white [3201]">
                <v:stroke startarrowwidth="narrow" startarrowlength="short" endarrowwidth="narrow" endarrowlength="short" joinstyle="round"/>
                <v:textbox inset="2.53958mm,1.2694mm,2.53958mm,1.2694mm">
                  <w:txbxContent>
                    <w:p w14:paraId="7C068D57" w14:textId="7B92B2B2" w:rsidR="001F4844" w:rsidRDefault="001F4844">
                      <w:pPr>
                        <w:jc w:val="center"/>
                        <w:textDirection w:val="btLr"/>
                      </w:pPr>
                      <w:r>
                        <w:rPr>
                          <w:b/>
                          <w:color w:val="000000"/>
                          <w:sz w:val="36"/>
                        </w:rPr>
                        <w:t>South Africa’s cultural goods trade with a focus on the US-Mexico-Canada (USMCA) bloc and SADC in comparative perspective and the impact of the COVID-19 pandemic</w:t>
                      </w:r>
                    </w:p>
                    <w:p w14:paraId="22693E17" w14:textId="77777777" w:rsidR="001F4844" w:rsidRDefault="001F4844">
                      <w:pPr>
                        <w:jc w:val="center"/>
                        <w:textDirection w:val="btLr"/>
                      </w:pPr>
                      <w:r>
                        <w:rPr>
                          <w:color w:val="000000"/>
                          <w:sz w:val="36"/>
                        </w:rPr>
                        <w:t>2022</w:t>
                      </w:r>
                    </w:p>
                    <w:p w14:paraId="3A7FB905" w14:textId="77777777" w:rsidR="001F4844" w:rsidRDefault="001F4844">
                      <w:pPr>
                        <w:textDirection w:val="btLr"/>
                      </w:pPr>
                    </w:p>
                  </w:txbxContent>
                </v:textbox>
              </v:rect>
            </w:pict>
          </mc:Fallback>
        </mc:AlternateContent>
      </w:r>
    </w:p>
    <w:bookmarkStart w:id="2" w:name="_heading=h.30j0zll" w:colFirst="0" w:colLast="0"/>
    <w:bookmarkEnd w:id="2"/>
    <w:p w14:paraId="00000004" w14:textId="77777777" w:rsidR="00294ABB" w:rsidRDefault="00420BFB">
      <w:pPr>
        <w:pStyle w:val="Subtitle"/>
        <w:jc w:val="left"/>
        <w:rPr>
          <w:color w:val="4472C4"/>
          <w:sz w:val="22"/>
          <w:szCs w:val="22"/>
        </w:rPr>
      </w:pPr>
      <w:r>
        <w:rPr>
          <w:noProof/>
          <w:color w:val="4472C4"/>
          <w:sz w:val="22"/>
          <w:szCs w:val="22"/>
          <w:lang w:val="en-ZA"/>
        </w:rPr>
        <w:lastRenderedPageBreak/>
        <mc:AlternateContent>
          <mc:Choice Requires="wps">
            <w:drawing>
              <wp:anchor distT="0" distB="0" distL="274320" distR="114300" simplePos="0" relativeHeight="251658752" behindDoc="0" locked="0" layoutInCell="1" hidden="0" allowOverlap="1" wp14:anchorId="557D552D" wp14:editId="014EF4C1">
                <wp:simplePos x="0" y="0"/>
                <wp:positionH relativeFrom="margin">
                  <wp:posOffset>4461510</wp:posOffset>
                </wp:positionH>
                <wp:positionV relativeFrom="margin">
                  <wp:posOffset>-234315</wp:posOffset>
                </wp:positionV>
                <wp:extent cx="1912620" cy="8717280"/>
                <wp:effectExtent l="0" t="0" r="0" b="7620"/>
                <wp:wrapSquare wrapText="bothSides" distT="0" distB="0" distL="274320" distR="114300"/>
                <wp:docPr id="29" name="Rectangle 29"/>
                <wp:cNvGraphicFramePr/>
                <a:graphic xmlns:a="http://schemas.openxmlformats.org/drawingml/2006/main">
                  <a:graphicData uri="http://schemas.microsoft.com/office/word/2010/wordprocessingShape">
                    <wps:wsp>
                      <wps:cNvSpPr/>
                      <wps:spPr>
                        <a:xfrm>
                          <a:off x="0" y="0"/>
                          <a:ext cx="1912620" cy="8717280"/>
                        </a:xfrm>
                        <a:prstGeom prst="rect">
                          <a:avLst/>
                        </a:prstGeom>
                        <a:solidFill>
                          <a:srgbClr val="E4E9EF">
                            <a:alpha val="84705"/>
                          </a:srgbClr>
                        </a:solidFill>
                        <a:ln>
                          <a:noFill/>
                        </a:ln>
                      </wps:spPr>
                      <wps:txbx>
                        <w:txbxContent>
                          <w:p w14:paraId="19F02273" w14:textId="77777777" w:rsidR="001F4844" w:rsidRDefault="001F4844">
                            <w:pPr>
                              <w:spacing w:after="0"/>
                              <w:jc w:val="center"/>
                              <w:textDirection w:val="btLr"/>
                            </w:pPr>
                            <w:r>
                              <w:rPr>
                                <w:b/>
                                <w:color w:val="4472C4"/>
                                <w:sz w:val="36"/>
                              </w:rPr>
                              <w:t>Key Findings</w:t>
                            </w:r>
                          </w:p>
                          <w:p w14:paraId="2C665B89" w14:textId="45DE452F" w:rsidR="001F4844" w:rsidRDefault="001F4844">
                            <w:pPr>
                              <w:spacing w:after="100"/>
                              <w:jc w:val="center"/>
                              <w:textDirection w:val="btLr"/>
                            </w:pPr>
                            <w:r>
                              <w:rPr>
                                <w:color w:val="6076B4"/>
                              </w:rPr>
                              <w:t xml:space="preserve"> </w:t>
                            </w:r>
                          </w:p>
                          <w:p w14:paraId="6DD274BA" w14:textId="7B10F2EA" w:rsidR="001F4844" w:rsidRDefault="001F4844" w:rsidP="006D2D7B">
                            <w:pPr>
                              <w:pStyle w:val="ListParagraph"/>
                              <w:numPr>
                                <w:ilvl w:val="0"/>
                                <w:numId w:val="6"/>
                              </w:numPr>
                              <w:spacing w:after="0"/>
                              <w:jc w:val="left"/>
                              <w:textDirection w:val="btLr"/>
                            </w:pPr>
                            <w:r w:rsidRPr="006D2D7B">
                              <w:rPr>
                                <w:color w:val="2F5897"/>
                              </w:rPr>
                              <w:t xml:space="preserve">In 2019, South Africa’s cultural goods exports were worth </w:t>
                            </w:r>
                            <w:r>
                              <w:rPr>
                                <w:color w:val="2F5897"/>
                              </w:rPr>
                              <w:t>US$</w:t>
                            </w:r>
                            <w:r w:rsidRPr="006D2D7B">
                              <w:rPr>
                                <w:color w:val="2F5897"/>
                              </w:rPr>
                              <w:t>316.46 million.</w:t>
                            </w:r>
                          </w:p>
                          <w:p w14:paraId="3DD4FB3B" w14:textId="5443E8DA" w:rsidR="001F4844" w:rsidRDefault="001F4844" w:rsidP="006D2D7B">
                            <w:pPr>
                              <w:pStyle w:val="ListParagraph"/>
                              <w:numPr>
                                <w:ilvl w:val="0"/>
                                <w:numId w:val="6"/>
                              </w:numPr>
                              <w:spacing w:after="0"/>
                              <w:jc w:val="left"/>
                              <w:textDirection w:val="btLr"/>
                            </w:pPr>
                            <w:r w:rsidRPr="006D2D7B">
                              <w:rPr>
                                <w:color w:val="2F5897"/>
                              </w:rPr>
                              <w:t>USMCA (and primarily the US) received 39.1% (US$149.44 million) of South Africa’s cultural goods exports in 2019, up from 33.2% in 2018.</w:t>
                            </w:r>
                          </w:p>
                          <w:p w14:paraId="2EB6E36C" w14:textId="4C48D820" w:rsidR="001F4844" w:rsidRDefault="001F4844" w:rsidP="006D2D7B">
                            <w:pPr>
                              <w:pStyle w:val="ListParagraph"/>
                              <w:numPr>
                                <w:ilvl w:val="0"/>
                                <w:numId w:val="6"/>
                              </w:numPr>
                              <w:spacing w:after="0"/>
                              <w:jc w:val="left"/>
                              <w:textDirection w:val="btLr"/>
                            </w:pPr>
                            <w:r w:rsidRPr="006D2D7B">
                              <w:rPr>
                                <w:color w:val="2F5897"/>
                              </w:rPr>
                              <w:t>The EU28 was the destination for 22.5% (US$86.12 million) of the country’s cultural goods exports, up from 15% in 2018.</w:t>
                            </w:r>
                          </w:p>
                          <w:p w14:paraId="393F69AC" w14:textId="77777777" w:rsidR="001F4844" w:rsidRDefault="001F4844" w:rsidP="006D2D7B">
                            <w:pPr>
                              <w:pStyle w:val="ListParagraph"/>
                              <w:numPr>
                                <w:ilvl w:val="0"/>
                                <w:numId w:val="6"/>
                              </w:numPr>
                              <w:spacing w:after="0"/>
                              <w:jc w:val="left"/>
                              <w:textDirection w:val="btLr"/>
                            </w:pPr>
                            <w:r w:rsidRPr="006D2D7B">
                              <w:rPr>
                                <w:color w:val="2F5897"/>
                              </w:rPr>
                              <w:t xml:space="preserve">The SADC region accounted for 19.9% and the rest of Africa 3.46% in 2019, yielding a cultural goods export share of 23.36% for the African continent. </w:t>
                            </w:r>
                          </w:p>
                          <w:p w14:paraId="50C5B13E" w14:textId="77777777" w:rsidR="001F4844" w:rsidRDefault="001F4844" w:rsidP="006D2D7B">
                            <w:pPr>
                              <w:pStyle w:val="ListParagraph"/>
                              <w:numPr>
                                <w:ilvl w:val="0"/>
                                <w:numId w:val="6"/>
                              </w:numPr>
                              <w:spacing w:after="0"/>
                              <w:jc w:val="left"/>
                              <w:textDirection w:val="btLr"/>
                            </w:pPr>
                            <w:r w:rsidRPr="006D2D7B">
                              <w:rPr>
                                <w:color w:val="2F5897"/>
                              </w:rPr>
                              <w:t>In 2019, South Africa had a cultural goods trade surplus with USMCA of US$111.64 million.</w:t>
                            </w:r>
                          </w:p>
                          <w:p w14:paraId="4B2D757C" w14:textId="77777777" w:rsidR="001F4844" w:rsidRDefault="001F4844" w:rsidP="006D2D7B">
                            <w:pPr>
                              <w:pStyle w:val="ListParagraph"/>
                              <w:numPr>
                                <w:ilvl w:val="0"/>
                                <w:numId w:val="6"/>
                              </w:numPr>
                              <w:spacing w:after="0"/>
                              <w:jc w:val="left"/>
                              <w:textDirection w:val="btLr"/>
                            </w:pPr>
                            <w:r w:rsidRPr="006D2D7B">
                              <w:rPr>
                                <w:color w:val="2F5897"/>
                              </w:rPr>
                              <w:t>It is important to add a regional dimension to South Africa’s CCI focus at the domestic level to harness the potential of the creative economy in other SADC countries and address regional imbalances.</w:t>
                            </w:r>
                          </w:p>
                          <w:p w14:paraId="2A00E759" w14:textId="77777777" w:rsidR="001F4844" w:rsidRDefault="001F4844" w:rsidP="006D2D7B">
                            <w:pPr>
                              <w:pStyle w:val="ListParagraph"/>
                              <w:numPr>
                                <w:ilvl w:val="0"/>
                                <w:numId w:val="6"/>
                              </w:numPr>
                              <w:spacing w:after="0"/>
                              <w:jc w:val="left"/>
                              <w:textDirection w:val="btLr"/>
                            </w:pPr>
                            <w:r w:rsidRPr="006D2D7B">
                              <w:rPr>
                                <w:color w:val="2F5897"/>
                              </w:rPr>
                              <w:t>The impact of the pandemic on Personal travel services was largely responsible for turning South Africa’s small overall services trade surplus in 2018 into a significant deficit in 2020.</w:t>
                            </w:r>
                          </w:p>
                        </w:txbxContent>
                      </wps:txbx>
                      <wps:bodyPr spcFirstLastPara="1" wrap="square" lIns="182875" tIns="457200" rIns="182875" bIns="13715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57D552D" id="Rectangle 29" o:spid="_x0000_s1028" style="position:absolute;margin-left:351.3pt;margin-top:-18.45pt;width:150.6pt;height:686.4pt;z-index:251658752;visibility:visible;mso-wrap-style:square;mso-width-percent:0;mso-height-percent:0;mso-wrap-distance-left:21.6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" fillcolor="#e4e9ef" stroked="f">
                <v:fill opacity="55512f"/>
                <v:textbox inset="5.07986mm,36pt,5.07986mm,3.80972mm">
                  <w:txbxContent>
                    <w:p w14:paraId="19F02273" w14:textId="77777777" w:rsidR="001F4844" w:rsidRDefault="001F4844">
                      <w:pPr>
                        <w:spacing w:after="0"/>
                        <w:jc w:val="center"/>
                        <w:textDirection w:val="btLr"/>
                      </w:pPr>
                      <w:r>
                        <w:rPr>
                          <w:b/>
                          <w:color w:val="4472C4"/>
                          <w:sz w:val="36"/>
                        </w:rPr>
                        <w:t>Key Findings</w:t>
                      </w:r>
                    </w:p>
                    <w:p w14:paraId="2C665B89" w14:textId="45DE452F" w:rsidR="001F4844" w:rsidRDefault="001F4844">
                      <w:pPr>
                        <w:spacing w:after="100"/>
                        <w:jc w:val="center"/>
                        <w:textDirection w:val="btLr"/>
                      </w:pPr>
                      <w:r>
                        <w:rPr>
                          <w:color w:val="6076B4"/>
                        </w:rPr>
                        <w:t xml:space="preserve"> </w:t>
                      </w:r>
                    </w:p>
                    <w:p w14:paraId="6DD274BA" w14:textId="7B10F2EA" w:rsidR="001F4844" w:rsidRDefault="001F4844" w:rsidP="006D2D7B">
                      <w:pPr>
                        <w:pStyle w:val="ListParagraph"/>
                        <w:numPr>
                          <w:ilvl w:val="0"/>
                          <w:numId w:val="6"/>
                        </w:numPr>
                        <w:spacing w:after="0"/>
                        <w:jc w:val="left"/>
                        <w:textDirection w:val="btLr"/>
                      </w:pPr>
                      <w:r w:rsidRPr="006D2D7B">
                        <w:rPr>
                          <w:color w:val="2F5897"/>
                        </w:rPr>
                        <w:t xml:space="preserve">In 2019, South Africa’s cultural goods exports were worth </w:t>
                      </w:r>
                      <w:r>
                        <w:rPr>
                          <w:color w:val="2F5897"/>
                        </w:rPr>
                        <w:t>US$</w:t>
                      </w:r>
                      <w:r w:rsidRPr="006D2D7B">
                        <w:rPr>
                          <w:color w:val="2F5897"/>
                        </w:rPr>
                        <w:t>316.46 million.</w:t>
                      </w:r>
                    </w:p>
                    <w:p w14:paraId="3DD4FB3B" w14:textId="5443E8DA" w:rsidR="001F4844" w:rsidRDefault="001F4844" w:rsidP="006D2D7B">
                      <w:pPr>
                        <w:pStyle w:val="ListParagraph"/>
                        <w:numPr>
                          <w:ilvl w:val="0"/>
                          <w:numId w:val="6"/>
                        </w:numPr>
                        <w:spacing w:after="0"/>
                        <w:jc w:val="left"/>
                        <w:textDirection w:val="btLr"/>
                      </w:pPr>
                      <w:r w:rsidRPr="006D2D7B">
                        <w:rPr>
                          <w:color w:val="2F5897"/>
                        </w:rPr>
                        <w:t>USMCA (and primarily the US) received 39.1% (US$149.44 million) of South Africa’s cultural goods exports in 2019, up from 33.2% in 2018.</w:t>
                      </w:r>
                    </w:p>
                    <w:p w14:paraId="2EB6E36C" w14:textId="4C48D820" w:rsidR="001F4844" w:rsidRDefault="001F4844" w:rsidP="006D2D7B">
                      <w:pPr>
                        <w:pStyle w:val="ListParagraph"/>
                        <w:numPr>
                          <w:ilvl w:val="0"/>
                          <w:numId w:val="6"/>
                        </w:numPr>
                        <w:spacing w:after="0"/>
                        <w:jc w:val="left"/>
                        <w:textDirection w:val="btLr"/>
                      </w:pPr>
                      <w:r w:rsidRPr="006D2D7B">
                        <w:rPr>
                          <w:color w:val="2F5897"/>
                        </w:rPr>
                        <w:t>The EU28 was the destination for 22.5% (US$86.12 million) of the country’s cultural goods exports, up from 15% in 2018.</w:t>
                      </w:r>
                    </w:p>
                    <w:p w14:paraId="393F69AC" w14:textId="77777777" w:rsidR="001F4844" w:rsidRDefault="001F4844" w:rsidP="006D2D7B">
                      <w:pPr>
                        <w:pStyle w:val="ListParagraph"/>
                        <w:numPr>
                          <w:ilvl w:val="0"/>
                          <w:numId w:val="6"/>
                        </w:numPr>
                        <w:spacing w:after="0"/>
                        <w:jc w:val="left"/>
                        <w:textDirection w:val="btLr"/>
                      </w:pPr>
                      <w:r w:rsidRPr="006D2D7B">
                        <w:rPr>
                          <w:color w:val="2F5897"/>
                        </w:rPr>
                        <w:t xml:space="preserve">The SADC region accounted for 19.9% and the rest of Africa 3.46% in 2019, yielding a cultural goods export share of 23.36% for the African continent. </w:t>
                      </w:r>
                    </w:p>
                    <w:p w14:paraId="50C5B13E" w14:textId="77777777" w:rsidR="001F4844" w:rsidRDefault="001F4844" w:rsidP="006D2D7B">
                      <w:pPr>
                        <w:pStyle w:val="ListParagraph"/>
                        <w:numPr>
                          <w:ilvl w:val="0"/>
                          <w:numId w:val="6"/>
                        </w:numPr>
                        <w:spacing w:after="0"/>
                        <w:jc w:val="left"/>
                        <w:textDirection w:val="btLr"/>
                      </w:pPr>
                      <w:r w:rsidRPr="006D2D7B">
                        <w:rPr>
                          <w:color w:val="2F5897"/>
                        </w:rPr>
                        <w:t>In 2019, South Africa had a cultural goods trade surplus with USMCA of US$111.64 million.</w:t>
                      </w:r>
                    </w:p>
                    <w:p w14:paraId="4B2D757C" w14:textId="77777777" w:rsidR="001F4844" w:rsidRDefault="001F4844" w:rsidP="006D2D7B">
                      <w:pPr>
                        <w:pStyle w:val="ListParagraph"/>
                        <w:numPr>
                          <w:ilvl w:val="0"/>
                          <w:numId w:val="6"/>
                        </w:numPr>
                        <w:spacing w:after="0"/>
                        <w:jc w:val="left"/>
                        <w:textDirection w:val="btLr"/>
                      </w:pPr>
                      <w:r w:rsidRPr="006D2D7B">
                        <w:rPr>
                          <w:color w:val="2F5897"/>
                        </w:rPr>
                        <w:t>It is important to add a regional dimension to South Africa’s CCI focus at the domestic level to harness the potential of the creative economy in other SADC countries and address regional imbalances.</w:t>
                      </w:r>
                    </w:p>
                    <w:p w14:paraId="2A00E759" w14:textId="77777777" w:rsidR="001F4844" w:rsidRDefault="001F4844" w:rsidP="006D2D7B">
                      <w:pPr>
                        <w:pStyle w:val="ListParagraph"/>
                        <w:numPr>
                          <w:ilvl w:val="0"/>
                          <w:numId w:val="6"/>
                        </w:numPr>
                        <w:spacing w:after="0"/>
                        <w:jc w:val="left"/>
                        <w:textDirection w:val="btLr"/>
                      </w:pPr>
                      <w:r w:rsidRPr="006D2D7B">
                        <w:rPr>
                          <w:color w:val="2F5897"/>
                        </w:rPr>
                        <w:t>The impact of the pandemic on Personal travel services was largely responsible for turning South Africa’s small overall services trade surplus in 2018 into a significant deficit in 2020.</w:t>
                      </w:r>
                    </w:p>
                  </w:txbxContent>
                </v:textbox>
                <w10:wrap type="square" anchorx="margin" anchory="margin"/>
              </v:rect>
            </w:pict>
          </mc:Fallback>
        </mc:AlternateContent>
      </w:r>
      <w:r>
        <w:rPr>
          <w:color w:val="4472C4"/>
          <w:sz w:val="22"/>
          <w:szCs w:val="22"/>
        </w:rPr>
        <w:t>Summary</w:t>
      </w:r>
    </w:p>
    <w:p w14:paraId="00000005" w14:textId="77777777" w:rsidR="00294ABB" w:rsidRDefault="00420BFB" w:rsidP="00835B56">
      <w:pPr>
        <w:spacing w:line="259" w:lineRule="auto"/>
      </w:pPr>
      <w:r>
        <w:t>Chapter 3 examines South Africa’s international trade in cultural goods and services, using local and international data sources. The focus is on the US-Mexico-Canada (USMCA) bloc and SADC in comparative perspective, and the impact of the COVID-19 pandemic.</w:t>
      </w:r>
    </w:p>
    <w:p w14:paraId="00000006" w14:textId="40A3F017" w:rsidR="00294ABB" w:rsidRDefault="00420BFB" w:rsidP="00835B56">
      <w:pPr>
        <w:spacing w:line="259" w:lineRule="auto"/>
      </w:pPr>
      <w:r>
        <w:t xml:space="preserve">In 2020, South Africa’s cultural goods exports were worth </w:t>
      </w:r>
      <w:r w:rsidR="00AC7438">
        <w:t>US$</w:t>
      </w:r>
      <w:r>
        <w:t>316.46 million, and made up 0.37% of the value of all South Africa’s commodity exports. Until 2018, cultural goods exports had been growing strongly, making up 0.47% of South Africa’s total commodity exports (</w:t>
      </w:r>
      <w:r w:rsidR="00AC7438">
        <w:t>US$</w:t>
      </w:r>
      <w:r>
        <w:t>448.86 million) in that year. As with GDP growth (Chapter 1) and employment (Chapter 2), the economic slow-down and the impact of COVID-19 have had a negative impact on cultural goods exports. Cultural goods trade contracted more sharply than total commodity trade on both the export and import side for 2018</w:t>
      </w:r>
      <w:r w:rsidR="007165FB">
        <w:t>–20</w:t>
      </w:r>
      <w:r>
        <w:t>20.</w:t>
      </w:r>
    </w:p>
    <w:p w14:paraId="00000007" w14:textId="77777777" w:rsidR="00294ABB" w:rsidRDefault="00420BFB" w:rsidP="00835B56">
      <w:pPr>
        <w:spacing w:line="259" w:lineRule="auto"/>
      </w:pPr>
      <w:r>
        <w:t>Like many small, open economies, South Africa had a cultural goods trade imbalance, with the value of cultural goods imports being more than the value of exports. However, cultural goods imports have been declining recently, and for the first time in 20 years, South Africa had a positive cultural goods trade balance for some quarters in 2020 and 2021. While cultural goods exports initially appeared to recover more quickly after the hard lockdown, they have not yet reached pre-pandemic levels.</w:t>
      </w:r>
    </w:p>
    <w:p w14:paraId="00000008" w14:textId="77777777" w:rsidR="00294ABB" w:rsidRDefault="00420BFB" w:rsidP="00835B56">
      <w:pPr>
        <w:spacing w:line="259" w:lineRule="auto"/>
      </w:pPr>
      <w:r>
        <w:t>Visual Arts and Crafts, Books and Press, and Performance and Celebration are the most significant domains for South Africa’s cultural goods trade. South Africa has a trade surplus in Cultural and Natural Heritage trade, and in Visual Arts and Crafts. The largest cultural trade deficits by domain in both periods were in Performance and Celebration and Books and Press.</w:t>
      </w:r>
    </w:p>
    <w:p w14:paraId="00000009" w14:textId="42696562" w:rsidR="00294ABB" w:rsidRDefault="00420BFB" w:rsidP="00835B56">
      <w:pPr>
        <w:spacing w:line="259" w:lineRule="auto"/>
      </w:pPr>
      <w:r>
        <w:t>In 2019, South Africa had a significant cultural goods trade surplus with USMCA (of US$111.64 million) and with SADC and the rest of Africa (US$62.35 million and US$12.6 million respectively). The USMCA bloc has become an increasingly important destination for South Africa’s cultural goods exports in Visual Arts and Crafts, Cultural and Natural Heritage, and Performance and Celebration domains. Visual Arts and Crafts exports to USMCA actually increased in 2020, as did Books and Press. South Africa’s cultural goods exports to SADC also increased in 2020, during the COVID-19 pandemic.</w:t>
      </w:r>
      <w:r w:rsidR="001B10E6">
        <w:t xml:space="preserve"> </w:t>
      </w:r>
      <w:r>
        <w:t>Exports to SADC grew in the Performance and Celebration domain and in Books and Press.</w:t>
      </w:r>
      <w:r w:rsidR="001B10E6">
        <w:t xml:space="preserve"> </w:t>
      </w:r>
    </w:p>
    <w:p w14:paraId="0000000A" w14:textId="74D30B79" w:rsidR="00294ABB" w:rsidRDefault="00420BFB" w:rsidP="00835B56">
      <w:pPr>
        <w:spacing w:line="259" w:lineRule="auto"/>
      </w:pPr>
      <w:r>
        <w:t>Trade complementarity indices (TCIs) are used to assess the potential for trade expansion between trading partners. South Africa’s Export TCI with the USMCA (47.20%) exceeds that with SADC (35.79%) by nearly 12 percentage points.</w:t>
      </w:r>
      <w:r w:rsidR="001B10E6">
        <w:t xml:space="preserve"> </w:t>
      </w:r>
      <w:r>
        <w:t>However, the country’s export TCI with the EU is even greater at 65.07%.</w:t>
      </w:r>
      <w:r w:rsidR="001B10E6">
        <w:t xml:space="preserve"> </w:t>
      </w:r>
    </w:p>
    <w:p w14:paraId="0000000B" w14:textId="0BF830AD" w:rsidR="00294ABB" w:rsidRDefault="00420BFB" w:rsidP="00835B56">
      <w:pPr>
        <w:spacing w:line="259" w:lineRule="auto"/>
      </w:pPr>
      <w:r>
        <w:t xml:space="preserve">South Africa has a low Import TCI with SADC, which suggests that the region does not produce enough of the range of cultural products that South Africa imports. There is a need to build productive capacity in the CCIs in the SADC region, </w:t>
      </w:r>
      <w:r w:rsidR="00AC7438">
        <w:t xml:space="preserve">and to </w:t>
      </w:r>
      <w:r>
        <w:t>address non-tariff barriers, infrastructure constraints, transport costs, financing and information flows.</w:t>
      </w:r>
    </w:p>
    <w:p w14:paraId="0000000C" w14:textId="77777777" w:rsidR="00294ABB" w:rsidRDefault="00420BFB" w:rsidP="00835B56">
      <w:pPr>
        <w:spacing w:line="259" w:lineRule="auto"/>
        <w:rPr>
          <w:sz w:val="18"/>
          <w:szCs w:val="18"/>
        </w:rPr>
      </w:pPr>
      <w:r>
        <w:t xml:space="preserve">Growing digitisation has increased the importance of services trade in the CCIs. CCI services exports grew strongly in several domains, including Audio-visual and related services until 2019. </w:t>
      </w:r>
    </w:p>
    <w:p w14:paraId="00000010" w14:textId="1A273598" w:rsidR="00294ABB" w:rsidRDefault="00420BFB" w:rsidP="006D2D7B">
      <w:pPr>
        <w:pStyle w:val="Heading1"/>
        <w:numPr>
          <w:ilvl w:val="0"/>
          <w:numId w:val="0"/>
        </w:numPr>
        <w:ind w:left="432" w:hanging="432"/>
      </w:pPr>
      <w:r>
        <w:lastRenderedPageBreak/>
        <w:t xml:space="preserve"> </w:t>
      </w:r>
      <w:bookmarkStart w:id="3" w:name="_Toc90189371"/>
      <w:bookmarkStart w:id="4" w:name="_Toc92623027"/>
      <w:r>
        <w:t>Table of Contents</w:t>
      </w:r>
      <w:bookmarkEnd w:id="3"/>
      <w:bookmarkEnd w:id="4"/>
    </w:p>
    <w:sdt>
      <w:sdtPr>
        <w:id w:val="-9527462"/>
        <w:docPartObj>
          <w:docPartGallery w:val="Table of Contents"/>
          <w:docPartUnique/>
        </w:docPartObj>
      </w:sdtPr>
      <w:sdtEndPr>
        <w:rPr>
          <w:sz w:val="22"/>
          <w:szCs w:val="22"/>
        </w:rPr>
      </w:sdtEndPr>
      <w:sdtContent>
        <w:p w14:paraId="00D10F27" w14:textId="70344AAE" w:rsidR="00C7002D" w:rsidRDefault="00420BFB">
          <w:pPr>
            <w:pStyle w:val="TOC1"/>
            <w:rPr>
              <w:rFonts w:asciiTheme="minorHAnsi" w:eastAsiaTheme="minorEastAsia" w:hAnsiTheme="minorHAnsi" w:cstheme="minorBidi"/>
              <w:noProof/>
              <w:sz w:val="22"/>
              <w:szCs w:val="22"/>
              <w:lang w:eastAsia="en-GB"/>
            </w:rPr>
          </w:pPr>
          <w:r w:rsidRPr="0075592F">
            <w:rPr>
              <w:sz w:val="22"/>
              <w:szCs w:val="22"/>
            </w:rPr>
            <w:fldChar w:fldCharType="begin"/>
          </w:r>
          <w:r w:rsidRPr="0075592F">
            <w:rPr>
              <w:sz w:val="22"/>
              <w:szCs w:val="22"/>
            </w:rPr>
            <w:instrText xml:space="preserve"> TOC \h \u \z </w:instrText>
          </w:r>
          <w:r w:rsidRPr="0075592F">
            <w:rPr>
              <w:sz w:val="22"/>
              <w:szCs w:val="22"/>
            </w:rPr>
            <w:fldChar w:fldCharType="separate"/>
          </w:r>
          <w:hyperlink w:anchor="_Toc92623027" w:history="1">
            <w:r w:rsidR="00C7002D" w:rsidRPr="00B302A4">
              <w:rPr>
                <w:rStyle w:val="Hyperlink"/>
                <w:noProof/>
              </w:rPr>
              <w:t>Table of Contents</w:t>
            </w:r>
            <w:r w:rsidR="00C7002D">
              <w:rPr>
                <w:noProof/>
                <w:webHidden/>
              </w:rPr>
              <w:tab/>
            </w:r>
            <w:r w:rsidR="00C7002D">
              <w:rPr>
                <w:noProof/>
                <w:webHidden/>
              </w:rPr>
              <w:fldChar w:fldCharType="begin"/>
            </w:r>
            <w:r w:rsidR="00C7002D">
              <w:rPr>
                <w:noProof/>
                <w:webHidden/>
              </w:rPr>
              <w:instrText xml:space="preserve"> PAGEREF _Toc92623027 \h </w:instrText>
            </w:r>
            <w:r w:rsidR="00C7002D">
              <w:rPr>
                <w:noProof/>
                <w:webHidden/>
              </w:rPr>
            </w:r>
            <w:r w:rsidR="00C7002D">
              <w:rPr>
                <w:noProof/>
                <w:webHidden/>
              </w:rPr>
              <w:fldChar w:fldCharType="separate"/>
            </w:r>
            <w:r w:rsidR="00682412">
              <w:rPr>
                <w:noProof/>
                <w:webHidden/>
              </w:rPr>
              <w:t>iii</w:t>
            </w:r>
            <w:r w:rsidR="00C7002D">
              <w:rPr>
                <w:noProof/>
                <w:webHidden/>
              </w:rPr>
              <w:fldChar w:fldCharType="end"/>
            </w:r>
          </w:hyperlink>
        </w:p>
        <w:p w14:paraId="6F3F02D6" w14:textId="66123113" w:rsidR="00C7002D" w:rsidRDefault="001D6EEC">
          <w:pPr>
            <w:pStyle w:val="TOC1"/>
            <w:rPr>
              <w:rFonts w:asciiTheme="minorHAnsi" w:eastAsiaTheme="minorEastAsia" w:hAnsiTheme="minorHAnsi" w:cstheme="minorBidi"/>
              <w:noProof/>
              <w:sz w:val="22"/>
              <w:szCs w:val="22"/>
              <w:lang w:eastAsia="en-GB"/>
            </w:rPr>
          </w:pPr>
          <w:hyperlink w:anchor="_Toc92623028" w:history="1">
            <w:r w:rsidR="00C7002D" w:rsidRPr="00B302A4">
              <w:rPr>
                <w:rStyle w:val="Hyperlink"/>
                <w:noProof/>
              </w:rPr>
              <w:t>List of Tables</w:t>
            </w:r>
            <w:r w:rsidR="00C7002D">
              <w:rPr>
                <w:noProof/>
                <w:webHidden/>
              </w:rPr>
              <w:tab/>
            </w:r>
            <w:r w:rsidR="00C7002D">
              <w:rPr>
                <w:noProof/>
                <w:webHidden/>
              </w:rPr>
              <w:fldChar w:fldCharType="begin"/>
            </w:r>
            <w:r w:rsidR="00C7002D">
              <w:rPr>
                <w:noProof/>
                <w:webHidden/>
              </w:rPr>
              <w:instrText xml:space="preserve"> PAGEREF _Toc92623028 \h </w:instrText>
            </w:r>
            <w:r w:rsidR="00C7002D">
              <w:rPr>
                <w:noProof/>
                <w:webHidden/>
              </w:rPr>
            </w:r>
            <w:r w:rsidR="00C7002D">
              <w:rPr>
                <w:noProof/>
                <w:webHidden/>
              </w:rPr>
              <w:fldChar w:fldCharType="separate"/>
            </w:r>
            <w:r w:rsidR="00682412">
              <w:rPr>
                <w:noProof/>
                <w:webHidden/>
              </w:rPr>
              <w:t>iv</w:t>
            </w:r>
            <w:r w:rsidR="00C7002D">
              <w:rPr>
                <w:noProof/>
                <w:webHidden/>
              </w:rPr>
              <w:fldChar w:fldCharType="end"/>
            </w:r>
          </w:hyperlink>
        </w:p>
        <w:p w14:paraId="5F5CCA5F" w14:textId="6A41F9B4" w:rsidR="00C7002D" w:rsidRDefault="001D6EEC">
          <w:pPr>
            <w:pStyle w:val="TOC1"/>
            <w:rPr>
              <w:rFonts w:asciiTheme="minorHAnsi" w:eastAsiaTheme="minorEastAsia" w:hAnsiTheme="minorHAnsi" w:cstheme="minorBidi"/>
              <w:noProof/>
              <w:sz w:val="22"/>
              <w:szCs w:val="22"/>
              <w:lang w:eastAsia="en-GB"/>
            </w:rPr>
          </w:pPr>
          <w:hyperlink w:anchor="_Toc92623029" w:history="1">
            <w:r w:rsidR="00C7002D" w:rsidRPr="00B302A4">
              <w:rPr>
                <w:rStyle w:val="Hyperlink"/>
                <w:noProof/>
              </w:rPr>
              <w:t>List of Figures</w:t>
            </w:r>
            <w:r w:rsidR="00C7002D">
              <w:rPr>
                <w:noProof/>
                <w:webHidden/>
              </w:rPr>
              <w:tab/>
            </w:r>
            <w:r w:rsidR="00C7002D">
              <w:rPr>
                <w:noProof/>
                <w:webHidden/>
              </w:rPr>
              <w:fldChar w:fldCharType="begin"/>
            </w:r>
            <w:r w:rsidR="00C7002D">
              <w:rPr>
                <w:noProof/>
                <w:webHidden/>
              </w:rPr>
              <w:instrText xml:space="preserve"> PAGEREF _Toc92623029 \h </w:instrText>
            </w:r>
            <w:r w:rsidR="00C7002D">
              <w:rPr>
                <w:noProof/>
                <w:webHidden/>
              </w:rPr>
            </w:r>
            <w:r w:rsidR="00C7002D">
              <w:rPr>
                <w:noProof/>
                <w:webHidden/>
              </w:rPr>
              <w:fldChar w:fldCharType="separate"/>
            </w:r>
            <w:r w:rsidR="00682412">
              <w:rPr>
                <w:noProof/>
                <w:webHidden/>
              </w:rPr>
              <w:t>iv</w:t>
            </w:r>
            <w:r w:rsidR="00C7002D">
              <w:rPr>
                <w:noProof/>
                <w:webHidden/>
              </w:rPr>
              <w:fldChar w:fldCharType="end"/>
            </w:r>
          </w:hyperlink>
        </w:p>
        <w:p w14:paraId="05CC82D8" w14:textId="50211BD3" w:rsidR="00C7002D" w:rsidRDefault="001D6EEC">
          <w:pPr>
            <w:pStyle w:val="TOC1"/>
            <w:rPr>
              <w:rFonts w:asciiTheme="minorHAnsi" w:eastAsiaTheme="minorEastAsia" w:hAnsiTheme="minorHAnsi" w:cstheme="minorBidi"/>
              <w:noProof/>
              <w:sz w:val="22"/>
              <w:szCs w:val="22"/>
              <w:lang w:eastAsia="en-GB"/>
            </w:rPr>
          </w:pPr>
          <w:hyperlink w:anchor="_Toc92623030" w:history="1">
            <w:r w:rsidR="00C7002D" w:rsidRPr="00B302A4">
              <w:rPr>
                <w:rStyle w:val="Hyperlink"/>
                <w:noProof/>
              </w:rPr>
              <w:t>List of Abbreviations and Acronyms</w:t>
            </w:r>
            <w:r w:rsidR="00C7002D">
              <w:rPr>
                <w:noProof/>
                <w:webHidden/>
              </w:rPr>
              <w:tab/>
            </w:r>
            <w:r w:rsidR="00C7002D">
              <w:rPr>
                <w:noProof/>
                <w:webHidden/>
              </w:rPr>
              <w:fldChar w:fldCharType="begin"/>
            </w:r>
            <w:r w:rsidR="00C7002D">
              <w:rPr>
                <w:noProof/>
                <w:webHidden/>
              </w:rPr>
              <w:instrText xml:space="preserve"> PAGEREF _Toc92623030 \h </w:instrText>
            </w:r>
            <w:r w:rsidR="00C7002D">
              <w:rPr>
                <w:noProof/>
                <w:webHidden/>
              </w:rPr>
            </w:r>
            <w:r w:rsidR="00C7002D">
              <w:rPr>
                <w:noProof/>
                <w:webHidden/>
              </w:rPr>
              <w:fldChar w:fldCharType="separate"/>
            </w:r>
            <w:r w:rsidR="00682412">
              <w:rPr>
                <w:noProof/>
                <w:webHidden/>
              </w:rPr>
              <w:t>v</w:t>
            </w:r>
            <w:r w:rsidR="00C7002D">
              <w:rPr>
                <w:noProof/>
                <w:webHidden/>
              </w:rPr>
              <w:fldChar w:fldCharType="end"/>
            </w:r>
          </w:hyperlink>
        </w:p>
        <w:p w14:paraId="11C45444" w14:textId="1277DDEF" w:rsidR="00C7002D" w:rsidRDefault="001D6EEC">
          <w:pPr>
            <w:pStyle w:val="TOC1"/>
            <w:rPr>
              <w:rFonts w:asciiTheme="minorHAnsi" w:eastAsiaTheme="minorEastAsia" w:hAnsiTheme="minorHAnsi" w:cstheme="minorBidi"/>
              <w:noProof/>
              <w:sz w:val="22"/>
              <w:szCs w:val="22"/>
              <w:lang w:eastAsia="en-GB"/>
            </w:rPr>
          </w:pPr>
          <w:hyperlink w:anchor="_Toc92623031" w:history="1">
            <w:r w:rsidR="00C7002D" w:rsidRPr="00B302A4">
              <w:rPr>
                <w:rStyle w:val="Hyperlink"/>
                <w:noProof/>
              </w:rPr>
              <w:t>1</w:t>
            </w:r>
            <w:r w:rsidR="00C7002D">
              <w:rPr>
                <w:rFonts w:asciiTheme="minorHAnsi" w:eastAsiaTheme="minorEastAsia" w:hAnsiTheme="minorHAnsi" w:cstheme="minorBidi"/>
                <w:noProof/>
                <w:sz w:val="22"/>
                <w:szCs w:val="22"/>
                <w:lang w:eastAsia="en-GB"/>
              </w:rPr>
              <w:tab/>
            </w:r>
            <w:r w:rsidR="00C7002D" w:rsidRPr="00B302A4">
              <w:rPr>
                <w:rStyle w:val="Hyperlink"/>
                <w:noProof/>
              </w:rPr>
              <w:t>Introduction and Goals of the Study</w:t>
            </w:r>
            <w:r w:rsidR="00C7002D">
              <w:rPr>
                <w:noProof/>
                <w:webHidden/>
              </w:rPr>
              <w:tab/>
            </w:r>
            <w:r w:rsidR="00C7002D">
              <w:rPr>
                <w:noProof/>
                <w:webHidden/>
              </w:rPr>
              <w:fldChar w:fldCharType="begin"/>
            </w:r>
            <w:r w:rsidR="00C7002D">
              <w:rPr>
                <w:noProof/>
                <w:webHidden/>
              </w:rPr>
              <w:instrText xml:space="preserve"> PAGEREF _Toc92623031 \h </w:instrText>
            </w:r>
            <w:r w:rsidR="00C7002D">
              <w:rPr>
                <w:noProof/>
                <w:webHidden/>
              </w:rPr>
            </w:r>
            <w:r w:rsidR="00C7002D">
              <w:rPr>
                <w:noProof/>
                <w:webHidden/>
              </w:rPr>
              <w:fldChar w:fldCharType="separate"/>
            </w:r>
            <w:r w:rsidR="00682412">
              <w:rPr>
                <w:noProof/>
                <w:webHidden/>
              </w:rPr>
              <w:t>1</w:t>
            </w:r>
            <w:r w:rsidR="00C7002D">
              <w:rPr>
                <w:noProof/>
                <w:webHidden/>
              </w:rPr>
              <w:fldChar w:fldCharType="end"/>
            </w:r>
          </w:hyperlink>
        </w:p>
        <w:p w14:paraId="33E1663B" w14:textId="0FD81D2F" w:rsidR="00C7002D" w:rsidRDefault="001D6EEC">
          <w:pPr>
            <w:pStyle w:val="TOC1"/>
            <w:rPr>
              <w:rFonts w:asciiTheme="minorHAnsi" w:eastAsiaTheme="minorEastAsia" w:hAnsiTheme="minorHAnsi" w:cstheme="minorBidi"/>
              <w:noProof/>
              <w:sz w:val="22"/>
              <w:szCs w:val="22"/>
              <w:lang w:eastAsia="en-GB"/>
            </w:rPr>
          </w:pPr>
          <w:hyperlink w:anchor="_Toc92623032" w:history="1">
            <w:r w:rsidR="00C7002D" w:rsidRPr="00B302A4">
              <w:rPr>
                <w:rStyle w:val="Hyperlink"/>
                <w:noProof/>
              </w:rPr>
              <w:t>2</w:t>
            </w:r>
            <w:r w:rsidR="00C7002D">
              <w:rPr>
                <w:rFonts w:asciiTheme="minorHAnsi" w:eastAsiaTheme="minorEastAsia" w:hAnsiTheme="minorHAnsi" w:cstheme="minorBidi"/>
                <w:noProof/>
                <w:sz w:val="22"/>
                <w:szCs w:val="22"/>
                <w:lang w:eastAsia="en-GB"/>
              </w:rPr>
              <w:tab/>
            </w:r>
            <w:r w:rsidR="00C7002D" w:rsidRPr="00B302A4">
              <w:rPr>
                <w:rStyle w:val="Hyperlink"/>
                <w:noProof/>
              </w:rPr>
              <w:t>Cultural Trade Debates and the Growing Importance of Creative Services Trade</w:t>
            </w:r>
            <w:r w:rsidR="00C7002D">
              <w:rPr>
                <w:noProof/>
                <w:webHidden/>
              </w:rPr>
              <w:tab/>
            </w:r>
            <w:r w:rsidR="00C7002D">
              <w:rPr>
                <w:noProof/>
                <w:webHidden/>
              </w:rPr>
              <w:fldChar w:fldCharType="begin"/>
            </w:r>
            <w:r w:rsidR="00C7002D">
              <w:rPr>
                <w:noProof/>
                <w:webHidden/>
              </w:rPr>
              <w:instrText xml:space="preserve"> PAGEREF _Toc92623032 \h </w:instrText>
            </w:r>
            <w:r w:rsidR="00C7002D">
              <w:rPr>
                <w:noProof/>
                <w:webHidden/>
              </w:rPr>
            </w:r>
            <w:r w:rsidR="00C7002D">
              <w:rPr>
                <w:noProof/>
                <w:webHidden/>
              </w:rPr>
              <w:fldChar w:fldCharType="separate"/>
            </w:r>
            <w:r w:rsidR="00682412">
              <w:rPr>
                <w:noProof/>
                <w:webHidden/>
              </w:rPr>
              <w:t>2</w:t>
            </w:r>
            <w:r w:rsidR="00C7002D">
              <w:rPr>
                <w:noProof/>
                <w:webHidden/>
              </w:rPr>
              <w:fldChar w:fldCharType="end"/>
            </w:r>
          </w:hyperlink>
        </w:p>
        <w:p w14:paraId="691BC1BE" w14:textId="010CB8BA" w:rsidR="00C7002D" w:rsidRDefault="001D6EEC">
          <w:pPr>
            <w:pStyle w:val="TOC2"/>
            <w:rPr>
              <w:rFonts w:asciiTheme="minorHAnsi" w:eastAsiaTheme="minorEastAsia" w:hAnsiTheme="minorHAnsi" w:cstheme="minorBidi"/>
              <w:noProof/>
              <w:sz w:val="22"/>
              <w:szCs w:val="22"/>
              <w:lang w:eastAsia="en-GB"/>
            </w:rPr>
          </w:pPr>
          <w:hyperlink w:anchor="_Toc92623033" w:history="1">
            <w:r w:rsidR="00C7002D" w:rsidRPr="00B302A4">
              <w:rPr>
                <w:rStyle w:val="Hyperlink"/>
                <w:noProof/>
              </w:rPr>
              <w:t>2.1</w:t>
            </w:r>
            <w:r w:rsidR="00C7002D">
              <w:rPr>
                <w:rFonts w:asciiTheme="minorHAnsi" w:eastAsiaTheme="minorEastAsia" w:hAnsiTheme="minorHAnsi" w:cstheme="minorBidi"/>
                <w:noProof/>
                <w:sz w:val="22"/>
                <w:szCs w:val="22"/>
                <w:lang w:eastAsia="en-GB"/>
              </w:rPr>
              <w:tab/>
            </w:r>
            <w:r w:rsidR="00C7002D" w:rsidRPr="00B302A4">
              <w:rPr>
                <w:rStyle w:val="Hyperlink"/>
                <w:noProof/>
              </w:rPr>
              <w:t>The cultural exception and liberalisation debate</w:t>
            </w:r>
            <w:r w:rsidR="00C7002D">
              <w:rPr>
                <w:noProof/>
                <w:webHidden/>
              </w:rPr>
              <w:tab/>
            </w:r>
            <w:r w:rsidR="00C7002D">
              <w:rPr>
                <w:noProof/>
                <w:webHidden/>
              </w:rPr>
              <w:fldChar w:fldCharType="begin"/>
            </w:r>
            <w:r w:rsidR="00C7002D">
              <w:rPr>
                <w:noProof/>
                <w:webHidden/>
              </w:rPr>
              <w:instrText xml:space="preserve"> PAGEREF _Toc92623033 \h </w:instrText>
            </w:r>
            <w:r w:rsidR="00C7002D">
              <w:rPr>
                <w:noProof/>
                <w:webHidden/>
              </w:rPr>
            </w:r>
            <w:r w:rsidR="00C7002D">
              <w:rPr>
                <w:noProof/>
                <w:webHidden/>
              </w:rPr>
              <w:fldChar w:fldCharType="separate"/>
            </w:r>
            <w:r w:rsidR="00682412">
              <w:rPr>
                <w:noProof/>
                <w:webHidden/>
              </w:rPr>
              <w:t>2</w:t>
            </w:r>
            <w:r w:rsidR="00C7002D">
              <w:rPr>
                <w:noProof/>
                <w:webHidden/>
              </w:rPr>
              <w:fldChar w:fldCharType="end"/>
            </w:r>
          </w:hyperlink>
        </w:p>
        <w:p w14:paraId="68E48DD5" w14:textId="7BB21134" w:rsidR="00C7002D" w:rsidRDefault="001D6EEC">
          <w:pPr>
            <w:pStyle w:val="TOC2"/>
            <w:rPr>
              <w:rFonts w:asciiTheme="minorHAnsi" w:eastAsiaTheme="minorEastAsia" w:hAnsiTheme="minorHAnsi" w:cstheme="minorBidi"/>
              <w:noProof/>
              <w:sz w:val="22"/>
              <w:szCs w:val="22"/>
              <w:lang w:eastAsia="en-GB"/>
            </w:rPr>
          </w:pPr>
          <w:hyperlink w:anchor="_Toc92623034" w:history="1">
            <w:r w:rsidR="00C7002D" w:rsidRPr="00B302A4">
              <w:rPr>
                <w:rStyle w:val="Hyperlink"/>
                <w:noProof/>
              </w:rPr>
              <w:t>2.2</w:t>
            </w:r>
            <w:r w:rsidR="00C7002D">
              <w:rPr>
                <w:rFonts w:asciiTheme="minorHAnsi" w:eastAsiaTheme="minorEastAsia" w:hAnsiTheme="minorHAnsi" w:cstheme="minorBidi"/>
                <w:noProof/>
                <w:sz w:val="22"/>
                <w:szCs w:val="22"/>
                <w:lang w:eastAsia="en-GB"/>
              </w:rPr>
              <w:tab/>
            </w:r>
            <w:r w:rsidR="00C7002D" w:rsidRPr="00B302A4">
              <w:rPr>
                <w:rStyle w:val="Hyperlink"/>
                <w:noProof/>
              </w:rPr>
              <w:t>Protecting diversity and cultural heritage</w:t>
            </w:r>
            <w:r w:rsidR="00C7002D">
              <w:rPr>
                <w:noProof/>
                <w:webHidden/>
              </w:rPr>
              <w:tab/>
            </w:r>
            <w:r w:rsidR="00C7002D">
              <w:rPr>
                <w:noProof/>
                <w:webHidden/>
              </w:rPr>
              <w:fldChar w:fldCharType="begin"/>
            </w:r>
            <w:r w:rsidR="00C7002D">
              <w:rPr>
                <w:noProof/>
                <w:webHidden/>
              </w:rPr>
              <w:instrText xml:space="preserve"> PAGEREF _Toc92623034 \h </w:instrText>
            </w:r>
            <w:r w:rsidR="00C7002D">
              <w:rPr>
                <w:noProof/>
                <w:webHidden/>
              </w:rPr>
            </w:r>
            <w:r w:rsidR="00C7002D">
              <w:rPr>
                <w:noProof/>
                <w:webHidden/>
              </w:rPr>
              <w:fldChar w:fldCharType="separate"/>
            </w:r>
            <w:r w:rsidR="00682412">
              <w:rPr>
                <w:noProof/>
                <w:webHidden/>
              </w:rPr>
              <w:t>4</w:t>
            </w:r>
            <w:r w:rsidR="00C7002D">
              <w:rPr>
                <w:noProof/>
                <w:webHidden/>
              </w:rPr>
              <w:fldChar w:fldCharType="end"/>
            </w:r>
          </w:hyperlink>
        </w:p>
        <w:p w14:paraId="23220F3B" w14:textId="4C5E9F91" w:rsidR="00C7002D" w:rsidRDefault="001D6EEC">
          <w:pPr>
            <w:pStyle w:val="TOC2"/>
            <w:rPr>
              <w:rFonts w:asciiTheme="minorHAnsi" w:eastAsiaTheme="minorEastAsia" w:hAnsiTheme="minorHAnsi" w:cstheme="minorBidi"/>
              <w:noProof/>
              <w:sz w:val="22"/>
              <w:szCs w:val="22"/>
              <w:lang w:eastAsia="en-GB"/>
            </w:rPr>
          </w:pPr>
          <w:hyperlink w:anchor="_Toc92623035" w:history="1">
            <w:r w:rsidR="00C7002D" w:rsidRPr="00B302A4">
              <w:rPr>
                <w:rStyle w:val="Hyperlink"/>
                <w:noProof/>
              </w:rPr>
              <w:t>2.3</w:t>
            </w:r>
            <w:r w:rsidR="00C7002D">
              <w:rPr>
                <w:rFonts w:asciiTheme="minorHAnsi" w:eastAsiaTheme="minorEastAsia" w:hAnsiTheme="minorHAnsi" w:cstheme="minorBidi"/>
                <w:noProof/>
                <w:sz w:val="22"/>
                <w:szCs w:val="22"/>
                <w:lang w:eastAsia="en-GB"/>
              </w:rPr>
              <w:tab/>
            </w:r>
            <w:r w:rsidR="00C7002D" w:rsidRPr="00B302A4">
              <w:rPr>
                <w:rStyle w:val="Hyperlink"/>
                <w:noProof/>
              </w:rPr>
              <w:t>Trade patterns and cultural distance</w:t>
            </w:r>
            <w:r w:rsidR="00C7002D">
              <w:rPr>
                <w:noProof/>
                <w:webHidden/>
              </w:rPr>
              <w:tab/>
            </w:r>
            <w:r w:rsidR="00C7002D">
              <w:rPr>
                <w:noProof/>
                <w:webHidden/>
              </w:rPr>
              <w:fldChar w:fldCharType="begin"/>
            </w:r>
            <w:r w:rsidR="00C7002D">
              <w:rPr>
                <w:noProof/>
                <w:webHidden/>
              </w:rPr>
              <w:instrText xml:space="preserve"> PAGEREF _Toc92623035 \h </w:instrText>
            </w:r>
            <w:r w:rsidR="00C7002D">
              <w:rPr>
                <w:noProof/>
                <w:webHidden/>
              </w:rPr>
            </w:r>
            <w:r w:rsidR="00C7002D">
              <w:rPr>
                <w:noProof/>
                <w:webHidden/>
              </w:rPr>
              <w:fldChar w:fldCharType="separate"/>
            </w:r>
            <w:r w:rsidR="00682412">
              <w:rPr>
                <w:noProof/>
                <w:webHidden/>
              </w:rPr>
              <w:t>5</w:t>
            </w:r>
            <w:r w:rsidR="00C7002D">
              <w:rPr>
                <w:noProof/>
                <w:webHidden/>
              </w:rPr>
              <w:fldChar w:fldCharType="end"/>
            </w:r>
          </w:hyperlink>
        </w:p>
        <w:p w14:paraId="6CAEFEA8" w14:textId="0AA9BC63" w:rsidR="00C7002D" w:rsidRDefault="001D6EEC">
          <w:pPr>
            <w:pStyle w:val="TOC2"/>
            <w:rPr>
              <w:rFonts w:asciiTheme="minorHAnsi" w:eastAsiaTheme="minorEastAsia" w:hAnsiTheme="minorHAnsi" w:cstheme="minorBidi"/>
              <w:noProof/>
              <w:sz w:val="22"/>
              <w:szCs w:val="22"/>
              <w:lang w:eastAsia="en-GB"/>
            </w:rPr>
          </w:pPr>
          <w:hyperlink w:anchor="_Toc92623036" w:history="1">
            <w:r w:rsidR="00C7002D" w:rsidRPr="00B302A4">
              <w:rPr>
                <w:rStyle w:val="Hyperlink"/>
                <w:noProof/>
              </w:rPr>
              <w:t>2.4</w:t>
            </w:r>
            <w:r w:rsidR="00C7002D">
              <w:rPr>
                <w:rFonts w:asciiTheme="minorHAnsi" w:eastAsiaTheme="minorEastAsia" w:hAnsiTheme="minorHAnsi" w:cstheme="minorBidi"/>
                <w:noProof/>
                <w:sz w:val="22"/>
                <w:szCs w:val="22"/>
                <w:lang w:eastAsia="en-GB"/>
              </w:rPr>
              <w:tab/>
            </w:r>
            <w:r w:rsidR="00C7002D" w:rsidRPr="00B302A4">
              <w:rPr>
                <w:rStyle w:val="Hyperlink"/>
                <w:noProof/>
              </w:rPr>
              <w:t>Creative services trade</w:t>
            </w:r>
            <w:r w:rsidR="00C7002D">
              <w:rPr>
                <w:noProof/>
                <w:webHidden/>
              </w:rPr>
              <w:tab/>
            </w:r>
            <w:r w:rsidR="00C7002D">
              <w:rPr>
                <w:noProof/>
                <w:webHidden/>
              </w:rPr>
              <w:fldChar w:fldCharType="begin"/>
            </w:r>
            <w:r w:rsidR="00C7002D">
              <w:rPr>
                <w:noProof/>
                <w:webHidden/>
              </w:rPr>
              <w:instrText xml:space="preserve"> PAGEREF _Toc92623036 \h </w:instrText>
            </w:r>
            <w:r w:rsidR="00C7002D">
              <w:rPr>
                <w:noProof/>
                <w:webHidden/>
              </w:rPr>
            </w:r>
            <w:r w:rsidR="00C7002D">
              <w:rPr>
                <w:noProof/>
                <w:webHidden/>
              </w:rPr>
              <w:fldChar w:fldCharType="separate"/>
            </w:r>
            <w:r w:rsidR="00682412">
              <w:rPr>
                <w:noProof/>
                <w:webHidden/>
              </w:rPr>
              <w:t>5</w:t>
            </w:r>
            <w:r w:rsidR="00C7002D">
              <w:rPr>
                <w:noProof/>
                <w:webHidden/>
              </w:rPr>
              <w:fldChar w:fldCharType="end"/>
            </w:r>
          </w:hyperlink>
        </w:p>
        <w:p w14:paraId="106C6407" w14:textId="00034504" w:rsidR="00C7002D" w:rsidRDefault="001D6EEC">
          <w:pPr>
            <w:pStyle w:val="TOC1"/>
            <w:rPr>
              <w:rFonts w:asciiTheme="minorHAnsi" w:eastAsiaTheme="minorEastAsia" w:hAnsiTheme="minorHAnsi" w:cstheme="minorBidi"/>
              <w:noProof/>
              <w:sz w:val="22"/>
              <w:szCs w:val="22"/>
              <w:lang w:eastAsia="en-GB"/>
            </w:rPr>
          </w:pPr>
          <w:hyperlink w:anchor="_Toc92623037" w:history="1">
            <w:r w:rsidR="00C7002D" w:rsidRPr="00B302A4">
              <w:rPr>
                <w:rStyle w:val="Hyperlink"/>
                <w:noProof/>
              </w:rPr>
              <w:t>3</w:t>
            </w:r>
            <w:r w:rsidR="00C7002D">
              <w:rPr>
                <w:rFonts w:asciiTheme="minorHAnsi" w:eastAsiaTheme="minorEastAsia" w:hAnsiTheme="minorHAnsi" w:cstheme="minorBidi"/>
                <w:noProof/>
                <w:sz w:val="22"/>
                <w:szCs w:val="22"/>
                <w:lang w:eastAsia="en-GB"/>
              </w:rPr>
              <w:tab/>
            </w:r>
            <w:r w:rsidR="00C7002D" w:rsidRPr="00B302A4">
              <w:rPr>
                <w:rStyle w:val="Hyperlink"/>
                <w:noProof/>
              </w:rPr>
              <w:t>Data and Research Methods</w:t>
            </w:r>
            <w:r w:rsidR="00C7002D">
              <w:rPr>
                <w:noProof/>
                <w:webHidden/>
              </w:rPr>
              <w:tab/>
            </w:r>
            <w:r w:rsidR="00C7002D">
              <w:rPr>
                <w:noProof/>
                <w:webHidden/>
              </w:rPr>
              <w:fldChar w:fldCharType="begin"/>
            </w:r>
            <w:r w:rsidR="00C7002D">
              <w:rPr>
                <w:noProof/>
                <w:webHidden/>
              </w:rPr>
              <w:instrText xml:space="preserve"> PAGEREF _Toc92623037 \h </w:instrText>
            </w:r>
            <w:r w:rsidR="00C7002D">
              <w:rPr>
                <w:noProof/>
                <w:webHidden/>
              </w:rPr>
            </w:r>
            <w:r w:rsidR="00C7002D">
              <w:rPr>
                <w:noProof/>
                <w:webHidden/>
              </w:rPr>
              <w:fldChar w:fldCharType="separate"/>
            </w:r>
            <w:r w:rsidR="00682412">
              <w:rPr>
                <w:noProof/>
                <w:webHidden/>
              </w:rPr>
              <w:t>7</w:t>
            </w:r>
            <w:r w:rsidR="00C7002D">
              <w:rPr>
                <w:noProof/>
                <w:webHidden/>
              </w:rPr>
              <w:fldChar w:fldCharType="end"/>
            </w:r>
          </w:hyperlink>
        </w:p>
        <w:p w14:paraId="294610B9" w14:textId="509E3BD2" w:rsidR="00C7002D" w:rsidRDefault="001D6EEC">
          <w:pPr>
            <w:pStyle w:val="TOC2"/>
            <w:rPr>
              <w:rFonts w:asciiTheme="minorHAnsi" w:eastAsiaTheme="minorEastAsia" w:hAnsiTheme="minorHAnsi" w:cstheme="minorBidi"/>
              <w:noProof/>
              <w:sz w:val="22"/>
              <w:szCs w:val="22"/>
              <w:lang w:eastAsia="en-GB"/>
            </w:rPr>
          </w:pPr>
          <w:hyperlink w:anchor="_Toc92623038" w:history="1">
            <w:r w:rsidR="00C7002D" w:rsidRPr="00B302A4">
              <w:rPr>
                <w:rStyle w:val="Hyperlink"/>
                <w:noProof/>
              </w:rPr>
              <w:t>3.1</w:t>
            </w:r>
            <w:r w:rsidR="00C7002D">
              <w:rPr>
                <w:rFonts w:asciiTheme="minorHAnsi" w:eastAsiaTheme="minorEastAsia" w:hAnsiTheme="minorHAnsi" w:cstheme="minorBidi"/>
                <w:noProof/>
                <w:sz w:val="22"/>
                <w:szCs w:val="22"/>
                <w:lang w:eastAsia="en-GB"/>
              </w:rPr>
              <w:tab/>
            </w:r>
            <w:r w:rsidR="00C7002D" w:rsidRPr="00B302A4">
              <w:rPr>
                <w:rStyle w:val="Hyperlink"/>
                <w:noProof/>
              </w:rPr>
              <w:t>Cultural goods and services trade: categories and data sources</w:t>
            </w:r>
            <w:r w:rsidR="00C7002D">
              <w:rPr>
                <w:noProof/>
                <w:webHidden/>
              </w:rPr>
              <w:tab/>
            </w:r>
            <w:r w:rsidR="00C7002D">
              <w:rPr>
                <w:noProof/>
                <w:webHidden/>
              </w:rPr>
              <w:fldChar w:fldCharType="begin"/>
            </w:r>
            <w:r w:rsidR="00C7002D">
              <w:rPr>
                <w:noProof/>
                <w:webHidden/>
              </w:rPr>
              <w:instrText xml:space="preserve"> PAGEREF _Toc92623038 \h </w:instrText>
            </w:r>
            <w:r w:rsidR="00C7002D">
              <w:rPr>
                <w:noProof/>
                <w:webHidden/>
              </w:rPr>
            </w:r>
            <w:r w:rsidR="00C7002D">
              <w:rPr>
                <w:noProof/>
                <w:webHidden/>
              </w:rPr>
              <w:fldChar w:fldCharType="separate"/>
            </w:r>
            <w:r w:rsidR="00682412">
              <w:rPr>
                <w:noProof/>
                <w:webHidden/>
              </w:rPr>
              <w:t>7</w:t>
            </w:r>
            <w:r w:rsidR="00C7002D">
              <w:rPr>
                <w:noProof/>
                <w:webHidden/>
              </w:rPr>
              <w:fldChar w:fldCharType="end"/>
            </w:r>
          </w:hyperlink>
        </w:p>
        <w:p w14:paraId="7FFC5B2D" w14:textId="34AAE7F3" w:rsidR="00C7002D" w:rsidRDefault="001D6EEC">
          <w:pPr>
            <w:pStyle w:val="TOC2"/>
            <w:rPr>
              <w:rFonts w:asciiTheme="minorHAnsi" w:eastAsiaTheme="minorEastAsia" w:hAnsiTheme="minorHAnsi" w:cstheme="minorBidi"/>
              <w:noProof/>
              <w:sz w:val="22"/>
              <w:szCs w:val="22"/>
              <w:lang w:eastAsia="en-GB"/>
            </w:rPr>
          </w:pPr>
          <w:hyperlink w:anchor="_Toc92623039" w:history="1">
            <w:r w:rsidR="00C7002D" w:rsidRPr="00B302A4">
              <w:rPr>
                <w:rStyle w:val="Hyperlink"/>
                <w:noProof/>
              </w:rPr>
              <w:t>3.2</w:t>
            </w:r>
            <w:r w:rsidR="00C7002D">
              <w:rPr>
                <w:rFonts w:asciiTheme="minorHAnsi" w:eastAsiaTheme="minorEastAsia" w:hAnsiTheme="minorHAnsi" w:cstheme="minorBidi"/>
                <w:noProof/>
                <w:sz w:val="22"/>
                <w:szCs w:val="22"/>
                <w:lang w:eastAsia="en-GB"/>
              </w:rPr>
              <w:tab/>
            </w:r>
            <w:r w:rsidR="00C7002D" w:rsidRPr="00B302A4">
              <w:rPr>
                <w:rStyle w:val="Hyperlink"/>
                <w:noProof/>
              </w:rPr>
              <w:t xml:space="preserve">Analysing the growth and structure of South Africa’s cultural goods trade and the impact </w:t>
            </w:r>
            <w:r w:rsidR="00063987">
              <w:rPr>
                <w:rStyle w:val="Hyperlink"/>
                <w:noProof/>
              </w:rPr>
              <w:br/>
            </w:r>
            <w:r w:rsidR="00C7002D" w:rsidRPr="00B302A4">
              <w:rPr>
                <w:rStyle w:val="Hyperlink"/>
                <w:noProof/>
              </w:rPr>
              <w:t>of the COVID-19 pandemic</w:t>
            </w:r>
            <w:r w:rsidR="00C7002D">
              <w:rPr>
                <w:noProof/>
                <w:webHidden/>
              </w:rPr>
              <w:tab/>
            </w:r>
            <w:r w:rsidR="00C7002D">
              <w:rPr>
                <w:noProof/>
                <w:webHidden/>
              </w:rPr>
              <w:fldChar w:fldCharType="begin"/>
            </w:r>
            <w:r w:rsidR="00C7002D">
              <w:rPr>
                <w:noProof/>
                <w:webHidden/>
              </w:rPr>
              <w:instrText xml:space="preserve"> PAGEREF _Toc92623039 \h </w:instrText>
            </w:r>
            <w:r w:rsidR="00C7002D">
              <w:rPr>
                <w:noProof/>
                <w:webHidden/>
              </w:rPr>
            </w:r>
            <w:r w:rsidR="00C7002D">
              <w:rPr>
                <w:noProof/>
                <w:webHidden/>
              </w:rPr>
              <w:fldChar w:fldCharType="separate"/>
            </w:r>
            <w:r w:rsidR="00682412">
              <w:rPr>
                <w:noProof/>
                <w:webHidden/>
              </w:rPr>
              <w:t>9</w:t>
            </w:r>
            <w:r w:rsidR="00C7002D">
              <w:rPr>
                <w:noProof/>
                <w:webHidden/>
              </w:rPr>
              <w:fldChar w:fldCharType="end"/>
            </w:r>
          </w:hyperlink>
        </w:p>
        <w:p w14:paraId="0F42C29D" w14:textId="2C701C12" w:rsidR="00C7002D" w:rsidRDefault="001D6EEC">
          <w:pPr>
            <w:pStyle w:val="TOC2"/>
            <w:rPr>
              <w:rFonts w:asciiTheme="minorHAnsi" w:eastAsiaTheme="minorEastAsia" w:hAnsiTheme="minorHAnsi" w:cstheme="minorBidi"/>
              <w:noProof/>
              <w:sz w:val="22"/>
              <w:szCs w:val="22"/>
              <w:lang w:eastAsia="en-GB"/>
            </w:rPr>
          </w:pPr>
          <w:hyperlink w:anchor="_Toc92623040" w:history="1">
            <w:r w:rsidR="00C7002D" w:rsidRPr="00B302A4">
              <w:rPr>
                <w:rStyle w:val="Hyperlink"/>
                <w:noProof/>
              </w:rPr>
              <w:t>3.3</w:t>
            </w:r>
            <w:r w:rsidR="00C7002D">
              <w:rPr>
                <w:rFonts w:asciiTheme="minorHAnsi" w:eastAsiaTheme="minorEastAsia" w:hAnsiTheme="minorHAnsi" w:cstheme="minorBidi"/>
                <w:noProof/>
                <w:sz w:val="22"/>
                <w:szCs w:val="22"/>
                <w:lang w:eastAsia="en-GB"/>
              </w:rPr>
              <w:tab/>
            </w:r>
            <w:r w:rsidR="00C7002D" w:rsidRPr="00B302A4">
              <w:rPr>
                <w:rStyle w:val="Hyperlink"/>
                <w:noProof/>
              </w:rPr>
              <w:t>Measuring intra-industry trade in cultural products</w:t>
            </w:r>
            <w:r w:rsidR="00C7002D">
              <w:rPr>
                <w:noProof/>
                <w:webHidden/>
              </w:rPr>
              <w:tab/>
            </w:r>
            <w:r w:rsidR="00C7002D">
              <w:rPr>
                <w:noProof/>
                <w:webHidden/>
              </w:rPr>
              <w:fldChar w:fldCharType="begin"/>
            </w:r>
            <w:r w:rsidR="00C7002D">
              <w:rPr>
                <w:noProof/>
                <w:webHidden/>
              </w:rPr>
              <w:instrText xml:space="preserve"> PAGEREF _Toc92623040 \h </w:instrText>
            </w:r>
            <w:r w:rsidR="00C7002D">
              <w:rPr>
                <w:noProof/>
                <w:webHidden/>
              </w:rPr>
            </w:r>
            <w:r w:rsidR="00C7002D">
              <w:rPr>
                <w:noProof/>
                <w:webHidden/>
              </w:rPr>
              <w:fldChar w:fldCharType="separate"/>
            </w:r>
            <w:r w:rsidR="00682412">
              <w:rPr>
                <w:noProof/>
                <w:webHidden/>
              </w:rPr>
              <w:t>10</w:t>
            </w:r>
            <w:r w:rsidR="00C7002D">
              <w:rPr>
                <w:noProof/>
                <w:webHidden/>
              </w:rPr>
              <w:fldChar w:fldCharType="end"/>
            </w:r>
          </w:hyperlink>
        </w:p>
        <w:p w14:paraId="0F30BEDB" w14:textId="49D6C2F2" w:rsidR="00C7002D" w:rsidRDefault="001D6EEC">
          <w:pPr>
            <w:pStyle w:val="TOC2"/>
            <w:rPr>
              <w:rFonts w:asciiTheme="minorHAnsi" w:eastAsiaTheme="minorEastAsia" w:hAnsiTheme="minorHAnsi" w:cstheme="minorBidi"/>
              <w:noProof/>
              <w:sz w:val="22"/>
              <w:szCs w:val="22"/>
              <w:lang w:eastAsia="en-GB"/>
            </w:rPr>
          </w:pPr>
          <w:hyperlink w:anchor="_Toc92623041" w:history="1">
            <w:r w:rsidR="00C7002D" w:rsidRPr="00B302A4">
              <w:rPr>
                <w:rStyle w:val="Hyperlink"/>
                <w:noProof/>
              </w:rPr>
              <w:t>3.4</w:t>
            </w:r>
            <w:r w:rsidR="00C7002D">
              <w:rPr>
                <w:rFonts w:asciiTheme="minorHAnsi" w:eastAsiaTheme="minorEastAsia" w:hAnsiTheme="minorHAnsi" w:cstheme="minorBidi"/>
                <w:noProof/>
                <w:sz w:val="22"/>
                <w:szCs w:val="22"/>
                <w:lang w:eastAsia="en-GB"/>
              </w:rPr>
              <w:tab/>
            </w:r>
            <w:r w:rsidR="00C7002D" w:rsidRPr="00B302A4">
              <w:rPr>
                <w:rStyle w:val="Hyperlink"/>
                <w:noProof/>
              </w:rPr>
              <w:t>Measuring cultural goods trade complementarity with selected regional partners</w:t>
            </w:r>
            <w:r w:rsidR="00C7002D">
              <w:rPr>
                <w:noProof/>
                <w:webHidden/>
              </w:rPr>
              <w:tab/>
            </w:r>
            <w:r w:rsidR="00C7002D">
              <w:rPr>
                <w:noProof/>
                <w:webHidden/>
              </w:rPr>
              <w:fldChar w:fldCharType="begin"/>
            </w:r>
            <w:r w:rsidR="00C7002D">
              <w:rPr>
                <w:noProof/>
                <w:webHidden/>
              </w:rPr>
              <w:instrText xml:space="preserve"> PAGEREF _Toc92623041 \h </w:instrText>
            </w:r>
            <w:r w:rsidR="00C7002D">
              <w:rPr>
                <w:noProof/>
                <w:webHidden/>
              </w:rPr>
            </w:r>
            <w:r w:rsidR="00C7002D">
              <w:rPr>
                <w:noProof/>
                <w:webHidden/>
              </w:rPr>
              <w:fldChar w:fldCharType="separate"/>
            </w:r>
            <w:r w:rsidR="00682412">
              <w:rPr>
                <w:noProof/>
                <w:webHidden/>
              </w:rPr>
              <w:t>11</w:t>
            </w:r>
            <w:r w:rsidR="00C7002D">
              <w:rPr>
                <w:noProof/>
                <w:webHidden/>
              </w:rPr>
              <w:fldChar w:fldCharType="end"/>
            </w:r>
          </w:hyperlink>
        </w:p>
        <w:p w14:paraId="5C16856A" w14:textId="0CEDC45B" w:rsidR="00C7002D" w:rsidRDefault="001D6EEC">
          <w:pPr>
            <w:pStyle w:val="TOC2"/>
            <w:rPr>
              <w:rFonts w:asciiTheme="minorHAnsi" w:eastAsiaTheme="minorEastAsia" w:hAnsiTheme="minorHAnsi" w:cstheme="minorBidi"/>
              <w:noProof/>
              <w:sz w:val="22"/>
              <w:szCs w:val="22"/>
              <w:lang w:eastAsia="en-GB"/>
            </w:rPr>
          </w:pPr>
          <w:hyperlink w:anchor="_Toc92623042" w:history="1">
            <w:r w:rsidR="00C7002D" w:rsidRPr="00B302A4">
              <w:rPr>
                <w:rStyle w:val="Hyperlink"/>
                <w:noProof/>
              </w:rPr>
              <w:t>3.5</w:t>
            </w:r>
            <w:r w:rsidR="00C7002D">
              <w:rPr>
                <w:rFonts w:asciiTheme="minorHAnsi" w:eastAsiaTheme="minorEastAsia" w:hAnsiTheme="minorHAnsi" w:cstheme="minorBidi"/>
                <w:noProof/>
                <w:sz w:val="22"/>
                <w:szCs w:val="22"/>
                <w:lang w:eastAsia="en-GB"/>
              </w:rPr>
              <w:tab/>
            </w:r>
            <w:r w:rsidR="00C7002D" w:rsidRPr="00B302A4">
              <w:rPr>
                <w:rStyle w:val="Hyperlink"/>
                <w:noProof/>
              </w:rPr>
              <w:t>Assessing trends in cultural services trade</w:t>
            </w:r>
            <w:r w:rsidR="00C7002D">
              <w:rPr>
                <w:noProof/>
                <w:webHidden/>
              </w:rPr>
              <w:tab/>
            </w:r>
            <w:r w:rsidR="00C7002D">
              <w:rPr>
                <w:noProof/>
                <w:webHidden/>
              </w:rPr>
              <w:fldChar w:fldCharType="begin"/>
            </w:r>
            <w:r w:rsidR="00C7002D">
              <w:rPr>
                <w:noProof/>
                <w:webHidden/>
              </w:rPr>
              <w:instrText xml:space="preserve"> PAGEREF _Toc92623042 \h </w:instrText>
            </w:r>
            <w:r w:rsidR="00C7002D">
              <w:rPr>
                <w:noProof/>
                <w:webHidden/>
              </w:rPr>
            </w:r>
            <w:r w:rsidR="00C7002D">
              <w:rPr>
                <w:noProof/>
                <w:webHidden/>
              </w:rPr>
              <w:fldChar w:fldCharType="separate"/>
            </w:r>
            <w:r w:rsidR="00682412">
              <w:rPr>
                <w:noProof/>
                <w:webHidden/>
              </w:rPr>
              <w:t>11</w:t>
            </w:r>
            <w:r w:rsidR="00C7002D">
              <w:rPr>
                <w:noProof/>
                <w:webHidden/>
              </w:rPr>
              <w:fldChar w:fldCharType="end"/>
            </w:r>
          </w:hyperlink>
        </w:p>
        <w:p w14:paraId="670913A4" w14:textId="48F07A68" w:rsidR="00C7002D" w:rsidRDefault="001D6EEC">
          <w:pPr>
            <w:pStyle w:val="TOC1"/>
            <w:rPr>
              <w:rFonts w:asciiTheme="minorHAnsi" w:eastAsiaTheme="minorEastAsia" w:hAnsiTheme="minorHAnsi" w:cstheme="minorBidi"/>
              <w:noProof/>
              <w:sz w:val="22"/>
              <w:szCs w:val="22"/>
              <w:lang w:eastAsia="en-GB"/>
            </w:rPr>
          </w:pPr>
          <w:hyperlink w:anchor="_Toc92623043" w:history="1">
            <w:r w:rsidR="00C7002D" w:rsidRPr="00B302A4">
              <w:rPr>
                <w:rStyle w:val="Hyperlink"/>
                <w:noProof/>
              </w:rPr>
              <w:t>4</w:t>
            </w:r>
            <w:r w:rsidR="00C7002D">
              <w:rPr>
                <w:rFonts w:asciiTheme="minorHAnsi" w:eastAsiaTheme="minorEastAsia" w:hAnsiTheme="minorHAnsi" w:cstheme="minorBidi"/>
                <w:noProof/>
                <w:sz w:val="22"/>
                <w:szCs w:val="22"/>
                <w:lang w:eastAsia="en-GB"/>
              </w:rPr>
              <w:tab/>
            </w:r>
            <w:r w:rsidR="00C7002D" w:rsidRPr="00B302A4">
              <w:rPr>
                <w:rStyle w:val="Hyperlink"/>
                <w:noProof/>
              </w:rPr>
              <w:t>Results and Discussion</w:t>
            </w:r>
            <w:r w:rsidR="00C7002D">
              <w:rPr>
                <w:noProof/>
                <w:webHidden/>
              </w:rPr>
              <w:fldChar w:fldCharType="begin"/>
            </w:r>
            <w:r w:rsidR="00C7002D">
              <w:rPr>
                <w:noProof/>
                <w:webHidden/>
              </w:rPr>
              <w:instrText xml:space="preserve"> PAGEREF _Toc92623043 \h </w:instrText>
            </w:r>
            <w:r w:rsidR="00C7002D">
              <w:rPr>
                <w:noProof/>
                <w:webHidden/>
              </w:rPr>
            </w:r>
            <w:r w:rsidR="00C7002D">
              <w:rPr>
                <w:noProof/>
                <w:webHidden/>
              </w:rPr>
              <w:fldChar w:fldCharType="separate"/>
            </w:r>
            <w:r w:rsidR="00682412">
              <w:rPr>
                <w:noProof/>
                <w:webHidden/>
              </w:rPr>
              <w:t>12</w:t>
            </w:r>
            <w:r w:rsidR="00C7002D">
              <w:rPr>
                <w:noProof/>
                <w:webHidden/>
              </w:rPr>
              <w:fldChar w:fldCharType="end"/>
            </w:r>
          </w:hyperlink>
        </w:p>
        <w:p w14:paraId="62435624" w14:textId="029279E7" w:rsidR="00C7002D" w:rsidRDefault="001D6EEC">
          <w:pPr>
            <w:pStyle w:val="TOC2"/>
            <w:rPr>
              <w:rFonts w:asciiTheme="minorHAnsi" w:eastAsiaTheme="minorEastAsia" w:hAnsiTheme="minorHAnsi" w:cstheme="minorBidi"/>
              <w:noProof/>
              <w:sz w:val="22"/>
              <w:szCs w:val="22"/>
              <w:lang w:eastAsia="en-GB"/>
            </w:rPr>
          </w:pPr>
          <w:hyperlink w:anchor="_Toc92623044" w:history="1">
            <w:r w:rsidR="00C7002D" w:rsidRPr="00B302A4">
              <w:rPr>
                <w:rStyle w:val="Hyperlink"/>
                <w:noProof/>
              </w:rPr>
              <w:t>4.1</w:t>
            </w:r>
            <w:r w:rsidR="00C7002D">
              <w:rPr>
                <w:rFonts w:asciiTheme="minorHAnsi" w:eastAsiaTheme="minorEastAsia" w:hAnsiTheme="minorHAnsi" w:cstheme="minorBidi"/>
                <w:noProof/>
                <w:sz w:val="22"/>
                <w:szCs w:val="22"/>
                <w:lang w:eastAsia="en-GB"/>
              </w:rPr>
              <w:tab/>
            </w:r>
            <w:r w:rsidR="00C7002D" w:rsidRPr="00B302A4">
              <w:rPr>
                <w:rStyle w:val="Hyperlink"/>
                <w:noProof/>
              </w:rPr>
              <w:t>South Africa’s cultural goods trade and the impact of the COVID-19 pandemic</w:t>
            </w:r>
            <w:r w:rsidR="00C7002D">
              <w:rPr>
                <w:noProof/>
                <w:webHidden/>
              </w:rPr>
              <w:tab/>
            </w:r>
            <w:r w:rsidR="00C7002D">
              <w:rPr>
                <w:noProof/>
                <w:webHidden/>
              </w:rPr>
              <w:fldChar w:fldCharType="begin"/>
            </w:r>
            <w:r w:rsidR="00C7002D">
              <w:rPr>
                <w:noProof/>
                <w:webHidden/>
              </w:rPr>
              <w:instrText xml:space="preserve"> PAGEREF _Toc92623044 \h </w:instrText>
            </w:r>
            <w:r w:rsidR="00C7002D">
              <w:rPr>
                <w:noProof/>
                <w:webHidden/>
              </w:rPr>
            </w:r>
            <w:r w:rsidR="00C7002D">
              <w:rPr>
                <w:noProof/>
                <w:webHidden/>
              </w:rPr>
              <w:fldChar w:fldCharType="separate"/>
            </w:r>
            <w:r w:rsidR="00682412">
              <w:rPr>
                <w:noProof/>
                <w:webHidden/>
              </w:rPr>
              <w:t>12</w:t>
            </w:r>
            <w:r w:rsidR="00C7002D">
              <w:rPr>
                <w:noProof/>
                <w:webHidden/>
              </w:rPr>
              <w:fldChar w:fldCharType="end"/>
            </w:r>
          </w:hyperlink>
        </w:p>
        <w:p w14:paraId="4C4C7B91" w14:textId="7012E917" w:rsidR="00C7002D" w:rsidRDefault="001D6EEC">
          <w:pPr>
            <w:pStyle w:val="TOC2"/>
            <w:rPr>
              <w:rFonts w:asciiTheme="minorHAnsi" w:eastAsiaTheme="minorEastAsia" w:hAnsiTheme="minorHAnsi" w:cstheme="minorBidi"/>
              <w:noProof/>
              <w:sz w:val="22"/>
              <w:szCs w:val="22"/>
              <w:lang w:eastAsia="en-GB"/>
            </w:rPr>
          </w:pPr>
          <w:hyperlink w:anchor="_Toc92623045" w:history="1">
            <w:r w:rsidR="00C7002D" w:rsidRPr="00B302A4">
              <w:rPr>
                <w:rStyle w:val="Hyperlink"/>
                <w:noProof/>
              </w:rPr>
              <w:t>4.2</w:t>
            </w:r>
            <w:r w:rsidR="00C7002D">
              <w:rPr>
                <w:rFonts w:asciiTheme="minorHAnsi" w:eastAsiaTheme="minorEastAsia" w:hAnsiTheme="minorHAnsi" w:cstheme="minorBidi"/>
                <w:noProof/>
                <w:sz w:val="22"/>
                <w:szCs w:val="22"/>
                <w:lang w:eastAsia="en-GB"/>
              </w:rPr>
              <w:tab/>
            </w:r>
            <w:r w:rsidR="00C7002D" w:rsidRPr="00B302A4">
              <w:rPr>
                <w:rStyle w:val="Hyperlink"/>
                <w:noProof/>
              </w:rPr>
              <w:t>South Africa’s cultural goods trade by region, with a focus on USMCA and SADC</w:t>
            </w:r>
            <w:r w:rsidR="00C7002D">
              <w:rPr>
                <w:noProof/>
                <w:webHidden/>
              </w:rPr>
              <w:tab/>
            </w:r>
            <w:r w:rsidR="00C7002D">
              <w:rPr>
                <w:noProof/>
                <w:webHidden/>
              </w:rPr>
              <w:fldChar w:fldCharType="begin"/>
            </w:r>
            <w:r w:rsidR="00C7002D">
              <w:rPr>
                <w:noProof/>
                <w:webHidden/>
              </w:rPr>
              <w:instrText xml:space="preserve"> PAGEREF _Toc92623045 \h </w:instrText>
            </w:r>
            <w:r w:rsidR="00C7002D">
              <w:rPr>
                <w:noProof/>
                <w:webHidden/>
              </w:rPr>
            </w:r>
            <w:r w:rsidR="00C7002D">
              <w:rPr>
                <w:noProof/>
                <w:webHidden/>
              </w:rPr>
              <w:fldChar w:fldCharType="separate"/>
            </w:r>
            <w:r w:rsidR="00682412">
              <w:rPr>
                <w:noProof/>
                <w:webHidden/>
              </w:rPr>
              <w:t>17</w:t>
            </w:r>
            <w:r w:rsidR="00C7002D">
              <w:rPr>
                <w:noProof/>
                <w:webHidden/>
              </w:rPr>
              <w:fldChar w:fldCharType="end"/>
            </w:r>
          </w:hyperlink>
        </w:p>
        <w:p w14:paraId="2D2D575F" w14:textId="2825B154" w:rsidR="00C7002D" w:rsidRDefault="001D6EEC">
          <w:pPr>
            <w:pStyle w:val="TOC2"/>
            <w:rPr>
              <w:rFonts w:asciiTheme="minorHAnsi" w:eastAsiaTheme="minorEastAsia" w:hAnsiTheme="minorHAnsi" w:cstheme="minorBidi"/>
              <w:noProof/>
              <w:sz w:val="22"/>
              <w:szCs w:val="22"/>
              <w:lang w:eastAsia="en-GB"/>
            </w:rPr>
          </w:pPr>
          <w:hyperlink w:anchor="_Toc92623046" w:history="1">
            <w:r w:rsidR="00C7002D" w:rsidRPr="00B302A4">
              <w:rPr>
                <w:rStyle w:val="Hyperlink"/>
                <w:noProof/>
              </w:rPr>
              <w:t>4.3</w:t>
            </w:r>
            <w:r w:rsidR="00C7002D">
              <w:rPr>
                <w:rFonts w:asciiTheme="minorHAnsi" w:eastAsiaTheme="minorEastAsia" w:hAnsiTheme="minorHAnsi" w:cstheme="minorBidi"/>
                <w:noProof/>
                <w:sz w:val="22"/>
                <w:szCs w:val="22"/>
                <w:lang w:eastAsia="en-GB"/>
              </w:rPr>
              <w:tab/>
            </w:r>
            <w:r w:rsidR="00C7002D" w:rsidRPr="00B302A4">
              <w:rPr>
                <w:rStyle w:val="Hyperlink"/>
                <w:noProof/>
              </w:rPr>
              <w:t>South Africa’s intra-industry trade in cultural goods with USMCA and SADC, with regional comparisons</w:t>
            </w:r>
            <w:r w:rsidR="00C7002D">
              <w:rPr>
                <w:noProof/>
                <w:webHidden/>
              </w:rPr>
              <w:tab/>
            </w:r>
            <w:r w:rsidR="00C7002D">
              <w:rPr>
                <w:noProof/>
                <w:webHidden/>
              </w:rPr>
              <w:fldChar w:fldCharType="begin"/>
            </w:r>
            <w:r w:rsidR="00C7002D">
              <w:rPr>
                <w:noProof/>
                <w:webHidden/>
              </w:rPr>
              <w:instrText xml:space="preserve"> PAGEREF _Toc92623046 \h </w:instrText>
            </w:r>
            <w:r w:rsidR="00C7002D">
              <w:rPr>
                <w:noProof/>
                <w:webHidden/>
              </w:rPr>
            </w:r>
            <w:r w:rsidR="00C7002D">
              <w:rPr>
                <w:noProof/>
                <w:webHidden/>
              </w:rPr>
              <w:fldChar w:fldCharType="separate"/>
            </w:r>
            <w:r w:rsidR="00682412">
              <w:rPr>
                <w:noProof/>
                <w:webHidden/>
              </w:rPr>
              <w:t>23</w:t>
            </w:r>
            <w:r w:rsidR="00C7002D">
              <w:rPr>
                <w:noProof/>
                <w:webHidden/>
              </w:rPr>
              <w:fldChar w:fldCharType="end"/>
            </w:r>
          </w:hyperlink>
        </w:p>
        <w:p w14:paraId="3F7DAE5B" w14:textId="1EF2E3A0" w:rsidR="00C7002D" w:rsidRDefault="001D6EEC">
          <w:pPr>
            <w:pStyle w:val="TOC2"/>
            <w:rPr>
              <w:rFonts w:asciiTheme="minorHAnsi" w:eastAsiaTheme="minorEastAsia" w:hAnsiTheme="minorHAnsi" w:cstheme="minorBidi"/>
              <w:noProof/>
              <w:sz w:val="22"/>
              <w:szCs w:val="22"/>
              <w:lang w:eastAsia="en-GB"/>
            </w:rPr>
          </w:pPr>
          <w:hyperlink w:anchor="_Toc92623047" w:history="1">
            <w:r w:rsidR="00C7002D" w:rsidRPr="00B302A4">
              <w:rPr>
                <w:rStyle w:val="Hyperlink"/>
                <w:noProof/>
              </w:rPr>
              <w:t>4.4</w:t>
            </w:r>
            <w:r w:rsidR="00C7002D">
              <w:rPr>
                <w:rFonts w:asciiTheme="minorHAnsi" w:eastAsiaTheme="minorEastAsia" w:hAnsiTheme="minorHAnsi" w:cstheme="minorBidi"/>
                <w:noProof/>
                <w:sz w:val="22"/>
                <w:szCs w:val="22"/>
                <w:lang w:eastAsia="en-GB"/>
              </w:rPr>
              <w:tab/>
            </w:r>
            <w:r w:rsidR="00C7002D" w:rsidRPr="00B302A4">
              <w:rPr>
                <w:rStyle w:val="Hyperlink"/>
                <w:noProof/>
              </w:rPr>
              <w:t>South Africa’s cultural goods trade complementarity with USMCA and SADC in comparative perspective</w:t>
            </w:r>
            <w:r w:rsidR="00C7002D">
              <w:rPr>
                <w:noProof/>
                <w:webHidden/>
              </w:rPr>
              <w:tab/>
            </w:r>
            <w:r w:rsidR="00C7002D">
              <w:rPr>
                <w:noProof/>
                <w:webHidden/>
              </w:rPr>
              <w:fldChar w:fldCharType="begin"/>
            </w:r>
            <w:r w:rsidR="00C7002D">
              <w:rPr>
                <w:noProof/>
                <w:webHidden/>
              </w:rPr>
              <w:instrText xml:space="preserve"> PAGEREF _Toc92623047 \h </w:instrText>
            </w:r>
            <w:r w:rsidR="00C7002D">
              <w:rPr>
                <w:noProof/>
                <w:webHidden/>
              </w:rPr>
            </w:r>
            <w:r w:rsidR="00C7002D">
              <w:rPr>
                <w:noProof/>
                <w:webHidden/>
              </w:rPr>
              <w:fldChar w:fldCharType="separate"/>
            </w:r>
            <w:r w:rsidR="00682412">
              <w:rPr>
                <w:noProof/>
                <w:webHidden/>
              </w:rPr>
              <w:t>25</w:t>
            </w:r>
            <w:r w:rsidR="00C7002D">
              <w:rPr>
                <w:noProof/>
                <w:webHidden/>
              </w:rPr>
              <w:fldChar w:fldCharType="end"/>
            </w:r>
          </w:hyperlink>
        </w:p>
        <w:p w14:paraId="5396A08A" w14:textId="67193AF7" w:rsidR="00C7002D" w:rsidRDefault="001D6EEC">
          <w:pPr>
            <w:pStyle w:val="TOC2"/>
            <w:rPr>
              <w:rFonts w:asciiTheme="minorHAnsi" w:eastAsiaTheme="minorEastAsia" w:hAnsiTheme="minorHAnsi" w:cstheme="minorBidi"/>
              <w:noProof/>
              <w:sz w:val="22"/>
              <w:szCs w:val="22"/>
              <w:lang w:eastAsia="en-GB"/>
            </w:rPr>
          </w:pPr>
          <w:hyperlink w:anchor="_Toc92623048" w:history="1">
            <w:r w:rsidR="00C7002D" w:rsidRPr="00B302A4">
              <w:rPr>
                <w:rStyle w:val="Hyperlink"/>
                <w:noProof/>
              </w:rPr>
              <w:t>4.5</w:t>
            </w:r>
            <w:r w:rsidR="00C7002D">
              <w:rPr>
                <w:rFonts w:asciiTheme="minorHAnsi" w:eastAsiaTheme="minorEastAsia" w:hAnsiTheme="minorHAnsi" w:cstheme="minorBidi"/>
                <w:noProof/>
                <w:sz w:val="22"/>
                <w:szCs w:val="22"/>
                <w:lang w:eastAsia="en-GB"/>
              </w:rPr>
              <w:tab/>
            </w:r>
            <w:r w:rsidR="00C7002D" w:rsidRPr="00B302A4">
              <w:rPr>
                <w:rStyle w:val="Hyperlink"/>
                <w:noProof/>
              </w:rPr>
              <w:t>South Africa’s cultural services trade in the context of the COVID-19 pandemic</w:t>
            </w:r>
            <w:r w:rsidR="00C7002D">
              <w:rPr>
                <w:noProof/>
                <w:webHidden/>
              </w:rPr>
              <w:tab/>
            </w:r>
            <w:r w:rsidR="00C7002D">
              <w:rPr>
                <w:noProof/>
                <w:webHidden/>
              </w:rPr>
              <w:fldChar w:fldCharType="begin"/>
            </w:r>
            <w:r w:rsidR="00C7002D">
              <w:rPr>
                <w:noProof/>
                <w:webHidden/>
              </w:rPr>
              <w:instrText xml:space="preserve"> PAGEREF _Toc92623048 \h </w:instrText>
            </w:r>
            <w:r w:rsidR="00C7002D">
              <w:rPr>
                <w:noProof/>
                <w:webHidden/>
              </w:rPr>
            </w:r>
            <w:r w:rsidR="00C7002D">
              <w:rPr>
                <w:noProof/>
                <w:webHidden/>
              </w:rPr>
              <w:fldChar w:fldCharType="separate"/>
            </w:r>
            <w:r w:rsidR="00682412">
              <w:rPr>
                <w:noProof/>
                <w:webHidden/>
              </w:rPr>
              <w:t>27</w:t>
            </w:r>
            <w:r w:rsidR="00C7002D">
              <w:rPr>
                <w:noProof/>
                <w:webHidden/>
              </w:rPr>
              <w:fldChar w:fldCharType="end"/>
            </w:r>
          </w:hyperlink>
        </w:p>
        <w:p w14:paraId="5499B2E9" w14:textId="3EB982AA" w:rsidR="00C7002D" w:rsidRDefault="001D6EEC">
          <w:pPr>
            <w:pStyle w:val="TOC1"/>
            <w:rPr>
              <w:rFonts w:asciiTheme="minorHAnsi" w:eastAsiaTheme="minorEastAsia" w:hAnsiTheme="minorHAnsi" w:cstheme="minorBidi"/>
              <w:noProof/>
              <w:sz w:val="22"/>
              <w:szCs w:val="22"/>
              <w:lang w:eastAsia="en-GB"/>
            </w:rPr>
          </w:pPr>
          <w:hyperlink w:anchor="_Toc92623049" w:history="1">
            <w:r w:rsidR="00C7002D" w:rsidRPr="00B302A4">
              <w:rPr>
                <w:rStyle w:val="Hyperlink"/>
                <w:noProof/>
              </w:rPr>
              <w:t>5</w:t>
            </w:r>
            <w:r w:rsidR="00C7002D">
              <w:rPr>
                <w:rFonts w:asciiTheme="minorHAnsi" w:eastAsiaTheme="minorEastAsia" w:hAnsiTheme="minorHAnsi" w:cstheme="minorBidi"/>
                <w:noProof/>
                <w:sz w:val="22"/>
                <w:szCs w:val="22"/>
                <w:lang w:eastAsia="en-GB"/>
              </w:rPr>
              <w:tab/>
            </w:r>
            <w:r w:rsidR="00C7002D" w:rsidRPr="00B302A4">
              <w:rPr>
                <w:rStyle w:val="Hyperlink"/>
                <w:noProof/>
              </w:rPr>
              <w:t>Concluding remarks</w:t>
            </w:r>
            <w:r w:rsidR="00C7002D">
              <w:rPr>
                <w:noProof/>
                <w:webHidden/>
              </w:rPr>
              <w:tab/>
            </w:r>
            <w:r w:rsidR="00C7002D">
              <w:rPr>
                <w:noProof/>
                <w:webHidden/>
              </w:rPr>
              <w:fldChar w:fldCharType="begin"/>
            </w:r>
            <w:r w:rsidR="00C7002D">
              <w:rPr>
                <w:noProof/>
                <w:webHidden/>
              </w:rPr>
              <w:instrText xml:space="preserve"> PAGEREF _Toc92623049 \h </w:instrText>
            </w:r>
            <w:r w:rsidR="00C7002D">
              <w:rPr>
                <w:noProof/>
                <w:webHidden/>
              </w:rPr>
            </w:r>
            <w:r w:rsidR="00C7002D">
              <w:rPr>
                <w:noProof/>
                <w:webHidden/>
              </w:rPr>
              <w:fldChar w:fldCharType="separate"/>
            </w:r>
            <w:r w:rsidR="00682412">
              <w:rPr>
                <w:noProof/>
                <w:webHidden/>
              </w:rPr>
              <w:t>30</w:t>
            </w:r>
            <w:r w:rsidR="00C7002D">
              <w:rPr>
                <w:noProof/>
                <w:webHidden/>
              </w:rPr>
              <w:fldChar w:fldCharType="end"/>
            </w:r>
          </w:hyperlink>
        </w:p>
        <w:p w14:paraId="27717A40" w14:textId="5A4DE066" w:rsidR="00C7002D" w:rsidRDefault="001D6EEC">
          <w:pPr>
            <w:pStyle w:val="TOC1"/>
            <w:rPr>
              <w:rFonts w:asciiTheme="minorHAnsi" w:eastAsiaTheme="minorEastAsia" w:hAnsiTheme="minorHAnsi" w:cstheme="minorBidi"/>
              <w:noProof/>
              <w:sz w:val="22"/>
              <w:szCs w:val="22"/>
              <w:lang w:eastAsia="en-GB"/>
            </w:rPr>
          </w:pPr>
          <w:hyperlink w:anchor="_Toc92623050" w:history="1">
            <w:r w:rsidR="00C7002D" w:rsidRPr="00B302A4">
              <w:rPr>
                <w:rStyle w:val="Hyperlink"/>
                <w:noProof/>
              </w:rPr>
              <w:t>5</w:t>
            </w:r>
            <w:r w:rsidR="00C7002D">
              <w:rPr>
                <w:rFonts w:asciiTheme="minorHAnsi" w:eastAsiaTheme="minorEastAsia" w:hAnsiTheme="minorHAnsi" w:cstheme="minorBidi"/>
                <w:noProof/>
                <w:sz w:val="22"/>
                <w:szCs w:val="22"/>
                <w:lang w:eastAsia="en-GB"/>
              </w:rPr>
              <w:tab/>
            </w:r>
            <w:r w:rsidR="00C7002D" w:rsidRPr="00B302A4">
              <w:rPr>
                <w:rStyle w:val="Hyperlink"/>
                <w:noProof/>
              </w:rPr>
              <w:t>References</w:t>
            </w:r>
            <w:r w:rsidR="00C7002D">
              <w:rPr>
                <w:noProof/>
                <w:webHidden/>
              </w:rPr>
              <w:tab/>
            </w:r>
            <w:r w:rsidR="00C7002D">
              <w:rPr>
                <w:noProof/>
                <w:webHidden/>
              </w:rPr>
              <w:fldChar w:fldCharType="begin"/>
            </w:r>
            <w:r w:rsidR="00C7002D">
              <w:rPr>
                <w:noProof/>
                <w:webHidden/>
              </w:rPr>
              <w:instrText xml:space="preserve"> PAGEREF _Toc92623050 \h </w:instrText>
            </w:r>
            <w:r w:rsidR="00C7002D">
              <w:rPr>
                <w:noProof/>
                <w:webHidden/>
              </w:rPr>
            </w:r>
            <w:r w:rsidR="00C7002D">
              <w:rPr>
                <w:noProof/>
                <w:webHidden/>
              </w:rPr>
              <w:fldChar w:fldCharType="separate"/>
            </w:r>
            <w:r w:rsidR="00682412">
              <w:rPr>
                <w:noProof/>
                <w:webHidden/>
              </w:rPr>
              <w:t>31</w:t>
            </w:r>
            <w:r w:rsidR="00C7002D">
              <w:rPr>
                <w:noProof/>
                <w:webHidden/>
              </w:rPr>
              <w:fldChar w:fldCharType="end"/>
            </w:r>
          </w:hyperlink>
        </w:p>
        <w:p w14:paraId="476BA86A" w14:textId="2B53AAB0" w:rsidR="00C7002D" w:rsidRDefault="001D6EEC">
          <w:pPr>
            <w:pStyle w:val="TOC3"/>
            <w:tabs>
              <w:tab w:val="right" w:pos="9016"/>
            </w:tabs>
            <w:rPr>
              <w:rFonts w:asciiTheme="minorHAnsi" w:eastAsiaTheme="minorEastAsia" w:hAnsiTheme="minorHAnsi" w:cstheme="minorBidi"/>
              <w:noProof/>
              <w:sz w:val="22"/>
              <w:szCs w:val="22"/>
              <w:lang w:eastAsia="en-GB"/>
            </w:rPr>
          </w:pPr>
          <w:hyperlink w:anchor="_Toc92623051" w:history="1">
            <w:r w:rsidR="00C7002D" w:rsidRPr="00B302A4">
              <w:rPr>
                <w:rStyle w:val="Hyperlink"/>
                <w:noProof/>
              </w:rPr>
              <w:t>Appendix 1: Cultural goods trade: 2007 Harmonised System codes and descriptions</w:t>
            </w:r>
            <w:r w:rsidR="00C7002D">
              <w:rPr>
                <w:noProof/>
                <w:webHidden/>
              </w:rPr>
              <w:tab/>
            </w:r>
            <w:r w:rsidR="00C7002D">
              <w:rPr>
                <w:noProof/>
                <w:webHidden/>
              </w:rPr>
              <w:fldChar w:fldCharType="begin"/>
            </w:r>
            <w:r w:rsidR="00C7002D">
              <w:rPr>
                <w:noProof/>
                <w:webHidden/>
              </w:rPr>
              <w:instrText xml:space="preserve"> PAGEREF _Toc92623051 \h </w:instrText>
            </w:r>
            <w:r w:rsidR="00C7002D">
              <w:rPr>
                <w:noProof/>
                <w:webHidden/>
              </w:rPr>
            </w:r>
            <w:r w:rsidR="00C7002D">
              <w:rPr>
                <w:noProof/>
                <w:webHidden/>
              </w:rPr>
              <w:fldChar w:fldCharType="separate"/>
            </w:r>
            <w:r w:rsidR="00682412">
              <w:rPr>
                <w:noProof/>
                <w:webHidden/>
              </w:rPr>
              <w:t>35</w:t>
            </w:r>
            <w:r w:rsidR="00C7002D">
              <w:rPr>
                <w:noProof/>
                <w:webHidden/>
              </w:rPr>
              <w:fldChar w:fldCharType="end"/>
            </w:r>
          </w:hyperlink>
        </w:p>
        <w:p w14:paraId="00000029" w14:textId="175DCBE0" w:rsidR="00294ABB" w:rsidRPr="0075592F" w:rsidRDefault="00420BFB">
          <w:pPr>
            <w:rPr>
              <w:sz w:val="22"/>
              <w:szCs w:val="22"/>
            </w:rPr>
          </w:pPr>
          <w:r w:rsidRPr="0075592F">
            <w:rPr>
              <w:sz w:val="22"/>
              <w:szCs w:val="22"/>
            </w:rPr>
            <w:fldChar w:fldCharType="end"/>
          </w:r>
        </w:p>
      </w:sdtContent>
    </w:sdt>
    <w:p w14:paraId="6897D518" w14:textId="77777777" w:rsidR="006D2D7B" w:rsidRDefault="006D2D7B">
      <w:pPr>
        <w:rPr>
          <w:rFonts w:eastAsiaTheme="majorEastAsia" w:cstheme="majorBidi"/>
          <w:b/>
          <w:color w:val="2E74B5" w:themeColor="accent1" w:themeShade="BF"/>
          <w:sz w:val="28"/>
          <w:szCs w:val="32"/>
        </w:rPr>
      </w:pPr>
      <w:bookmarkStart w:id="5" w:name="_heading=h.3znysh7" w:colFirst="0" w:colLast="0"/>
      <w:bookmarkEnd w:id="5"/>
      <w:r>
        <w:br w:type="page"/>
      </w:r>
    </w:p>
    <w:p w14:paraId="0000002E" w14:textId="33BB9D4A" w:rsidR="00294ABB" w:rsidRDefault="00420BFB" w:rsidP="006D2D7B">
      <w:pPr>
        <w:pStyle w:val="Heading1"/>
        <w:numPr>
          <w:ilvl w:val="0"/>
          <w:numId w:val="0"/>
        </w:numPr>
        <w:ind w:left="432" w:hanging="432"/>
      </w:pPr>
      <w:bookmarkStart w:id="6" w:name="_Toc92623028"/>
      <w:bookmarkStart w:id="7" w:name="_Toc90189372"/>
      <w:r>
        <w:lastRenderedPageBreak/>
        <w:t>List of Tables</w:t>
      </w:r>
      <w:bookmarkEnd w:id="6"/>
      <w:r w:rsidR="006D2D7B">
        <w:t xml:space="preserve"> </w:t>
      </w:r>
      <w:bookmarkEnd w:id="7"/>
    </w:p>
    <w:p w14:paraId="229EC7BC" w14:textId="6CB30BBD" w:rsidR="00C93471" w:rsidRPr="00835B56" w:rsidRDefault="0075592F" w:rsidP="00835B56">
      <w:pPr>
        <w:pStyle w:val="TableofFigures"/>
        <w:tabs>
          <w:tab w:val="right" w:leader="dot" w:pos="9016"/>
        </w:tabs>
        <w:ind w:left="720" w:hanging="720"/>
        <w:jc w:val="left"/>
        <w:rPr>
          <w:rFonts w:ascii="Arial" w:eastAsiaTheme="minorEastAsia" w:hAnsi="Arial" w:cs="Arial"/>
          <w:noProof/>
          <w:sz w:val="22"/>
          <w:szCs w:val="22"/>
          <w:lang w:val="en-GB" w:eastAsia="en-GB"/>
        </w:rPr>
      </w:pPr>
      <w:r w:rsidRPr="0075592F">
        <w:rPr>
          <w:rFonts w:ascii="Arial" w:eastAsiaTheme="majorEastAsia" w:hAnsi="Arial" w:cs="Arial"/>
          <w:b/>
          <w:color w:val="2E74B5" w:themeColor="accent1" w:themeShade="BF"/>
          <w:sz w:val="22"/>
          <w:szCs w:val="22"/>
        </w:rPr>
        <w:fldChar w:fldCharType="begin"/>
      </w:r>
      <w:r w:rsidRPr="0075592F">
        <w:rPr>
          <w:rFonts w:ascii="Arial" w:eastAsiaTheme="majorEastAsia" w:hAnsi="Arial" w:cs="Arial"/>
          <w:b/>
          <w:color w:val="2E74B5" w:themeColor="accent1" w:themeShade="BF"/>
          <w:sz w:val="22"/>
          <w:szCs w:val="22"/>
        </w:rPr>
        <w:instrText xml:space="preserve"> TOC \h \z \c "Table" </w:instrText>
      </w:r>
      <w:r w:rsidRPr="0075592F">
        <w:rPr>
          <w:rFonts w:ascii="Arial" w:eastAsiaTheme="majorEastAsia" w:hAnsi="Arial" w:cs="Arial"/>
          <w:b/>
          <w:color w:val="2E74B5" w:themeColor="accent1" w:themeShade="BF"/>
          <w:sz w:val="22"/>
          <w:szCs w:val="22"/>
        </w:rPr>
        <w:fldChar w:fldCharType="separate"/>
      </w:r>
      <w:hyperlink w:anchor="_Toc92623701" w:history="1">
        <w:r w:rsidR="00C93471" w:rsidRPr="00835B56">
          <w:rPr>
            <w:rStyle w:val="Hyperlink"/>
            <w:rFonts w:ascii="Arial" w:hAnsi="Arial" w:cs="Arial"/>
            <w:noProof/>
          </w:rPr>
          <w:t>Table 1: Exports of creative goods by type and region, 2019 (US$ millions and percentage growth)</w:t>
        </w:r>
        <w:r w:rsidR="00C93471" w:rsidRPr="00835B56">
          <w:rPr>
            <w:rFonts w:ascii="Arial" w:hAnsi="Arial" w:cs="Arial"/>
            <w:noProof/>
            <w:webHidden/>
          </w:rPr>
          <w:tab/>
        </w:r>
        <w:r w:rsidR="00C93471" w:rsidRPr="00835B56">
          <w:rPr>
            <w:rFonts w:ascii="Arial" w:hAnsi="Arial" w:cs="Arial"/>
            <w:noProof/>
            <w:webHidden/>
          </w:rPr>
          <w:fldChar w:fldCharType="begin"/>
        </w:r>
        <w:r w:rsidR="00C93471" w:rsidRPr="00835B56">
          <w:rPr>
            <w:rFonts w:ascii="Arial" w:hAnsi="Arial" w:cs="Arial"/>
            <w:noProof/>
            <w:webHidden/>
          </w:rPr>
          <w:instrText xml:space="preserve"> PAGEREF _Toc92623701 \h </w:instrText>
        </w:r>
        <w:r w:rsidR="00C93471" w:rsidRPr="00835B56">
          <w:rPr>
            <w:rFonts w:ascii="Arial" w:hAnsi="Arial" w:cs="Arial"/>
            <w:noProof/>
            <w:webHidden/>
          </w:rPr>
        </w:r>
        <w:r w:rsidR="00C93471" w:rsidRPr="00835B56">
          <w:rPr>
            <w:rFonts w:ascii="Arial" w:hAnsi="Arial" w:cs="Arial"/>
            <w:noProof/>
            <w:webHidden/>
          </w:rPr>
          <w:fldChar w:fldCharType="separate"/>
        </w:r>
        <w:r w:rsidR="00682412">
          <w:rPr>
            <w:rFonts w:ascii="Arial" w:hAnsi="Arial" w:cs="Arial"/>
            <w:noProof/>
            <w:webHidden/>
          </w:rPr>
          <w:t>4</w:t>
        </w:r>
        <w:r w:rsidR="00C93471" w:rsidRPr="00835B56">
          <w:rPr>
            <w:rFonts w:ascii="Arial" w:hAnsi="Arial" w:cs="Arial"/>
            <w:noProof/>
            <w:webHidden/>
          </w:rPr>
          <w:fldChar w:fldCharType="end"/>
        </w:r>
      </w:hyperlink>
    </w:p>
    <w:p w14:paraId="406130FE" w14:textId="56351272" w:rsidR="00C93471" w:rsidRPr="00835B56" w:rsidRDefault="001D6EEC" w:rsidP="00835B56">
      <w:pPr>
        <w:pStyle w:val="TableofFigures"/>
        <w:tabs>
          <w:tab w:val="right" w:leader="dot" w:pos="9016"/>
        </w:tabs>
        <w:ind w:left="720" w:hanging="720"/>
        <w:jc w:val="left"/>
        <w:rPr>
          <w:rFonts w:ascii="Arial" w:eastAsiaTheme="minorEastAsia" w:hAnsi="Arial" w:cs="Arial"/>
          <w:noProof/>
          <w:sz w:val="22"/>
          <w:szCs w:val="22"/>
          <w:lang w:val="en-GB" w:eastAsia="en-GB"/>
        </w:rPr>
      </w:pPr>
      <w:hyperlink w:anchor="_Toc92623702" w:history="1">
        <w:r w:rsidR="00C93471" w:rsidRPr="00835B56">
          <w:rPr>
            <w:rStyle w:val="Hyperlink"/>
            <w:rFonts w:ascii="Arial" w:hAnsi="Arial" w:cs="Arial"/>
            <w:noProof/>
          </w:rPr>
          <w:t>Table 2: Exports of Creative Services by region and development status, 2010–2019</w:t>
        </w:r>
        <w:r w:rsidR="00C93471" w:rsidRPr="00835B56">
          <w:rPr>
            <w:rFonts w:ascii="Arial" w:hAnsi="Arial" w:cs="Arial"/>
            <w:noProof/>
            <w:webHidden/>
          </w:rPr>
          <w:tab/>
        </w:r>
        <w:r w:rsidR="00C93471" w:rsidRPr="00835B56">
          <w:rPr>
            <w:rFonts w:ascii="Arial" w:hAnsi="Arial" w:cs="Arial"/>
            <w:noProof/>
            <w:webHidden/>
          </w:rPr>
          <w:fldChar w:fldCharType="begin"/>
        </w:r>
        <w:r w:rsidR="00C93471" w:rsidRPr="00835B56">
          <w:rPr>
            <w:rFonts w:ascii="Arial" w:hAnsi="Arial" w:cs="Arial"/>
            <w:noProof/>
            <w:webHidden/>
          </w:rPr>
          <w:instrText xml:space="preserve"> PAGEREF _Toc92623702 \h </w:instrText>
        </w:r>
        <w:r w:rsidR="00C93471" w:rsidRPr="00835B56">
          <w:rPr>
            <w:rFonts w:ascii="Arial" w:hAnsi="Arial" w:cs="Arial"/>
            <w:noProof/>
            <w:webHidden/>
          </w:rPr>
        </w:r>
        <w:r w:rsidR="00C93471" w:rsidRPr="00835B56">
          <w:rPr>
            <w:rFonts w:ascii="Arial" w:hAnsi="Arial" w:cs="Arial"/>
            <w:noProof/>
            <w:webHidden/>
          </w:rPr>
          <w:fldChar w:fldCharType="separate"/>
        </w:r>
        <w:r w:rsidR="00682412">
          <w:rPr>
            <w:rFonts w:ascii="Arial" w:hAnsi="Arial" w:cs="Arial"/>
            <w:noProof/>
            <w:webHidden/>
          </w:rPr>
          <w:t>6</w:t>
        </w:r>
        <w:r w:rsidR="00C93471" w:rsidRPr="00835B56">
          <w:rPr>
            <w:rFonts w:ascii="Arial" w:hAnsi="Arial" w:cs="Arial"/>
            <w:noProof/>
            <w:webHidden/>
          </w:rPr>
          <w:fldChar w:fldCharType="end"/>
        </w:r>
      </w:hyperlink>
    </w:p>
    <w:p w14:paraId="6BA154DD" w14:textId="32D59F3E" w:rsidR="00C93471" w:rsidRPr="00835B56" w:rsidRDefault="001D6EEC" w:rsidP="00835B56">
      <w:pPr>
        <w:pStyle w:val="TableofFigures"/>
        <w:tabs>
          <w:tab w:val="right" w:leader="dot" w:pos="9016"/>
        </w:tabs>
        <w:ind w:left="720" w:hanging="720"/>
        <w:jc w:val="left"/>
        <w:rPr>
          <w:rFonts w:ascii="Arial" w:eastAsiaTheme="minorEastAsia" w:hAnsi="Arial" w:cs="Arial"/>
          <w:noProof/>
          <w:sz w:val="22"/>
          <w:szCs w:val="22"/>
          <w:lang w:val="en-GB" w:eastAsia="en-GB"/>
        </w:rPr>
      </w:pPr>
      <w:hyperlink w:anchor="_Toc92623703" w:history="1">
        <w:r w:rsidR="00C93471" w:rsidRPr="00835B56">
          <w:rPr>
            <w:rStyle w:val="Hyperlink"/>
            <w:rFonts w:ascii="Arial" w:hAnsi="Arial" w:cs="Arial"/>
            <w:noProof/>
          </w:rPr>
          <w:t>Table 3: EBOPS cultural services trade categories</w:t>
        </w:r>
        <w:r w:rsidR="00C93471" w:rsidRPr="00835B56">
          <w:rPr>
            <w:rFonts w:ascii="Arial" w:hAnsi="Arial" w:cs="Arial"/>
            <w:noProof/>
            <w:webHidden/>
          </w:rPr>
          <w:tab/>
        </w:r>
        <w:r w:rsidR="00C93471" w:rsidRPr="00835B56">
          <w:rPr>
            <w:rFonts w:ascii="Arial" w:hAnsi="Arial" w:cs="Arial"/>
            <w:noProof/>
            <w:webHidden/>
          </w:rPr>
          <w:fldChar w:fldCharType="begin"/>
        </w:r>
        <w:r w:rsidR="00C93471" w:rsidRPr="00835B56">
          <w:rPr>
            <w:rFonts w:ascii="Arial" w:hAnsi="Arial" w:cs="Arial"/>
            <w:noProof/>
            <w:webHidden/>
          </w:rPr>
          <w:instrText xml:space="preserve"> PAGEREF _Toc92623703 \h </w:instrText>
        </w:r>
        <w:r w:rsidR="00C93471" w:rsidRPr="00835B56">
          <w:rPr>
            <w:rFonts w:ascii="Arial" w:hAnsi="Arial" w:cs="Arial"/>
            <w:noProof/>
            <w:webHidden/>
          </w:rPr>
        </w:r>
        <w:r w:rsidR="00C93471" w:rsidRPr="00835B56">
          <w:rPr>
            <w:rFonts w:ascii="Arial" w:hAnsi="Arial" w:cs="Arial"/>
            <w:noProof/>
            <w:webHidden/>
          </w:rPr>
          <w:fldChar w:fldCharType="separate"/>
        </w:r>
        <w:r w:rsidR="00682412">
          <w:rPr>
            <w:rFonts w:ascii="Arial" w:hAnsi="Arial" w:cs="Arial"/>
            <w:noProof/>
            <w:webHidden/>
          </w:rPr>
          <w:t>8</w:t>
        </w:r>
        <w:r w:rsidR="00C93471" w:rsidRPr="00835B56">
          <w:rPr>
            <w:rFonts w:ascii="Arial" w:hAnsi="Arial" w:cs="Arial"/>
            <w:noProof/>
            <w:webHidden/>
          </w:rPr>
          <w:fldChar w:fldCharType="end"/>
        </w:r>
      </w:hyperlink>
    </w:p>
    <w:p w14:paraId="2741A543" w14:textId="7B7299C6" w:rsidR="00C93471" w:rsidRPr="00835B56" w:rsidRDefault="001D6EEC" w:rsidP="00835B56">
      <w:pPr>
        <w:pStyle w:val="TableofFigures"/>
        <w:tabs>
          <w:tab w:val="right" w:leader="dot" w:pos="9016"/>
        </w:tabs>
        <w:ind w:left="720" w:hanging="720"/>
        <w:jc w:val="left"/>
        <w:rPr>
          <w:rFonts w:ascii="Arial" w:eastAsiaTheme="minorEastAsia" w:hAnsi="Arial" w:cs="Arial"/>
          <w:noProof/>
          <w:sz w:val="22"/>
          <w:szCs w:val="22"/>
          <w:lang w:val="en-GB" w:eastAsia="en-GB"/>
        </w:rPr>
      </w:pPr>
      <w:hyperlink w:anchor="_Toc92623704" w:history="1">
        <w:r w:rsidR="00C93471" w:rsidRPr="00835B56">
          <w:rPr>
            <w:rStyle w:val="Hyperlink"/>
            <w:rFonts w:ascii="Arial" w:hAnsi="Arial" w:cs="Arial"/>
            <w:noProof/>
          </w:rPr>
          <w:t>Table 4: South Africa’s cultural goods trade: US$ millions, percentage shares and average annual growth rates relative to total commodity trade</w:t>
        </w:r>
        <w:r w:rsidR="00C93471" w:rsidRPr="00835B56">
          <w:rPr>
            <w:rFonts w:ascii="Arial" w:hAnsi="Arial" w:cs="Arial"/>
            <w:noProof/>
            <w:webHidden/>
          </w:rPr>
          <w:tab/>
        </w:r>
        <w:r w:rsidR="00C93471" w:rsidRPr="00835B56">
          <w:rPr>
            <w:rFonts w:ascii="Arial" w:hAnsi="Arial" w:cs="Arial"/>
            <w:noProof/>
            <w:webHidden/>
          </w:rPr>
          <w:fldChar w:fldCharType="begin"/>
        </w:r>
        <w:r w:rsidR="00C93471" w:rsidRPr="00835B56">
          <w:rPr>
            <w:rFonts w:ascii="Arial" w:hAnsi="Arial" w:cs="Arial"/>
            <w:noProof/>
            <w:webHidden/>
          </w:rPr>
          <w:instrText xml:space="preserve"> PAGEREF _Toc92623704 \h </w:instrText>
        </w:r>
        <w:r w:rsidR="00C93471" w:rsidRPr="00835B56">
          <w:rPr>
            <w:rFonts w:ascii="Arial" w:hAnsi="Arial" w:cs="Arial"/>
            <w:noProof/>
            <w:webHidden/>
          </w:rPr>
        </w:r>
        <w:r w:rsidR="00C93471" w:rsidRPr="00835B56">
          <w:rPr>
            <w:rFonts w:ascii="Arial" w:hAnsi="Arial" w:cs="Arial"/>
            <w:noProof/>
            <w:webHidden/>
          </w:rPr>
          <w:fldChar w:fldCharType="separate"/>
        </w:r>
        <w:r w:rsidR="00682412">
          <w:rPr>
            <w:rFonts w:ascii="Arial" w:hAnsi="Arial" w:cs="Arial"/>
            <w:noProof/>
            <w:webHidden/>
          </w:rPr>
          <w:t>12</w:t>
        </w:r>
        <w:r w:rsidR="00C93471" w:rsidRPr="00835B56">
          <w:rPr>
            <w:rFonts w:ascii="Arial" w:hAnsi="Arial" w:cs="Arial"/>
            <w:noProof/>
            <w:webHidden/>
          </w:rPr>
          <w:fldChar w:fldCharType="end"/>
        </w:r>
      </w:hyperlink>
    </w:p>
    <w:p w14:paraId="1C6DC24D" w14:textId="7E5723AE" w:rsidR="00C93471" w:rsidRPr="00835B56" w:rsidRDefault="001D6EEC" w:rsidP="00835B56">
      <w:pPr>
        <w:pStyle w:val="TableofFigures"/>
        <w:tabs>
          <w:tab w:val="right" w:leader="dot" w:pos="9016"/>
        </w:tabs>
        <w:ind w:left="720" w:hanging="720"/>
        <w:jc w:val="left"/>
        <w:rPr>
          <w:rFonts w:ascii="Arial" w:eastAsiaTheme="minorEastAsia" w:hAnsi="Arial" w:cs="Arial"/>
          <w:noProof/>
          <w:sz w:val="22"/>
          <w:szCs w:val="22"/>
          <w:lang w:val="en-GB" w:eastAsia="en-GB"/>
        </w:rPr>
      </w:pPr>
      <w:hyperlink w:anchor="_Toc92623705" w:history="1">
        <w:r w:rsidR="00C93471" w:rsidRPr="00835B56">
          <w:rPr>
            <w:rStyle w:val="Hyperlink"/>
            <w:rFonts w:ascii="Arial" w:hAnsi="Arial" w:cs="Arial"/>
            <w:noProof/>
          </w:rPr>
          <w:t>Table 5</w:t>
        </w:r>
        <w:r w:rsidR="00BF296C">
          <w:rPr>
            <w:rStyle w:val="Hyperlink"/>
            <w:rFonts w:ascii="Arial" w:hAnsi="Arial" w:cs="Arial"/>
            <w:noProof/>
          </w:rPr>
          <w:t>:</w:t>
        </w:r>
        <w:r w:rsidR="00C93471" w:rsidRPr="00835B56">
          <w:rPr>
            <w:rStyle w:val="Hyperlink"/>
            <w:rFonts w:ascii="Arial" w:hAnsi="Arial" w:cs="Arial"/>
            <w:noProof/>
          </w:rPr>
          <w:t xml:space="preserve"> South Africa’s cultural goods trade with selected regions 2019 (US$ millions and regional shares)</w:t>
        </w:r>
        <w:r w:rsidR="00C93471" w:rsidRPr="00835B56">
          <w:rPr>
            <w:rFonts w:ascii="Arial" w:hAnsi="Arial" w:cs="Arial"/>
            <w:noProof/>
            <w:webHidden/>
          </w:rPr>
          <w:tab/>
        </w:r>
        <w:r w:rsidR="00C93471" w:rsidRPr="00835B56">
          <w:rPr>
            <w:rFonts w:ascii="Arial" w:hAnsi="Arial" w:cs="Arial"/>
            <w:noProof/>
            <w:webHidden/>
          </w:rPr>
          <w:fldChar w:fldCharType="begin"/>
        </w:r>
        <w:r w:rsidR="00C93471" w:rsidRPr="00835B56">
          <w:rPr>
            <w:rFonts w:ascii="Arial" w:hAnsi="Arial" w:cs="Arial"/>
            <w:noProof/>
            <w:webHidden/>
          </w:rPr>
          <w:instrText xml:space="preserve"> PAGEREF _Toc92623705 \h </w:instrText>
        </w:r>
        <w:r w:rsidR="00C93471" w:rsidRPr="00835B56">
          <w:rPr>
            <w:rFonts w:ascii="Arial" w:hAnsi="Arial" w:cs="Arial"/>
            <w:noProof/>
            <w:webHidden/>
          </w:rPr>
        </w:r>
        <w:r w:rsidR="00C93471" w:rsidRPr="00835B56">
          <w:rPr>
            <w:rFonts w:ascii="Arial" w:hAnsi="Arial" w:cs="Arial"/>
            <w:noProof/>
            <w:webHidden/>
          </w:rPr>
          <w:fldChar w:fldCharType="separate"/>
        </w:r>
        <w:r w:rsidR="00682412">
          <w:rPr>
            <w:rFonts w:ascii="Arial" w:hAnsi="Arial" w:cs="Arial"/>
            <w:noProof/>
            <w:webHidden/>
          </w:rPr>
          <w:t>17</w:t>
        </w:r>
        <w:r w:rsidR="00C93471" w:rsidRPr="00835B56">
          <w:rPr>
            <w:rFonts w:ascii="Arial" w:hAnsi="Arial" w:cs="Arial"/>
            <w:noProof/>
            <w:webHidden/>
          </w:rPr>
          <w:fldChar w:fldCharType="end"/>
        </w:r>
      </w:hyperlink>
    </w:p>
    <w:p w14:paraId="39C3B7F9" w14:textId="663D3A77" w:rsidR="00C93471" w:rsidRPr="00835B56" w:rsidRDefault="001D6EEC" w:rsidP="00835B56">
      <w:pPr>
        <w:pStyle w:val="TableofFigures"/>
        <w:tabs>
          <w:tab w:val="right" w:leader="dot" w:pos="9016"/>
        </w:tabs>
        <w:ind w:left="720" w:hanging="720"/>
        <w:jc w:val="left"/>
        <w:rPr>
          <w:rFonts w:ascii="Arial" w:eastAsiaTheme="minorEastAsia" w:hAnsi="Arial" w:cs="Arial"/>
          <w:noProof/>
          <w:sz w:val="22"/>
          <w:szCs w:val="22"/>
          <w:lang w:val="en-GB" w:eastAsia="en-GB"/>
        </w:rPr>
      </w:pPr>
      <w:hyperlink w:anchor="_Toc92623706" w:history="1">
        <w:r w:rsidR="00C93471" w:rsidRPr="00835B56">
          <w:rPr>
            <w:rStyle w:val="Hyperlink"/>
            <w:rFonts w:ascii="Arial" w:hAnsi="Arial" w:cs="Arial"/>
            <w:noProof/>
          </w:rPr>
          <w:t>Table 6: South Africa’s cultural goods trade with USMCA and SADC: percentage shares in total bilateral trade</w:t>
        </w:r>
        <w:r w:rsidR="00C93471" w:rsidRPr="00835B56">
          <w:rPr>
            <w:rFonts w:ascii="Arial" w:hAnsi="Arial" w:cs="Arial"/>
            <w:noProof/>
            <w:webHidden/>
          </w:rPr>
          <w:tab/>
        </w:r>
        <w:r w:rsidR="00C93471" w:rsidRPr="00835B56">
          <w:rPr>
            <w:rFonts w:ascii="Arial" w:hAnsi="Arial" w:cs="Arial"/>
            <w:noProof/>
            <w:webHidden/>
          </w:rPr>
          <w:fldChar w:fldCharType="begin"/>
        </w:r>
        <w:r w:rsidR="00C93471" w:rsidRPr="00835B56">
          <w:rPr>
            <w:rFonts w:ascii="Arial" w:hAnsi="Arial" w:cs="Arial"/>
            <w:noProof/>
            <w:webHidden/>
          </w:rPr>
          <w:instrText xml:space="preserve"> PAGEREF _Toc92623706 \h </w:instrText>
        </w:r>
        <w:r w:rsidR="00C93471" w:rsidRPr="00835B56">
          <w:rPr>
            <w:rFonts w:ascii="Arial" w:hAnsi="Arial" w:cs="Arial"/>
            <w:noProof/>
            <w:webHidden/>
          </w:rPr>
        </w:r>
        <w:r w:rsidR="00C93471" w:rsidRPr="00835B56">
          <w:rPr>
            <w:rFonts w:ascii="Arial" w:hAnsi="Arial" w:cs="Arial"/>
            <w:noProof/>
            <w:webHidden/>
          </w:rPr>
          <w:fldChar w:fldCharType="separate"/>
        </w:r>
        <w:r w:rsidR="00682412">
          <w:rPr>
            <w:rFonts w:ascii="Arial" w:hAnsi="Arial" w:cs="Arial"/>
            <w:noProof/>
            <w:webHidden/>
          </w:rPr>
          <w:t>21</w:t>
        </w:r>
        <w:r w:rsidR="00C93471" w:rsidRPr="00835B56">
          <w:rPr>
            <w:rFonts w:ascii="Arial" w:hAnsi="Arial" w:cs="Arial"/>
            <w:noProof/>
            <w:webHidden/>
          </w:rPr>
          <w:fldChar w:fldCharType="end"/>
        </w:r>
      </w:hyperlink>
    </w:p>
    <w:p w14:paraId="2475A78C" w14:textId="448390A8" w:rsidR="00C93471" w:rsidRPr="00835B56" w:rsidRDefault="001D6EEC" w:rsidP="00835B56">
      <w:pPr>
        <w:pStyle w:val="TableofFigures"/>
        <w:tabs>
          <w:tab w:val="right" w:leader="dot" w:pos="9016"/>
        </w:tabs>
        <w:ind w:left="720" w:hanging="720"/>
        <w:jc w:val="left"/>
        <w:rPr>
          <w:rFonts w:ascii="Arial" w:eastAsiaTheme="minorEastAsia" w:hAnsi="Arial" w:cs="Arial"/>
          <w:noProof/>
          <w:sz w:val="22"/>
          <w:szCs w:val="22"/>
          <w:lang w:val="en-GB" w:eastAsia="en-GB"/>
        </w:rPr>
      </w:pPr>
      <w:hyperlink w:anchor="_Toc92623707" w:history="1">
        <w:r w:rsidR="00C93471" w:rsidRPr="00835B56">
          <w:rPr>
            <w:rStyle w:val="Hyperlink"/>
            <w:rFonts w:ascii="Arial" w:hAnsi="Arial" w:cs="Arial"/>
            <w:noProof/>
          </w:rPr>
          <w:t>Table 7: South Africa’s cultural goods trade by domain with USMCA and SADC, 2019 and 2020</w:t>
        </w:r>
        <w:r w:rsidR="00C93471" w:rsidRPr="00835B56">
          <w:rPr>
            <w:rFonts w:ascii="Arial" w:hAnsi="Arial" w:cs="Arial"/>
            <w:noProof/>
            <w:webHidden/>
          </w:rPr>
          <w:tab/>
        </w:r>
        <w:r w:rsidR="00C93471" w:rsidRPr="00835B56">
          <w:rPr>
            <w:rFonts w:ascii="Arial" w:hAnsi="Arial" w:cs="Arial"/>
            <w:noProof/>
            <w:webHidden/>
          </w:rPr>
          <w:fldChar w:fldCharType="begin"/>
        </w:r>
        <w:r w:rsidR="00C93471" w:rsidRPr="00835B56">
          <w:rPr>
            <w:rFonts w:ascii="Arial" w:hAnsi="Arial" w:cs="Arial"/>
            <w:noProof/>
            <w:webHidden/>
          </w:rPr>
          <w:instrText xml:space="preserve"> PAGEREF _Toc92623707 \h </w:instrText>
        </w:r>
        <w:r w:rsidR="00C93471" w:rsidRPr="00835B56">
          <w:rPr>
            <w:rFonts w:ascii="Arial" w:hAnsi="Arial" w:cs="Arial"/>
            <w:noProof/>
            <w:webHidden/>
          </w:rPr>
        </w:r>
        <w:r w:rsidR="00C93471" w:rsidRPr="00835B56">
          <w:rPr>
            <w:rFonts w:ascii="Arial" w:hAnsi="Arial" w:cs="Arial"/>
            <w:noProof/>
            <w:webHidden/>
          </w:rPr>
          <w:fldChar w:fldCharType="separate"/>
        </w:r>
        <w:r w:rsidR="00682412">
          <w:rPr>
            <w:rFonts w:ascii="Arial" w:hAnsi="Arial" w:cs="Arial"/>
            <w:noProof/>
            <w:webHidden/>
          </w:rPr>
          <w:t>23</w:t>
        </w:r>
        <w:r w:rsidR="00C93471" w:rsidRPr="00835B56">
          <w:rPr>
            <w:rFonts w:ascii="Arial" w:hAnsi="Arial" w:cs="Arial"/>
            <w:noProof/>
            <w:webHidden/>
          </w:rPr>
          <w:fldChar w:fldCharType="end"/>
        </w:r>
      </w:hyperlink>
    </w:p>
    <w:p w14:paraId="50A96267" w14:textId="7ADD2AE7" w:rsidR="00C93471" w:rsidRPr="00835B56" w:rsidRDefault="001D6EEC" w:rsidP="00835B56">
      <w:pPr>
        <w:pStyle w:val="TableofFigures"/>
        <w:tabs>
          <w:tab w:val="right" w:leader="dot" w:pos="9016"/>
        </w:tabs>
        <w:ind w:left="720" w:hanging="720"/>
        <w:jc w:val="left"/>
        <w:rPr>
          <w:rFonts w:ascii="Arial" w:eastAsiaTheme="minorEastAsia" w:hAnsi="Arial" w:cs="Arial"/>
          <w:noProof/>
          <w:sz w:val="22"/>
          <w:szCs w:val="22"/>
          <w:lang w:val="en-GB" w:eastAsia="en-GB"/>
        </w:rPr>
      </w:pPr>
      <w:hyperlink w:anchor="_Toc92623708" w:history="1">
        <w:r w:rsidR="00C93471" w:rsidRPr="00835B56">
          <w:rPr>
            <w:rStyle w:val="Hyperlink"/>
            <w:rFonts w:ascii="Arial" w:hAnsi="Arial" w:cs="Arial"/>
            <w:noProof/>
          </w:rPr>
          <w:t>Table 8: South Africa’s intra-industry trade (trade-weighted Grubel-Lloyd indices) by domain and partner, 2019</w:t>
        </w:r>
        <w:r w:rsidR="00C93471" w:rsidRPr="00835B56">
          <w:rPr>
            <w:rFonts w:ascii="Arial" w:hAnsi="Arial" w:cs="Arial"/>
            <w:noProof/>
            <w:webHidden/>
          </w:rPr>
          <w:tab/>
        </w:r>
        <w:r w:rsidR="00C93471" w:rsidRPr="00835B56">
          <w:rPr>
            <w:rFonts w:ascii="Arial" w:hAnsi="Arial" w:cs="Arial"/>
            <w:noProof/>
            <w:webHidden/>
          </w:rPr>
          <w:fldChar w:fldCharType="begin"/>
        </w:r>
        <w:r w:rsidR="00C93471" w:rsidRPr="00835B56">
          <w:rPr>
            <w:rFonts w:ascii="Arial" w:hAnsi="Arial" w:cs="Arial"/>
            <w:noProof/>
            <w:webHidden/>
          </w:rPr>
          <w:instrText xml:space="preserve"> PAGEREF _Toc92623708 \h </w:instrText>
        </w:r>
        <w:r w:rsidR="00C93471" w:rsidRPr="00835B56">
          <w:rPr>
            <w:rFonts w:ascii="Arial" w:hAnsi="Arial" w:cs="Arial"/>
            <w:noProof/>
            <w:webHidden/>
          </w:rPr>
        </w:r>
        <w:r w:rsidR="00C93471" w:rsidRPr="00835B56">
          <w:rPr>
            <w:rFonts w:ascii="Arial" w:hAnsi="Arial" w:cs="Arial"/>
            <w:noProof/>
            <w:webHidden/>
          </w:rPr>
          <w:fldChar w:fldCharType="separate"/>
        </w:r>
        <w:r w:rsidR="00682412">
          <w:rPr>
            <w:rFonts w:ascii="Arial" w:hAnsi="Arial" w:cs="Arial"/>
            <w:noProof/>
            <w:webHidden/>
          </w:rPr>
          <w:t>24</w:t>
        </w:r>
        <w:r w:rsidR="00C93471" w:rsidRPr="00835B56">
          <w:rPr>
            <w:rFonts w:ascii="Arial" w:hAnsi="Arial" w:cs="Arial"/>
            <w:noProof/>
            <w:webHidden/>
          </w:rPr>
          <w:fldChar w:fldCharType="end"/>
        </w:r>
      </w:hyperlink>
    </w:p>
    <w:p w14:paraId="0D30DA45" w14:textId="21CD5EC5" w:rsidR="00C93471" w:rsidRPr="00835B56" w:rsidRDefault="001D6EEC" w:rsidP="00835B56">
      <w:pPr>
        <w:pStyle w:val="TableofFigures"/>
        <w:tabs>
          <w:tab w:val="right" w:leader="dot" w:pos="9016"/>
        </w:tabs>
        <w:ind w:left="720" w:hanging="720"/>
        <w:jc w:val="left"/>
        <w:rPr>
          <w:rFonts w:ascii="Arial" w:eastAsiaTheme="minorEastAsia" w:hAnsi="Arial" w:cs="Arial"/>
          <w:noProof/>
          <w:sz w:val="22"/>
          <w:szCs w:val="22"/>
          <w:lang w:val="en-GB" w:eastAsia="en-GB"/>
        </w:rPr>
      </w:pPr>
      <w:hyperlink w:anchor="_Toc92623709" w:history="1">
        <w:r w:rsidR="00C93471" w:rsidRPr="00835B56">
          <w:rPr>
            <w:rStyle w:val="Hyperlink"/>
            <w:rFonts w:ascii="Arial" w:hAnsi="Arial" w:cs="Arial"/>
            <w:noProof/>
          </w:rPr>
          <w:t>Table 9: Trade complementarity indices (%) between South Africa and selected regions, 2019</w:t>
        </w:r>
        <w:r w:rsidR="00C93471" w:rsidRPr="00835B56">
          <w:rPr>
            <w:rFonts w:ascii="Arial" w:hAnsi="Arial" w:cs="Arial"/>
            <w:noProof/>
            <w:webHidden/>
          </w:rPr>
          <w:tab/>
        </w:r>
        <w:r w:rsidR="00C93471" w:rsidRPr="00835B56">
          <w:rPr>
            <w:rFonts w:ascii="Arial" w:hAnsi="Arial" w:cs="Arial"/>
            <w:noProof/>
            <w:webHidden/>
          </w:rPr>
          <w:fldChar w:fldCharType="begin"/>
        </w:r>
        <w:r w:rsidR="00C93471" w:rsidRPr="00835B56">
          <w:rPr>
            <w:rFonts w:ascii="Arial" w:hAnsi="Arial" w:cs="Arial"/>
            <w:noProof/>
            <w:webHidden/>
          </w:rPr>
          <w:instrText xml:space="preserve"> PAGEREF _Toc92623709 \h </w:instrText>
        </w:r>
        <w:r w:rsidR="00C93471" w:rsidRPr="00835B56">
          <w:rPr>
            <w:rFonts w:ascii="Arial" w:hAnsi="Arial" w:cs="Arial"/>
            <w:noProof/>
            <w:webHidden/>
          </w:rPr>
        </w:r>
        <w:r w:rsidR="00C93471" w:rsidRPr="00835B56">
          <w:rPr>
            <w:rFonts w:ascii="Arial" w:hAnsi="Arial" w:cs="Arial"/>
            <w:noProof/>
            <w:webHidden/>
          </w:rPr>
          <w:fldChar w:fldCharType="separate"/>
        </w:r>
        <w:r w:rsidR="00682412">
          <w:rPr>
            <w:rFonts w:ascii="Arial" w:hAnsi="Arial" w:cs="Arial"/>
            <w:noProof/>
            <w:webHidden/>
          </w:rPr>
          <w:t>26</w:t>
        </w:r>
        <w:r w:rsidR="00C93471" w:rsidRPr="00835B56">
          <w:rPr>
            <w:rFonts w:ascii="Arial" w:hAnsi="Arial" w:cs="Arial"/>
            <w:noProof/>
            <w:webHidden/>
          </w:rPr>
          <w:fldChar w:fldCharType="end"/>
        </w:r>
      </w:hyperlink>
    </w:p>
    <w:p w14:paraId="26323C2B" w14:textId="0C0971EF" w:rsidR="00C93471" w:rsidRPr="00835B56" w:rsidRDefault="001D6EEC" w:rsidP="00835B56">
      <w:pPr>
        <w:pStyle w:val="TableofFigures"/>
        <w:tabs>
          <w:tab w:val="right" w:leader="dot" w:pos="9016"/>
        </w:tabs>
        <w:ind w:left="720" w:hanging="720"/>
        <w:jc w:val="left"/>
        <w:rPr>
          <w:rFonts w:ascii="Arial" w:eastAsiaTheme="minorEastAsia" w:hAnsi="Arial" w:cs="Arial"/>
          <w:noProof/>
          <w:sz w:val="22"/>
          <w:szCs w:val="22"/>
          <w:lang w:val="en-GB" w:eastAsia="en-GB"/>
        </w:rPr>
      </w:pPr>
      <w:hyperlink w:anchor="_Toc92623710" w:history="1">
        <w:r w:rsidR="00C93471" w:rsidRPr="00835B56">
          <w:rPr>
            <w:rStyle w:val="Hyperlink"/>
            <w:rFonts w:ascii="Arial" w:hAnsi="Arial" w:cs="Arial"/>
            <w:noProof/>
          </w:rPr>
          <w:t>Table 10</w:t>
        </w:r>
        <w:r w:rsidR="00BF296C">
          <w:rPr>
            <w:rStyle w:val="Hyperlink"/>
            <w:rFonts w:ascii="Arial" w:hAnsi="Arial" w:cs="Arial"/>
            <w:noProof/>
          </w:rPr>
          <w:t>:</w:t>
        </w:r>
        <w:r w:rsidR="00C93471" w:rsidRPr="00835B56">
          <w:rPr>
            <w:rStyle w:val="Hyperlink"/>
            <w:rFonts w:ascii="Arial" w:hAnsi="Arial" w:cs="Arial"/>
            <w:noProof/>
          </w:rPr>
          <w:t xml:space="preserve"> South Africa’s trade in services sectors relevant for cultural services trade 2018</w:t>
        </w:r>
        <w:r w:rsidR="007165FB">
          <w:rPr>
            <w:rStyle w:val="Hyperlink"/>
            <w:rFonts w:ascii="Arial" w:hAnsi="Arial" w:cs="Arial"/>
            <w:noProof/>
          </w:rPr>
          <w:t>–</w:t>
        </w:r>
        <w:r w:rsidR="00C93471" w:rsidRPr="00835B56">
          <w:rPr>
            <w:rStyle w:val="Hyperlink"/>
            <w:rFonts w:ascii="Arial" w:hAnsi="Arial" w:cs="Arial"/>
            <w:noProof/>
          </w:rPr>
          <w:t>2020</w:t>
        </w:r>
        <w:r w:rsidR="00C93471" w:rsidRPr="00835B56">
          <w:rPr>
            <w:rFonts w:ascii="Arial" w:hAnsi="Arial" w:cs="Arial"/>
            <w:noProof/>
            <w:webHidden/>
          </w:rPr>
          <w:tab/>
        </w:r>
        <w:r w:rsidR="00C93471" w:rsidRPr="00835B56">
          <w:rPr>
            <w:rFonts w:ascii="Arial" w:hAnsi="Arial" w:cs="Arial"/>
            <w:noProof/>
            <w:webHidden/>
          </w:rPr>
          <w:fldChar w:fldCharType="begin"/>
        </w:r>
        <w:r w:rsidR="00C93471" w:rsidRPr="00835B56">
          <w:rPr>
            <w:rFonts w:ascii="Arial" w:hAnsi="Arial" w:cs="Arial"/>
            <w:noProof/>
            <w:webHidden/>
          </w:rPr>
          <w:instrText xml:space="preserve"> PAGEREF _Toc92623710 \h </w:instrText>
        </w:r>
        <w:r w:rsidR="00C93471" w:rsidRPr="00835B56">
          <w:rPr>
            <w:rFonts w:ascii="Arial" w:hAnsi="Arial" w:cs="Arial"/>
            <w:noProof/>
            <w:webHidden/>
          </w:rPr>
        </w:r>
        <w:r w:rsidR="00C93471" w:rsidRPr="00835B56">
          <w:rPr>
            <w:rFonts w:ascii="Arial" w:hAnsi="Arial" w:cs="Arial"/>
            <w:noProof/>
            <w:webHidden/>
          </w:rPr>
          <w:fldChar w:fldCharType="separate"/>
        </w:r>
        <w:r w:rsidR="00682412">
          <w:rPr>
            <w:rFonts w:ascii="Arial" w:hAnsi="Arial" w:cs="Arial"/>
            <w:noProof/>
            <w:webHidden/>
          </w:rPr>
          <w:t>28</w:t>
        </w:r>
        <w:r w:rsidR="00C93471" w:rsidRPr="00835B56">
          <w:rPr>
            <w:rFonts w:ascii="Arial" w:hAnsi="Arial" w:cs="Arial"/>
            <w:noProof/>
            <w:webHidden/>
          </w:rPr>
          <w:fldChar w:fldCharType="end"/>
        </w:r>
      </w:hyperlink>
    </w:p>
    <w:p w14:paraId="22D9564D" w14:textId="77777777" w:rsidR="00AD50E8" w:rsidRDefault="0075592F" w:rsidP="00835B56">
      <w:r w:rsidRPr="0075592F">
        <w:fldChar w:fldCharType="end"/>
      </w:r>
      <w:bookmarkStart w:id="8" w:name="_Toc92623029"/>
    </w:p>
    <w:p w14:paraId="55114954" w14:textId="15C0DC8A" w:rsidR="00214C7A" w:rsidRDefault="00214C7A" w:rsidP="00214C7A">
      <w:pPr>
        <w:pStyle w:val="Heading1"/>
        <w:numPr>
          <w:ilvl w:val="0"/>
          <w:numId w:val="0"/>
        </w:numPr>
        <w:ind w:left="432" w:hanging="432"/>
      </w:pPr>
      <w:r>
        <w:t>List of Figures</w:t>
      </w:r>
      <w:bookmarkEnd w:id="8"/>
    </w:p>
    <w:p w14:paraId="5D66EA8D" w14:textId="4465C219" w:rsidR="00AD50E8" w:rsidRPr="00835B56" w:rsidRDefault="0075592F" w:rsidP="00835B56">
      <w:pPr>
        <w:pStyle w:val="TableofFigures"/>
        <w:tabs>
          <w:tab w:val="right" w:leader="dot" w:pos="9016"/>
        </w:tabs>
        <w:ind w:left="720" w:hanging="720"/>
        <w:jc w:val="left"/>
        <w:rPr>
          <w:rFonts w:ascii="Arial" w:eastAsiaTheme="minorEastAsia" w:hAnsi="Arial" w:cs="Arial"/>
          <w:noProof/>
          <w:sz w:val="22"/>
          <w:szCs w:val="22"/>
          <w:lang w:val="en-GB" w:eastAsia="en-GB"/>
        </w:rPr>
      </w:pPr>
      <w:r w:rsidRPr="0075592F">
        <w:rPr>
          <w:rFonts w:eastAsiaTheme="majorEastAsia"/>
          <w:b/>
          <w:color w:val="2E74B5" w:themeColor="accent1" w:themeShade="BF"/>
          <w:sz w:val="22"/>
          <w:szCs w:val="22"/>
        </w:rPr>
        <w:fldChar w:fldCharType="begin"/>
      </w:r>
      <w:r w:rsidRPr="0075592F">
        <w:rPr>
          <w:rFonts w:eastAsiaTheme="majorEastAsia"/>
          <w:b/>
          <w:color w:val="2E74B5" w:themeColor="accent1" w:themeShade="BF"/>
          <w:sz w:val="22"/>
          <w:szCs w:val="22"/>
        </w:rPr>
        <w:instrText xml:space="preserve"> TOC \h \z \c "Figure" </w:instrText>
      </w:r>
      <w:r w:rsidRPr="0075592F">
        <w:rPr>
          <w:rFonts w:eastAsiaTheme="majorEastAsia"/>
          <w:b/>
          <w:color w:val="2E74B5" w:themeColor="accent1" w:themeShade="BF"/>
          <w:sz w:val="22"/>
          <w:szCs w:val="22"/>
        </w:rPr>
        <w:fldChar w:fldCharType="separate"/>
      </w:r>
      <w:hyperlink w:anchor="_Toc92623759" w:history="1">
        <w:r w:rsidR="00AD50E8" w:rsidRPr="00835B56">
          <w:rPr>
            <w:rStyle w:val="Hyperlink"/>
            <w:rFonts w:ascii="Arial" w:hAnsi="Arial" w:cs="Arial"/>
            <w:noProof/>
          </w:rPr>
          <w:t>Figure 1: South Africa’s cultural goods trade 2017Q1-2021Q3 (current US$ millions)</w:t>
        </w:r>
        <w:r w:rsidR="00AD50E8" w:rsidRPr="00835B56">
          <w:rPr>
            <w:rFonts w:ascii="Arial" w:hAnsi="Arial" w:cs="Arial"/>
            <w:noProof/>
            <w:webHidden/>
          </w:rPr>
          <w:tab/>
        </w:r>
        <w:r w:rsidR="00AD50E8" w:rsidRPr="00835B56">
          <w:rPr>
            <w:rFonts w:ascii="Arial" w:hAnsi="Arial" w:cs="Arial"/>
            <w:noProof/>
            <w:webHidden/>
          </w:rPr>
          <w:fldChar w:fldCharType="begin"/>
        </w:r>
        <w:r w:rsidR="00AD50E8" w:rsidRPr="00835B56">
          <w:rPr>
            <w:rFonts w:ascii="Arial" w:hAnsi="Arial" w:cs="Arial"/>
            <w:noProof/>
            <w:webHidden/>
          </w:rPr>
          <w:instrText xml:space="preserve"> PAGEREF _Toc92623759 \h </w:instrText>
        </w:r>
        <w:r w:rsidR="00AD50E8" w:rsidRPr="00835B56">
          <w:rPr>
            <w:rFonts w:ascii="Arial" w:hAnsi="Arial" w:cs="Arial"/>
            <w:noProof/>
            <w:webHidden/>
          </w:rPr>
        </w:r>
        <w:r w:rsidR="00AD50E8" w:rsidRPr="00835B56">
          <w:rPr>
            <w:rFonts w:ascii="Arial" w:hAnsi="Arial" w:cs="Arial"/>
            <w:noProof/>
            <w:webHidden/>
          </w:rPr>
          <w:fldChar w:fldCharType="separate"/>
        </w:r>
        <w:r w:rsidR="00682412">
          <w:rPr>
            <w:rFonts w:ascii="Arial" w:hAnsi="Arial" w:cs="Arial"/>
            <w:noProof/>
            <w:webHidden/>
          </w:rPr>
          <w:t>15</w:t>
        </w:r>
        <w:r w:rsidR="00AD50E8" w:rsidRPr="00835B56">
          <w:rPr>
            <w:rFonts w:ascii="Arial" w:hAnsi="Arial" w:cs="Arial"/>
            <w:noProof/>
            <w:webHidden/>
          </w:rPr>
          <w:fldChar w:fldCharType="end"/>
        </w:r>
      </w:hyperlink>
    </w:p>
    <w:p w14:paraId="50411BA2" w14:textId="761DD97A" w:rsidR="00AD50E8" w:rsidRPr="00835B56" w:rsidRDefault="001D6EEC" w:rsidP="00835B56">
      <w:pPr>
        <w:pStyle w:val="TableofFigures"/>
        <w:tabs>
          <w:tab w:val="right" w:leader="dot" w:pos="9016"/>
        </w:tabs>
        <w:ind w:left="720" w:hanging="720"/>
        <w:jc w:val="left"/>
        <w:rPr>
          <w:rFonts w:ascii="Arial" w:eastAsiaTheme="minorEastAsia" w:hAnsi="Arial" w:cs="Arial"/>
          <w:noProof/>
          <w:sz w:val="22"/>
          <w:szCs w:val="22"/>
          <w:lang w:val="en-GB" w:eastAsia="en-GB"/>
        </w:rPr>
      </w:pPr>
      <w:hyperlink w:anchor="_Toc92623760" w:history="1">
        <w:r w:rsidR="00AD50E8" w:rsidRPr="00835B56">
          <w:rPr>
            <w:rStyle w:val="Hyperlink"/>
            <w:rFonts w:ascii="Arial" w:hAnsi="Arial" w:cs="Arial"/>
            <w:noProof/>
          </w:rPr>
          <w:t>Figure 2: South Africa’s total commodity trade 2017Q1-2021Q3 (current US$ millions)</w:t>
        </w:r>
        <w:r w:rsidR="00AD50E8" w:rsidRPr="00835B56">
          <w:rPr>
            <w:rFonts w:ascii="Arial" w:hAnsi="Arial" w:cs="Arial"/>
            <w:noProof/>
            <w:webHidden/>
          </w:rPr>
          <w:tab/>
        </w:r>
        <w:r w:rsidR="00AD50E8" w:rsidRPr="00835B56">
          <w:rPr>
            <w:rFonts w:ascii="Arial" w:hAnsi="Arial" w:cs="Arial"/>
            <w:noProof/>
            <w:webHidden/>
          </w:rPr>
          <w:fldChar w:fldCharType="begin"/>
        </w:r>
        <w:r w:rsidR="00AD50E8" w:rsidRPr="00835B56">
          <w:rPr>
            <w:rFonts w:ascii="Arial" w:hAnsi="Arial" w:cs="Arial"/>
            <w:noProof/>
            <w:webHidden/>
          </w:rPr>
          <w:instrText xml:space="preserve"> PAGEREF _Toc92623760 \h </w:instrText>
        </w:r>
        <w:r w:rsidR="00AD50E8" w:rsidRPr="00835B56">
          <w:rPr>
            <w:rFonts w:ascii="Arial" w:hAnsi="Arial" w:cs="Arial"/>
            <w:noProof/>
            <w:webHidden/>
          </w:rPr>
        </w:r>
        <w:r w:rsidR="00AD50E8" w:rsidRPr="00835B56">
          <w:rPr>
            <w:rFonts w:ascii="Arial" w:hAnsi="Arial" w:cs="Arial"/>
            <w:noProof/>
            <w:webHidden/>
          </w:rPr>
          <w:fldChar w:fldCharType="separate"/>
        </w:r>
        <w:r w:rsidR="00682412">
          <w:rPr>
            <w:rFonts w:ascii="Arial" w:hAnsi="Arial" w:cs="Arial"/>
            <w:noProof/>
            <w:webHidden/>
          </w:rPr>
          <w:t>15</w:t>
        </w:r>
        <w:r w:rsidR="00AD50E8" w:rsidRPr="00835B56">
          <w:rPr>
            <w:rFonts w:ascii="Arial" w:hAnsi="Arial" w:cs="Arial"/>
            <w:noProof/>
            <w:webHidden/>
          </w:rPr>
          <w:fldChar w:fldCharType="end"/>
        </w:r>
      </w:hyperlink>
    </w:p>
    <w:p w14:paraId="6CCDEBB8" w14:textId="45B04800" w:rsidR="00AD50E8" w:rsidRPr="00835B56" w:rsidRDefault="001D6EEC" w:rsidP="00835B56">
      <w:pPr>
        <w:pStyle w:val="TableofFigures"/>
        <w:tabs>
          <w:tab w:val="right" w:leader="dot" w:pos="9016"/>
        </w:tabs>
        <w:ind w:left="720" w:hanging="720"/>
        <w:jc w:val="left"/>
        <w:rPr>
          <w:rFonts w:ascii="Arial" w:eastAsiaTheme="minorEastAsia" w:hAnsi="Arial" w:cs="Arial"/>
          <w:noProof/>
          <w:sz w:val="22"/>
          <w:szCs w:val="22"/>
          <w:lang w:val="en-GB" w:eastAsia="en-GB"/>
        </w:rPr>
      </w:pPr>
      <w:hyperlink w:anchor="_Toc92623761" w:history="1">
        <w:r w:rsidR="00AD50E8" w:rsidRPr="00835B56">
          <w:rPr>
            <w:rStyle w:val="Hyperlink"/>
            <w:rFonts w:ascii="Arial" w:hAnsi="Arial" w:cs="Arial"/>
            <w:noProof/>
          </w:rPr>
          <w:t>Figure 3</w:t>
        </w:r>
        <w:r w:rsidR="000B7B6B">
          <w:rPr>
            <w:rStyle w:val="Hyperlink"/>
            <w:rFonts w:ascii="Arial" w:hAnsi="Arial" w:cs="Arial"/>
            <w:noProof/>
          </w:rPr>
          <w:t>:</w:t>
        </w:r>
        <w:r w:rsidR="00AD50E8" w:rsidRPr="00835B56">
          <w:rPr>
            <w:rStyle w:val="Hyperlink"/>
            <w:rFonts w:ascii="Arial" w:hAnsi="Arial" w:cs="Arial"/>
            <w:noProof/>
          </w:rPr>
          <w:t xml:space="preserve"> South Africa’s cultural goods exports and imports by domain: 2016</w:t>
        </w:r>
        <w:r w:rsidR="007165FB">
          <w:rPr>
            <w:rStyle w:val="Hyperlink"/>
            <w:rFonts w:ascii="Arial" w:hAnsi="Arial" w:cs="Arial"/>
            <w:noProof/>
          </w:rPr>
          <w:t>–</w:t>
        </w:r>
        <w:r w:rsidR="00AD50E8" w:rsidRPr="00835B56">
          <w:rPr>
            <w:rStyle w:val="Hyperlink"/>
            <w:rFonts w:ascii="Arial" w:hAnsi="Arial" w:cs="Arial"/>
            <w:noProof/>
          </w:rPr>
          <w:t>2018 and 2019</w:t>
        </w:r>
        <w:r w:rsidR="007165FB">
          <w:rPr>
            <w:rStyle w:val="Hyperlink"/>
            <w:rFonts w:ascii="Arial" w:hAnsi="Arial" w:cs="Arial"/>
            <w:noProof/>
          </w:rPr>
          <w:t>–</w:t>
        </w:r>
        <w:r w:rsidR="00AD50E8" w:rsidRPr="00835B56">
          <w:rPr>
            <w:rStyle w:val="Hyperlink"/>
            <w:rFonts w:ascii="Arial" w:hAnsi="Arial" w:cs="Arial"/>
            <w:noProof/>
          </w:rPr>
          <w:t>2020 averages compared (US$ millions)</w:t>
        </w:r>
        <w:r w:rsidR="00AD50E8" w:rsidRPr="00835B56">
          <w:rPr>
            <w:rFonts w:ascii="Arial" w:hAnsi="Arial" w:cs="Arial"/>
            <w:noProof/>
            <w:webHidden/>
          </w:rPr>
          <w:tab/>
        </w:r>
        <w:r w:rsidR="00AD50E8" w:rsidRPr="00835B56">
          <w:rPr>
            <w:rFonts w:ascii="Arial" w:hAnsi="Arial" w:cs="Arial"/>
            <w:noProof/>
            <w:webHidden/>
          </w:rPr>
          <w:fldChar w:fldCharType="begin"/>
        </w:r>
        <w:r w:rsidR="00AD50E8" w:rsidRPr="00835B56">
          <w:rPr>
            <w:rFonts w:ascii="Arial" w:hAnsi="Arial" w:cs="Arial"/>
            <w:noProof/>
            <w:webHidden/>
          </w:rPr>
          <w:instrText xml:space="preserve"> PAGEREF _Toc92623761 \h </w:instrText>
        </w:r>
        <w:r w:rsidR="00AD50E8" w:rsidRPr="00835B56">
          <w:rPr>
            <w:rFonts w:ascii="Arial" w:hAnsi="Arial" w:cs="Arial"/>
            <w:noProof/>
            <w:webHidden/>
          </w:rPr>
        </w:r>
        <w:r w:rsidR="00AD50E8" w:rsidRPr="00835B56">
          <w:rPr>
            <w:rFonts w:ascii="Arial" w:hAnsi="Arial" w:cs="Arial"/>
            <w:noProof/>
            <w:webHidden/>
          </w:rPr>
          <w:fldChar w:fldCharType="separate"/>
        </w:r>
        <w:r w:rsidR="00682412">
          <w:rPr>
            <w:rFonts w:ascii="Arial" w:hAnsi="Arial" w:cs="Arial"/>
            <w:noProof/>
            <w:webHidden/>
          </w:rPr>
          <w:t>16</w:t>
        </w:r>
        <w:r w:rsidR="00AD50E8" w:rsidRPr="00835B56">
          <w:rPr>
            <w:rFonts w:ascii="Arial" w:hAnsi="Arial" w:cs="Arial"/>
            <w:noProof/>
            <w:webHidden/>
          </w:rPr>
          <w:fldChar w:fldCharType="end"/>
        </w:r>
      </w:hyperlink>
    </w:p>
    <w:p w14:paraId="32D8D1D4" w14:textId="69374273" w:rsidR="00AD50E8" w:rsidRPr="00835B56" w:rsidRDefault="001D6EEC" w:rsidP="00835B56">
      <w:pPr>
        <w:pStyle w:val="TableofFigures"/>
        <w:tabs>
          <w:tab w:val="right" w:leader="dot" w:pos="9016"/>
        </w:tabs>
        <w:ind w:left="720" w:hanging="720"/>
        <w:jc w:val="left"/>
        <w:rPr>
          <w:rFonts w:ascii="Arial" w:eastAsiaTheme="minorEastAsia" w:hAnsi="Arial" w:cs="Arial"/>
          <w:noProof/>
          <w:sz w:val="22"/>
          <w:szCs w:val="22"/>
          <w:lang w:val="en-GB" w:eastAsia="en-GB"/>
        </w:rPr>
      </w:pPr>
      <w:hyperlink w:anchor="_Toc92623762" w:history="1">
        <w:r w:rsidR="00AD50E8" w:rsidRPr="00835B56">
          <w:rPr>
            <w:rStyle w:val="Hyperlink"/>
            <w:rFonts w:ascii="Arial" w:hAnsi="Arial" w:cs="Arial"/>
            <w:noProof/>
          </w:rPr>
          <w:t>Figure 4: South Africa’s cultural goods trade with USMCA 2001</w:t>
        </w:r>
        <w:r w:rsidR="007165FB">
          <w:rPr>
            <w:rStyle w:val="Hyperlink"/>
            <w:rFonts w:ascii="Arial" w:hAnsi="Arial" w:cs="Arial"/>
            <w:noProof/>
          </w:rPr>
          <w:t>–</w:t>
        </w:r>
        <w:r w:rsidR="00AD50E8" w:rsidRPr="00835B56">
          <w:rPr>
            <w:rStyle w:val="Hyperlink"/>
            <w:rFonts w:ascii="Arial" w:hAnsi="Arial" w:cs="Arial"/>
            <w:noProof/>
          </w:rPr>
          <w:t>2020 (US$ millions)</w:t>
        </w:r>
        <w:r w:rsidR="00AD50E8" w:rsidRPr="00835B56">
          <w:rPr>
            <w:rFonts w:ascii="Arial" w:hAnsi="Arial" w:cs="Arial"/>
            <w:noProof/>
            <w:webHidden/>
          </w:rPr>
          <w:tab/>
        </w:r>
        <w:r w:rsidR="00AD50E8" w:rsidRPr="00835B56">
          <w:rPr>
            <w:rFonts w:ascii="Arial" w:hAnsi="Arial" w:cs="Arial"/>
            <w:noProof/>
            <w:webHidden/>
          </w:rPr>
          <w:fldChar w:fldCharType="begin"/>
        </w:r>
        <w:r w:rsidR="00AD50E8" w:rsidRPr="00835B56">
          <w:rPr>
            <w:rFonts w:ascii="Arial" w:hAnsi="Arial" w:cs="Arial"/>
            <w:noProof/>
            <w:webHidden/>
          </w:rPr>
          <w:instrText xml:space="preserve"> PAGEREF _Toc92623762 \h </w:instrText>
        </w:r>
        <w:r w:rsidR="00AD50E8" w:rsidRPr="00835B56">
          <w:rPr>
            <w:rFonts w:ascii="Arial" w:hAnsi="Arial" w:cs="Arial"/>
            <w:noProof/>
            <w:webHidden/>
          </w:rPr>
        </w:r>
        <w:r w:rsidR="00AD50E8" w:rsidRPr="00835B56">
          <w:rPr>
            <w:rFonts w:ascii="Arial" w:hAnsi="Arial" w:cs="Arial"/>
            <w:noProof/>
            <w:webHidden/>
          </w:rPr>
          <w:fldChar w:fldCharType="separate"/>
        </w:r>
        <w:r w:rsidR="00682412">
          <w:rPr>
            <w:rFonts w:ascii="Arial" w:hAnsi="Arial" w:cs="Arial"/>
            <w:noProof/>
            <w:webHidden/>
          </w:rPr>
          <w:t>20</w:t>
        </w:r>
        <w:r w:rsidR="00AD50E8" w:rsidRPr="00835B56">
          <w:rPr>
            <w:rFonts w:ascii="Arial" w:hAnsi="Arial" w:cs="Arial"/>
            <w:noProof/>
            <w:webHidden/>
          </w:rPr>
          <w:fldChar w:fldCharType="end"/>
        </w:r>
      </w:hyperlink>
    </w:p>
    <w:p w14:paraId="42F67FB7" w14:textId="17EA3169" w:rsidR="00AD50E8" w:rsidRPr="00835B56" w:rsidRDefault="001D6EEC" w:rsidP="00835B56">
      <w:pPr>
        <w:pStyle w:val="TableofFigures"/>
        <w:tabs>
          <w:tab w:val="right" w:leader="dot" w:pos="9016"/>
        </w:tabs>
        <w:ind w:left="720" w:hanging="720"/>
        <w:jc w:val="left"/>
        <w:rPr>
          <w:rFonts w:ascii="Arial" w:eastAsiaTheme="minorEastAsia" w:hAnsi="Arial" w:cs="Arial"/>
          <w:noProof/>
          <w:sz w:val="22"/>
          <w:szCs w:val="22"/>
          <w:lang w:val="en-GB" w:eastAsia="en-GB"/>
        </w:rPr>
      </w:pPr>
      <w:hyperlink w:anchor="_Toc92623763" w:history="1">
        <w:r w:rsidR="00AD50E8" w:rsidRPr="00835B56">
          <w:rPr>
            <w:rStyle w:val="Hyperlink"/>
            <w:rFonts w:ascii="Arial" w:hAnsi="Arial" w:cs="Arial"/>
            <w:noProof/>
          </w:rPr>
          <w:t>Figure 5: South Africa’s cultural goods trade with SADC 2001</w:t>
        </w:r>
        <w:r w:rsidR="007165FB">
          <w:rPr>
            <w:rStyle w:val="Hyperlink"/>
            <w:rFonts w:ascii="Arial" w:hAnsi="Arial" w:cs="Arial"/>
            <w:noProof/>
          </w:rPr>
          <w:t>–</w:t>
        </w:r>
        <w:r w:rsidR="00AD50E8" w:rsidRPr="00835B56">
          <w:rPr>
            <w:rStyle w:val="Hyperlink"/>
            <w:rFonts w:ascii="Arial" w:hAnsi="Arial" w:cs="Arial"/>
            <w:noProof/>
          </w:rPr>
          <w:t>2020 (US$ millions)</w:t>
        </w:r>
        <w:r w:rsidR="00AD50E8" w:rsidRPr="00835B56">
          <w:rPr>
            <w:rFonts w:ascii="Arial" w:hAnsi="Arial" w:cs="Arial"/>
            <w:noProof/>
            <w:webHidden/>
          </w:rPr>
          <w:tab/>
        </w:r>
        <w:r w:rsidR="00AD50E8" w:rsidRPr="00835B56">
          <w:rPr>
            <w:rFonts w:ascii="Arial" w:hAnsi="Arial" w:cs="Arial"/>
            <w:noProof/>
            <w:webHidden/>
          </w:rPr>
          <w:fldChar w:fldCharType="begin"/>
        </w:r>
        <w:r w:rsidR="00AD50E8" w:rsidRPr="00835B56">
          <w:rPr>
            <w:rFonts w:ascii="Arial" w:hAnsi="Arial" w:cs="Arial"/>
            <w:noProof/>
            <w:webHidden/>
          </w:rPr>
          <w:instrText xml:space="preserve"> PAGEREF _Toc92623763 \h </w:instrText>
        </w:r>
        <w:r w:rsidR="00AD50E8" w:rsidRPr="00835B56">
          <w:rPr>
            <w:rFonts w:ascii="Arial" w:hAnsi="Arial" w:cs="Arial"/>
            <w:noProof/>
            <w:webHidden/>
          </w:rPr>
        </w:r>
        <w:r w:rsidR="00AD50E8" w:rsidRPr="00835B56">
          <w:rPr>
            <w:rFonts w:ascii="Arial" w:hAnsi="Arial" w:cs="Arial"/>
            <w:noProof/>
            <w:webHidden/>
          </w:rPr>
          <w:fldChar w:fldCharType="separate"/>
        </w:r>
        <w:r w:rsidR="00682412">
          <w:rPr>
            <w:rFonts w:ascii="Arial" w:hAnsi="Arial" w:cs="Arial"/>
            <w:noProof/>
            <w:webHidden/>
          </w:rPr>
          <w:t>21</w:t>
        </w:r>
        <w:r w:rsidR="00AD50E8" w:rsidRPr="00835B56">
          <w:rPr>
            <w:rFonts w:ascii="Arial" w:hAnsi="Arial" w:cs="Arial"/>
            <w:noProof/>
            <w:webHidden/>
          </w:rPr>
          <w:fldChar w:fldCharType="end"/>
        </w:r>
      </w:hyperlink>
    </w:p>
    <w:p w14:paraId="3638C646" w14:textId="77777777" w:rsidR="00EE3F52" w:rsidRDefault="0075592F">
      <w:pPr>
        <w:rPr>
          <w:rFonts w:eastAsiaTheme="majorEastAsia"/>
          <w:b/>
          <w:color w:val="2E74B5" w:themeColor="accent1" w:themeShade="BF"/>
          <w:sz w:val="22"/>
          <w:szCs w:val="22"/>
        </w:rPr>
      </w:pPr>
      <w:r w:rsidRPr="0075592F">
        <w:rPr>
          <w:rFonts w:eastAsiaTheme="majorEastAsia"/>
          <w:b/>
          <w:color w:val="2E74B5" w:themeColor="accent1" w:themeShade="BF"/>
          <w:sz w:val="22"/>
          <w:szCs w:val="22"/>
        </w:rPr>
        <w:fldChar w:fldCharType="end"/>
      </w:r>
    </w:p>
    <w:p w14:paraId="1E06F338" w14:textId="77777777" w:rsidR="00EE3F52" w:rsidRDefault="00EE3F52">
      <w:pPr>
        <w:rPr>
          <w:rFonts w:eastAsiaTheme="majorEastAsia"/>
          <w:b/>
          <w:color w:val="2E74B5" w:themeColor="accent1" w:themeShade="BF"/>
          <w:sz w:val="22"/>
          <w:szCs w:val="22"/>
        </w:rPr>
      </w:pPr>
      <w:r>
        <w:rPr>
          <w:rFonts w:eastAsiaTheme="majorEastAsia"/>
          <w:b/>
          <w:color w:val="2E74B5" w:themeColor="accent1" w:themeShade="BF"/>
          <w:sz w:val="22"/>
          <w:szCs w:val="22"/>
        </w:rPr>
        <w:br w:type="page"/>
      </w:r>
    </w:p>
    <w:p w14:paraId="4CAEB9AB" w14:textId="77777777" w:rsidR="00EE3F52" w:rsidRDefault="00EE3F52" w:rsidP="00F65E0F">
      <w:pPr>
        <w:pStyle w:val="Heading1"/>
        <w:numPr>
          <w:ilvl w:val="0"/>
          <w:numId w:val="0"/>
        </w:numPr>
        <w:spacing w:after="160"/>
        <w:ind w:left="431" w:hanging="431"/>
      </w:pPr>
      <w:bookmarkStart w:id="9" w:name="_Toc92623030"/>
      <w:r w:rsidRPr="00F65E0F">
        <w:lastRenderedPageBreak/>
        <w:t>List of Abbreviations and Acronyms</w:t>
      </w:r>
      <w:bookmarkEnd w:id="9"/>
    </w:p>
    <w:p w14:paraId="762D84D1" w14:textId="5DBE26C5" w:rsidR="00A96B33" w:rsidRPr="0028010D" w:rsidRDefault="00A96B33" w:rsidP="0028010D">
      <w:r w:rsidRPr="0028010D">
        <w:t xml:space="preserve">AGOA </w:t>
      </w:r>
      <w:r w:rsidRPr="0028010D">
        <w:tab/>
      </w:r>
      <w:r w:rsidRPr="0028010D">
        <w:tab/>
        <w:t xml:space="preserve">African Growth and Opportunity Act </w:t>
      </w:r>
    </w:p>
    <w:p w14:paraId="6BF7C0D8" w14:textId="26CF34E9" w:rsidR="00F65E0F" w:rsidRPr="0028010D" w:rsidRDefault="00F65E0F" w:rsidP="0028010D">
      <w:r w:rsidRPr="0028010D">
        <w:t>AU</w:t>
      </w:r>
      <w:r w:rsidR="005A3849" w:rsidRPr="0028010D">
        <w:tab/>
      </w:r>
      <w:r w:rsidR="005A3849" w:rsidRPr="0028010D">
        <w:tab/>
        <w:t>African Union</w:t>
      </w:r>
    </w:p>
    <w:p w14:paraId="62375D72" w14:textId="09B21F6A" w:rsidR="00AA4049" w:rsidRPr="0028010D" w:rsidRDefault="00AA4049" w:rsidP="0028010D">
      <w:r w:rsidRPr="0028010D">
        <w:rPr>
          <w:color w:val="000000"/>
        </w:rPr>
        <w:t>BPM</w:t>
      </w:r>
      <w:r w:rsidRPr="0028010D">
        <w:rPr>
          <w:color w:val="000000"/>
        </w:rPr>
        <w:tab/>
      </w:r>
      <w:r w:rsidRPr="0028010D">
        <w:rPr>
          <w:color w:val="000000"/>
        </w:rPr>
        <w:tab/>
        <w:t xml:space="preserve">Balance of Payments Manual </w:t>
      </w:r>
    </w:p>
    <w:p w14:paraId="509A27B0" w14:textId="33849037" w:rsidR="00F65E0F" w:rsidRPr="0028010D" w:rsidRDefault="00F65E0F" w:rsidP="0028010D">
      <w:r w:rsidRPr="0028010D">
        <w:t xml:space="preserve">BRICS </w:t>
      </w:r>
      <w:r w:rsidRPr="0028010D">
        <w:tab/>
      </w:r>
      <w:r w:rsidR="0028010D">
        <w:tab/>
      </w:r>
      <w:r w:rsidRPr="0028010D">
        <w:t>Brazil, Russia, India, China, and South Africa</w:t>
      </w:r>
    </w:p>
    <w:p w14:paraId="6349C2E4" w14:textId="739C5C9F" w:rsidR="00EE3F52" w:rsidRPr="0028010D" w:rsidRDefault="00EE3F52" w:rsidP="0028010D">
      <w:r w:rsidRPr="0028010D">
        <w:t>CCI</w:t>
      </w:r>
      <w:r w:rsidR="00A9258B" w:rsidRPr="0028010D">
        <w:tab/>
      </w:r>
      <w:r w:rsidR="00A9258B" w:rsidRPr="0028010D">
        <w:tab/>
        <w:t>cultural and creative industries</w:t>
      </w:r>
    </w:p>
    <w:p w14:paraId="2A78A9AA" w14:textId="50A5B623" w:rsidR="0028010D" w:rsidRPr="0028010D" w:rsidRDefault="00BE3E59" w:rsidP="0028010D">
      <w:r>
        <w:t>dti</w:t>
      </w:r>
      <w:r w:rsidR="0028010D" w:rsidRPr="0028010D">
        <w:tab/>
      </w:r>
      <w:r w:rsidR="0028010D" w:rsidRPr="0028010D">
        <w:tab/>
        <w:t>Department of Trade and Industry</w:t>
      </w:r>
    </w:p>
    <w:p w14:paraId="791F1E8E" w14:textId="0B6A4042" w:rsidR="0028010D" w:rsidRPr="0028010D" w:rsidRDefault="00BE3E59" w:rsidP="0028010D">
      <w:r>
        <w:t>dtic</w:t>
      </w:r>
      <w:r w:rsidR="0028010D" w:rsidRPr="0028010D">
        <w:tab/>
      </w:r>
      <w:r w:rsidR="0028010D" w:rsidRPr="0028010D">
        <w:tab/>
        <w:t>Department of Trade, Industry and Competition</w:t>
      </w:r>
    </w:p>
    <w:p w14:paraId="7967EE7A" w14:textId="64AF0C53" w:rsidR="00E132B9" w:rsidRPr="0028010D" w:rsidRDefault="00E132B9" w:rsidP="0028010D">
      <w:r w:rsidRPr="0028010D">
        <w:t xml:space="preserve">EBOPS </w:t>
      </w:r>
      <w:r w:rsidRPr="0028010D">
        <w:tab/>
        <w:t xml:space="preserve">Extended Balance of Payments Services Classification System </w:t>
      </w:r>
    </w:p>
    <w:p w14:paraId="0196BA6D" w14:textId="01EFF4C3" w:rsidR="00A96B33" w:rsidRPr="0028010D" w:rsidRDefault="00A96B33" w:rsidP="0028010D">
      <w:r w:rsidRPr="0028010D">
        <w:t>EPAs</w:t>
      </w:r>
      <w:r w:rsidRPr="0028010D">
        <w:tab/>
      </w:r>
      <w:r w:rsidRPr="0028010D">
        <w:tab/>
        <w:t>Economic Partnership Agreements</w:t>
      </w:r>
    </w:p>
    <w:p w14:paraId="1DD39409" w14:textId="0A83E938" w:rsidR="00AC7438" w:rsidRPr="0028010D" w:rsidRDefault="00AC7438" w:rsidP="0028010D">
      <w:r w:rsidRPr="0028010D">
        <w:t>EU</w:t>
      </w:r>
      <w:r w:rsidRPr="0028010D">
        <w:tab/>
      </w:r>
      <w:r w:rsidRPr="0028010D">
        <w:tab/>
        <w:t>European Union</w:t>
      </w:r>
    </w:p>
    <w:p w14:paraId="2F51004B" w14:textId="2627C8D0" w:rsidR="00214C7A" w:rsidRPr="0028010D" w:rsidRDefault="00214C7A" w:rsidP="0028010D">
      <w:r w:rsidRPr="0028010D">
        <w:t xml:space="preserve">EU28 </w:t>
      </w:r>
      <w:r w:rsidRPr="0028010D">
        <w:tab/>
      </w:r>
      <w:r w:rsidRPr="0028010D">
        <w:tab/>
        <w:t>28</w:t>
      </w:r>
      <w:r w:rsidRPr="0028010D">
        <w:rPr>
          <w:b/>
          <w:bCs/>
        </w:rPr>
        <w:t xml:space="preserve"> </w:t>
      </w:r>
      <w:r w:rsidRPr="0028010D">
        <w:t>countries</w:t>
      </w:r>
      <w:r w:rsidR="00AD50E8" w:rsidRPr="0028010D">
        <w:t xml:space="preserve"> of</w:t>
      </w:r>
      <w:r w:rsidR="00BE3E59">
        <w:t xml:space="preserve"> the EU</w:t>
      </w:r>
    </w:p>
    <w:p w14:paraId="3E9531F7" w14:textId="0C9FB268" w:rsidR="00AA4049" w:rsidRPr="0028010D" w:rsidRDefault="00AA4049" w:rsidP="0028010D">
      <w:r w:rsidRPr="0028010D">
        <w:t>FDI</w:t>
      </w:r>
      <w:r w:rsidRPr="0028010D">
        <w:tab/>
      </w:r>
      <w:r w:rsidRPr="0028010D">
        <w:tab/>
      </w:r>
      <w:r w:rsidR="00BE3E59">
        <w:t>f</w:t>
      </w:r>
      <w:r w:rsidRPr="0028010D">
        <w:t>oreign direct investment</w:t>
      </w:r>
    </w:p>
    <w:p w14:paraId="646BF439" w14:textId="77777777" w:rsidR="00AA4049" w:rsidRPr="0028010D" w:rsidRDefault="00AA4049" w:rsidP="0028010D">
      <w:r w:rsidRPr="0028010D">
        <w:t>FTA</w:t>
      </w:r>
      <w:r w:rsidRPr="0028010D">
        <w:tab/>
      </w:r>
      <w:r w:rsidRPr="0028010D">
        <w:tab/>
        <w:t>free trade area</w:t>
      </w:r>
    </w:p>
    <w:p w14:paraId="6D2E8A86" w14:textId="54F93263" w:rsidR="00181B39" w:rsidRPr="0028010D" w:rsidRDefault="00BE3E59" w:rsidP="0028010D">
      <w:r>
        <w:t>FCS</w:t>
      </w:r>
      <w:r w:rsidR="00181B39" w:rsidRPr="0028010D">
        <w:tab/>
      </w:r>
      <w:r w:rsidR="00181B39" w:rsidRPr="0028010D">
        <w:tab/>
        <w:t>Framework for Cultural Statistics</w:t>
      </w:r>
    </w:p>
    <w:p w14:paraId="39CE85E5" w14:textId="32F08EEC" w:rsidR="00181B39" w:rsidRPr="0028010D" w:rsidRDefault="00181B39" w:rsidP="0028010D">
      <w:r w:rsidRPr="0028010D">
        <w:t>HS</w:t>
      </w:r>
      <w:r w:rsidRPr="0028010D">
        <w:tab/>
      </w:r>
      <w:r w:rsidRPr="0028010D">
        <w:tab/>
        <w:t>Harmonised System</w:t>
      </w:r>
    </w:p>
    <w:p w14:paraId="3B32DB0D" w14:textId="0F87485B" w:rsidR="00D859D0" w:rsidRPr="0028010D" w:rsidRDefault="00D859D0" w:rsidP="0028010D">
      <w:r w:rsidRPr="0028010D">
        <w:t>IIT</w:t>
      </w:r>
      <w:r w:rsidRPr="0028010D">
        <w:tab/>
      </w:r>
      <w:r w:rsidRPr="0028010D">
        <w:tab/>
      </w:r>
      <w:r w:rsidR="00BE3E59">
        <w:t>i</w:t>
      </w:r>
      <w:r w:rsidRPr="0028010D">
        <w:t>ntra-industry trade</w:t>
      </w:r>
    </w:p>
    <w:p w14:paraId="563A522D" w14:textId="2FA3D519" w:rsidR="00B92B76" w:rsidRPr="0028010D" w:rsidRDefault="00B92B76" w:rsidP="0028010D">
      <w:r w:rsidRPr="0028010D">
        <w:t>IP</w:t>
      </w:r>
      <w:r w:rsidRPr="0028010D">
        <w:tab/>
      </w:r>
      <w:r w:rsidRPr="0028010D">
        <w:tab/>
        <w:t>intellectual property</w:t>
      </w:r>
    </w:p>
    <w:p w14:paraId="17633F0D" w14:textId="79314EAF" w:rsidR="00AA4049" w:rsidRPr="0028010D" w:rsidRDefault="00AA4049" w:rsidP="0028010D">
      <w:r w:rsidRPr="0028010D">
        <w:t>ITC</w:t>
      </w:r>
      <w:r w:rsidRPr="0028010D">
        <w:tab/>
      </w:r>
      <w:r w:rsidRPr="0028010D">
        <w:tab/>
        <w:t xml:space="preserve">International Trade Centre </w:t>
      </w:r>
    </w:p>
    <w:p w14:paraId="2823F307" w14:textId="33695464" w:rsidR="00B950A4" w:rsidRPr="0028010D" w:rsidRDefault="00B950A4" w:rsidP="0028010D">
      <w:r w:rsidRPr="0028010D">
        <w:t>MIIT</w:t>
      </w:r>
      <w:r w:rsidRPr="0028010D">
        <w:tab/>
      </w:r>
      <w:r w:rsidRPr="0028010D">
        <w:tab/>
        <w:t>marginal IIT</w:t>
      </w:r>
    </w:p>
    <w:p w14:paraId="41FB43EA" w14:textId="658F60CF" w:rsidR="00F65E0F" w:rsidRPr="0028010D" w:rsidRDefault="00F65E0F" w:rsidP="0028010D">
      <w:r w:rsidRPr="0028010D">
        <w:t>NAFTA</w:t>
      </w:r>
      <w:r w:rsidR="005A3849" w:rsidRPr="0028010D">
        <w:tab/>
      </w:r>
      <w:r w:rsidR="0028010D">
        <w:tab/>
      </w:r>
      <w:r w:rsidR="005A3849" w:rsidRPr="0028010D">
        <w:t>North American Free Trade Agreement</w:t>
      </w:r>
    </w:p>
    <w:p w14:paraId="187254DA" w14:textId="564F79E1" w:rsidR="00641407" w:rsidRPr="0028010D" w:rsidRDefault="00641407" w:rsidP="0028010D">
      <w:r w:rsidRPr="0028010D">
        <w:t>PCR</w:t>
      </w:r>
      <w:r w:rsidRPr="0028010D">
        <w:tab/>
      </w:r>
      <w:r w:rsidRPr="0028010D">
        <w:tab/>
        <w:t>Personal, Cultural and Recreational Services</w:t>
      </w:r>
    </w:p>
    <w:p w14:paraId="6132F4E4" w14:textId="547E9DA3" w:rsidR="00A9258B" w:rsidRPr="0028010D" w:rsidRDefault="00A9258B" w:rsidP="0028010D">
      <w:r w:rsidRPr="0028010D">
        <w:t>SACO</w:t>
      </w:r>
      <w:r w:rsidR="00AD50E8" w:rsidRPr="0028010D">
        <w:tab/>
      </w:r>
      <w:r w:rsidR="00AD50E8" w:rsidRPr="0028010D">
        <w:tab/>
        <w:t>South African Cultural Observatory</w:t>
      </w:r>
    </w:p>
    <w:p w14:paraId="23EC3EE3" w14:textId="7E2E9BFA" w:rsidR="00EC7F68" w:rsidRPr="0028010D" w:rsidRDefault="00EC7F68" w:rsidP="0028010D">
      <w:r w:rsidRPr="0028010D">
        <w:t xml:space="preserve">SACU </w:t>
      </w:r>
      <w:r w:rsidRPr="0028010D">
        <w:tab/>
      </w:r>
      <w:r w:rsidRPr="0028010D">
        <w:tab/>
        <w:t xml:space="preserve">Southern African Customs Union </w:t>
      </w:r>
    </w:p>
    <w:p w14:paraId="670F04D9" w14:textId="6851C480" w:rsidR="00EE3F52" w:rsidRPr="0028010D" w:rsidRDefault="00EE3F52" w:rsidP="0028010D">
      <w:r w:rsidRPr="0028010D">
        <w:t>SADC</w:t>
      </w:r>
      <w:r w:rsidR="00A9258B" w:rsidRPr="0028010D">
        <w:tab/>
      </w:r>
      <w:r w:rsidR="00A9258B" w:rsidRPr="0028010D">
        <w:tab/>
        <w:t>Southern African Development Community</w:t>
      </w:r>
    </w:p>
    <w:p w14:paraId="1221B219" w14:textId="28E9C44E" w:rsidR="00D144E2" w:rsidRPr="0028010D" w:rsidRDefault="00D144E2" w:rsidP="0028010D">
      <w:r w:rsidRPr="0028010D">
        <w:t>SARB</w:t>
      </w:r>
      <w:r w:rsidRPr="0028010D">
        <w:tab/>
      </w:r>
      <w:r w:rsidRPr="0028010D">
        <w:tab/>
        <w:t>South African Reserve Bank</w:t>
      </w:r>
    </w:p>
    <w:p w14:paraId="6CF868C8" w14:textId="27DB882A" w:rsidR="00AC7438" w:rsidRPr="0028010D" w:rsidRDefault="00AC7438" w:rsidP="0028010D">
      <w:r w:rsidRPr="0028010D">
        <w:t>TCI</w:t>
      </w:r>
      <w:r w:rsidRPr="0028010D">
        <w:tab/>
      </w:r>
      <w:r w:rsidRPr="0028010D">
        <w:tab/>
      </w:r>
      <w:r w:rsidR="00BE3E59">
        <w:t>t</w:t>
      </w:r>
      <w:r w:rsidRPr="0028010D">
        <w:t>rade complementarity ind</w:t>
      </w:r>
      <w:r w:rsidR="00A9258B" w:rsidRPr="0028010D">
        <w:t>ex</w:t>
      </w:r>
      <w:r w:rsidRPr="0028010D">
        <w:t xml:space="preserve"> </w:t>
      </w:r>
    </w:p>
    <w:p w14:paraId="64B2E614" w14:textId="7331905B" w:rsidR="005A3849" w:rsidRPr="0028010D" w:rsidRDefault="005A3849" w:rsidP="0028010D">
      <w:r w:rsidRPr="0028010D">
        <w:t xml:space="preserve">UNCTAD </w:t>
      </w:r>
      <w:r w:rsidR="00A43DCA" w:rsidRPr="0028010D">
        <w:tab/>
        <w:t>United Nations Conference on Trade and Development</w:t>
      </w:r>
    </w:p>
    <w:p w14:paraId="2186D0E3" w14:textId="7E79A25D" w:rsidR="00E21B4C" w:rsidRPr="0028010D" w:rsidRDefault="00E21B4C" w:rsidP="0028010D">
      <w:r w:rsidRPr="0028010D">
        <w:t xml:space="preserve">UNESCO </w:t>
      </w:r>
      <w:r w:rsidRPr="0028010D">
        <w:tab/>
        <w:t>United Nations Educational, Scientific and Cultural Organization</w:t>
      </w:r>
    </w:p>
    <w:p w14:paraId="45BBB043" w14:textId="518CCC4F" w:rsidR="00EE3F52" w:rsidRPr="0028010D" w:rsidRDefault="00EE3F52" w:rsidP="0028010D">
      <w:r w:rsidRPr="0028010D">
        <w:t>USMCA</w:t>
      </w:r>
      <w:r w:rsidR="00AC7438" w:rsidRPr="0028010D">
        <w:tab/>
        <w:t>US-Mexico-Canada</w:t>
      </w:r>
    </w:p>
    <w:p w14:paraId="46D8B893" w14:textId="35F6CE50" w:rsidR="00F65E0F" w:rsidRPr="0028010D" w:rsidRDefault="00F65E0F" w:rsidP="0028010D">
      <w:r w:rsidRPr="0028010D">
        <w:t>WTO</w:t>
      </w:r>
      <w:r w:rsidRPr="0028010D">
        <w:tab/>
      </w:r>
      <w:r w:rsidRPr="0028010D">
        <w:tab/>
        <w:t>World Trade Organization</w:t>
      </w:r>
    </w:p>
    <w:p w14:paraId="59BC9004" w14:textId="77777777" w:rsidR="00C90C68" w:rsidRDefault="00C90C68" w:rsidP="00EE3F52">
      <w:pPr>
        <w:spacing w:line="259" w:lineRule="auto"/>
        <w:rPr>
          <w:sz w:val="22"/>
          <w:szCs w:val="22"/>
        </w:rPr>
        <w:sectPr w:rsidR="00C90C68" w:rsidSect="00C90C68">
          <w:footerReference w:type="default" r:id="rId10"/>
          <w:pgSz w:w="11906" w:h="16838"/>
          <w:pgMar w:top="1440" w:right="1440" w:bottom="1440" w:left="1440" w:header="708" w:footer="708" w:gutter="0"/>
          <w:pgNumType w:fmt="lowerRoman" w:start="1"/>
          <w:cols w:space="720"/>
        </w:sectPr>
      </w:pPr>
    </w:p>
    <w:p w14:paraId="00000030" w14:textId="39A7C939" w:rsidR="0055663D" w:rsidRPr="0075592F" w:rsidRDefault="0055663D" w:rsidP="00835B56">
      <w:pPr>
        <w:spacing w:line="259" w:lineRule="auto"/>
        <w:rPr>
          <w:rFonts w:eastAsiaTheme="majorEastAsia"/>
          <w:b/>
          <w:color w:val="2E74B5" w:themeColor="accent1" w:themeShade="BF"/>
          <w:sz w:val="22"/>
          <w:szCs w:val="22"/>
        </w:rPr>
      </w:pPr>
    </w:p>
    <w:p w14:paraId="00000043" w14:textId="53AC8168" w:rsidR="00294ABB" w:rsidRDefault="00420BFB">
      <w:pPr>
        <w:pStyle w:val="Heading1"/>
      </w:pPr>
      <w:bookmarkStart w:id="10" w:name="_Toc92623031"/>
      <w:r>
        <w:t>Introduction and Goals of the Study</w:t>
      </w:r>
      <w:bookmarkEnd w:id="10"/>
      <w:r>
        <w:t xml:space="preserve"> </w:t>
      </w:r>
    </w:p>
    <w:p w14:paraId="00000044" w14:textId="5EAF8E79" w:rsidR="00294ABB" w:rsidRDefault="00420BFB" w:rsidP="00835B56">
      <w:pPr>
        <w:spacing w:line="259" w:lineRule="auto"/>
        <w:rPr>
          <w:sz w:val="22"/>
          <w:szCs w:val="22"/>
        </w:rPr>
      </w:pPr>
      <w:r>
        <w:rPr>
          <w:sz w:val="22"/>
          <w:szCs w:val="22"/>
        </w:rPr>
        <w:t>Recent SACO reports on South Africa’s cultural trade have demonstrated the growing importance of such trade in the country’s trade relations with key regional groupings, particularly the EU, SADC and the US-Mexico-Canada (USMCA) bloc (Cattaneo and Snowball, 2018; 2020). South Africa’s policy-makers have adopted a strategic approach to trade that emphasises trade policy as an instrument of industrial policy, geared towards the country’s domestic development objectives (</w:t>
      </w:r>
      <w:r w:rsidR="00BE3E59">
        <w:rPr>
          <w:sz w:val="22"/>
          <w:szCs w:val="22"/>
        </w:rPr>
        <w:t>the dtic</w:t>
      </w:r>
      <w:r>
        <w:rPr>
          <w:sz w:val="22"/>
          <w:szCs w:val="22"/>
        </w:rPr>
        <w:t>, 2021).</w:t>
      </w:r>
      <w:r w:rsidR="001B10E6">
        <w:rPr>
          <w:sz w:val="22"/>
          <w:szCs w:val="22"/>
        </w:rPr>
        <w:t xml:space="preserve"> </w:t>
      </w:r>
      <w:r>
        <w:rPr>
          <w:sz w:val="22"/>
          <w:szCs w:val="22"/>
        </w:rPr>
        <w:t>South Africa’s industrial policy framework in turn emphasises sectors with the potential to stimulate higher value-added growth and employment, including the cultural and creative industries (CCIs). The country’s recent Re-imagined Industrial Strategy specifically identifies the creative economy as a priority sector of focus (Dicks, 2019;</w:t>
      </w:r>
      <w:r w:rsidR="00BE3E59" w:rsidRPr="00BE3E59">
        <w:rPr>
          <w:sz w:val="22"/>
          <w:szCs w:val="22"/>
        </w:rPr>
        <w:t xml:space="preserve"> </w:t>
      </w:r>
      <w:r w:rsidR="00BE3E59">
        <w:rPr>
          <w:sz w:val="22"/>
          <w:szCs w:val="22"/>
        </w:rPr>
        <w:t>the dtic</w:t>
      </w:r>
      <w:r>
        <w:rPr>
          <w:sz w:val="22"/>
          <w:szCs w:val="22"/>
        </w:rPr>
        <w:t>, 2019).</w:t>
      </w:r>
      <w:r w:rsidR="001B10E6">
        <w:rPr>
          <w:sz w:val="22"/>
          <w:szCs w:val="22"/>
        </w:rPr>
        <w:t xml:space="preserve"> </w:t>
      </w:r>
      <w:r>
        <w:rPr>
          <w:sz w:val="22"/>
          <w:szCs w:val="22"/>
        </w:rPr>
        <w:t>To this end, a Sectoral Master Plan for the Creative Industries is under development, focusing on Visual Arts and Crafts (including Design), Audio-visual and Interactive Media, Performance and Celebration, and Books and Press (SACO, 2021).</w:t>
      </w:r>
      <w:r w:rsidR="001B10E6">
        <w:rPr>
          <w:sz w:val="22"/>
          <w:szCs w:val="22"/>
        </w:rPr>
        <w:t xml:space="preserve"> </w:t>
      </w:r>
    </w:p>
    <w:p w14:paraId="00000045" w14:textId="43ABD1FD" w:rsidR="00294ABB" w:rsidRDefault="00420BFB" w:rsidP="00835B56">
      <w:pPr>
        <w:spacing w:line="259" w:lineRule="auto"/>
        <w:rPr>
          <w:sz w:val="22"/>
          <w:szCs w:val="22"/>
        </w:rPr>
      </w:pPr>
      <w:r>
        <w:rPr>
          <w:sz w:val="22"/>
          <w:szCs w:val="22"/>
        </w:rPr>
        <w:t>In its 2019 presentation to Cabinet on South Africa’s Re-imagined Industrial Strategy, the Department of Trade, Industry and Competition (</w:t>
      </w:r>
      <w:r w:rsidR="00BE3E59">
        <w:rPr>
          <w:sz w:val="22"/>
          <w:szCs w:val="22"/>
        </w:rPr>
        <w:t>the dtic</w:t>
      </w:r>
      <w:r>
        <w:rPr>
          <w:sz w:val="22"/>
          <w:szCs w:val="22"/>
        </w:rPr>
        <w:t xml:space="preserve">) pointed to the potential the CCIs have for, </w:t>
      </w:r>
      <w:r>
        <w:rPr>
          <w:i/>
          <w:sz w:val="22"/>
          <w:szCs w:val="22"/>
        </w:rPr>
        <w:t>inter alia</w:t>
      </w:r>
      <w:r>
        <w:rPr>
          <w:sz w:val="22"/>
          <w:szCs w:val="22"/>
        </w:rPr>
        <w:t>, employment creation, skills development, promoting social cohesion, raising the country’s profile abroad and supporting the domestic tourism industry (</w:t>
      </w:r>
      <w:r w:rsidR="00BE3E59">
        <w:rPr>
          <w:sz w:val="22"/>
          <w:szCs w:val="22"/>
        </w:rPr>
        <w:t>the dtic</w:t>
      </w:r>
      <w:r>
        <w:rPr>
          <w:sz w:val="22"/>
          <w:szCs w:val="22"/>
        </w:rPr>
        <w:t>, 2019).</w:t>
      </w:r>
      <w:r w:rsidR="001B10E6">
        <w:rPr>
          <w:sz w:val="22"/>
          <w:szCs w:val="22"/>
        </w:rPr>
        <w:t xml:space="preserve"> </w:t>
      </w:r>
      <w:r>
        <w:rPr>
          <w:sz w:val="22"/>
          <w:szCs w:val="22"/>
        </w:rPr>
        <w:t>Prioritisation of the CCI sector as one of seven focus areas in the country’s revised industrial policy</w:t>
      </w:r>
      <w:r>
        <w:rPr>
          <w:sz w:val="22"/>
          <w:szCs w:val="22"/>
          <w:vertAlign w:val="superscript"/>
        </w:rPr>
        <w:footnoteReference w:id="1"/>
      </w:r>
      <w:r>
        <w:rPr>
          <w:sz w:val="22"/>
          <w:szCs w:val="22"/>
        </w:rPr>
        <w:t xml:space="preserve"> is intended to address the challenges and constraints that need to be overcome to allow the sector to reach its full potential.</w:t>
      </w:r>
      <w:r w:rsidR="001B10E6">
        <w:rPr>
          <w:sz w:val="22"/>
          <w:szCs w:val="22"/>
        </w:rPr>
        <w:t xml:space="preserve"> </w:t>
      </w:r>
      <w:r>
        <w:rPr>
          <w:sz w:val="22"/>
          <w:szCs w:val="22"/>
        </w:rPr>
        <w:t>The development of Master Plans for each priority sector aims to promote a collaborative approach among all stakeholders to address the needs of that sector in its entirety.</w:t>
      </w:r>
      <w:r w:rsidR="001B10E6">
        <w:rPr>
          <w:sz w:val="22"/>
          <w:szCs w:val="22"/>
        </w:rPr>
        <w:t xml:space="preserve"> </w:t>
      </w:r>
      <w:r>
        <w:rPr>
          <w:sz w:val="22"/>
          <w:szCs w:val="22"/>
        </w:rPr>
        <w:t>South Africa’s trade policy and trade agreements are identified as an important lever in supporting the Master Plan process.</w:t>
      </w:r>
      <w:r w:rsidR="001B10E6">
        <w:rPr>
          <w:sz w:val="22"/>
          <w:szCs w:val="22"/>
        </w:rPr>
        <w:t xml:space="preserve"> </w:t>
      </w:r>
      <w:r>
        <w:rPr>
          <w:sz w:val="22"/>
          <w:szCs w:val="22"/>
        </w:rPr>
        <w:t>This makes the analysis of the country’s CCI trade highly relevant to South Africa’s current growth and industrialisation strategy.</w:t>
      </w:r>
    </w:p>
    <w:p w14:paraId="00000046" w14:textId="7F019640" w:rsidR="00294ABB" w:rsidRDefault="00420BFB" w:rsidP="00835B56">
      <w:pPr>
        <w:spacing w:line="259" w:lineRule="auto"/>
        <w:rPr>
          <w:sz w:val="22"/>
          <w:szCs w:val="22"/>
        </w:rPr>
      </w:pPr>
      <w:r>
        <w:rPr>
          <w:sz w:val="22"/>
          <w:szCs w:val="22"/>
        </w:rPr>
        <w:t>Against this background, the impact of the COVID-19 pandemic on South Africa’s CCI trade warrants attention. The pandemic has had a significant effect on international trade flows globally, particularly in the first half of 2020.</w:t>
      </w:r>
      <w:r w:rsidR="001B10E6">
        <w:rPr>
          <w:sz w:val="22"/>
          <w:szCs w:val="22"/>
        </w:rPr>
        <w:t xml:space="preserve"> </w:t>
      </w:r>
      <w:r>
        <w:rPr>
          <w:sz w:val="22"/>
          <w:szCs w:val="22"/>
        </w:rPr>
        <w:t>For 2020 as a whole, global merchandise trade contracted by 8% and services trade by 20%, with travel services decreasing by 63% (WTO, 2021). In South Africa’s case, as in many countries, the strongest impact on trade was felt in the second quarter of 2020 when the country was in its strictest lockdown.</w:t>
      </w:r>
      <w:r w:rsidR="001B10E6">
        <w:rPr>
          <w:sz w:val="22"/>
          <w:szCs w:val="22"/>
        </w:rPr>
        <w:t xml:space="preserve"> </w:t>
      </w:r>
      <w:r>
        <w:rPr>
          <w:sz w:val="22"/>
          <w:szCs w:val="22"/>
        </w:rPr>
        <w:t>It is important to consider the impact of the pandemic on cultural goods trade trends relative to total commodity trade to assess the resilience of the CCIs in the face of such shocks.</w:t>
      </w:r>
      <w:r w:rsidR="001B10E6">
        <w:rPr>
          <w:sz w:val="22"/>
          <w:szCs w:val="22"/>
        </w:rPr>
        <w:t xml:space="preserve"> </w:t>
      </w:r>
      <w:r>
        <w:rPr>
          <w:sz w:val="22"/>
          <w:szCs w:val="22"/>
        </w:rPr>
        <w:t>It is also interesting to consider the differential impact on the various cultural domains and on South Africa’s cultural trade with key regional partners.</w:t>
      </w:r>
    </w:p>
    <w:p w14:paraId="00000047" w14:textId="6C1B2E40" w:rsidR="00294ABB" w:rsidRDefault="00420BFB" w:rsidP="00835B56">
      <w:pPr>
        <w:spacing w:line="259" w:lineRule="auto"/>
        <w:rPr>
          <w:sz w:val="22"/>
          <w:szCs w:val="22"/>
        </w:rPr>
      </w:pPr>
      <w:r>
        <w:rPr>
          <w:sz w:val="22"/>
          <w:szCs w:val="22"/>
        </w:rPr>
        <w:t xml:space="preserve">Previous SACO reports have focused on South Africa’s cultural trade with BRICS, selected AU member states and the EU. Cattaneo and Snowball (2020) identified the USMCA (formerly NAFTA) and the rest of Africa, particularly the SADC region, as significant regional trading partners in cultural products. This chapter’s purpose is therefore two-fold: it examines South Africa’s cultural goods trade with SADC and USMCA in more detail in a comparative regional </w:t>
      </w:r>
      <w:r>
        <w:rPr>
          <w:sz w:val="22"/>
          <w:szCs w:val="22"/>
        </w:rPr>
        <w:lastRenderedPageBreak/>
        <w:t>context</w:t>
      </w:r>
      <w:r w:rsidR="005A3849">
        <w:rPr>
          <w:sz w:val="22"/>
          <w:szCs w:val="22"/>
        </w:rPr>
        <w:t>,</w:t>
      </w:r>
      <w:r>
        <w:rPr>
          <w:sz w:val="22"/>
          <w:szCs w:val="22"/>
        </w:rPr>
        <w:t xml:space="preserve"> and it considers the impact of the COVID-19 pandemic on the country’s recent cultural trade flows both in the aggregate and regionally, drawing inferences for policy.</w:t>
      </w:r>
    </w:p>
    <w:p w14:paraId="00000048" w14:textId="77777777" w:rsidR="00294ABB" w:rsidRDefault="00420BFB" w:rsidP="00835B56">
      <w:pPr>
        <w:spacing w:line="259" w:lineRule="auto"/>
        <w:rPr>
          <w:sz w:val="22"/>
          <w:szCs w:val="22"/>
        </w:rPr>
      </w:pPr>
      <w:r>
        <w:rPr>
          <w:sz w:val="22"/>
          <w:szCs w:val="22"/>
        </w:rPr>
        <w:t>This report forms one part (Chapter 3) of the Cultural and Creative Industries Mapping Study (SACO, 2022). The full list of chapters, each of which provides a detailed analysis of key aspects of South Africa’s creative economy, is as follows:</w:t>
      </w:r>
    </w:p>
    <w:p w14:paraId="00000049" w14:textId="77777777" w:rsidR="00294ABB" w:rsidRDefault="00420BFB" w:rsidP="00835B56">
      <w:pPr>
        <w:spacing w:line="259" w:lineRule="auto"/>
        <w:rPr>
          <w:sz w:val="22"/>
          <w:szCs w:val="22"/>
        </w:rPr>
      </w:pPr>
      <w:r>
        <w:rPr>
          <w:sz w:val="22"/>
          <w:szCs w:val="22"/>
        </w:rPr>
        <w:t>Chapter 1: The Macroeconomic Impact of the CCIs in South Africa</w:t>
      </w:r>
    </w:p>
    <w:p w14:paraId="0000004A" w14:textId="77777777" w:rsidR="00294ABB" w:rsidRDefault="00420BFB" w:rsidP="00835B56">
      <w:pPr>
        <w:spacing w:line="259" w:lineRule="auto"/>
        <w:rPr>
          <w:sz w:val="22"/>
          <w:szCs w:val="22"/>
        </w:rPr>
      </w:pPr>
      <w:r>
        <w:rPr>
          <w:sz w:val="22"/>
          <w:szCs w:val="22"/>
        </w:rPr>
        <w:t>Chapter 2: Cultural Employment and Transformation</w:t>
      </w:r>
    </w:p>
    <w:p w14:paraId="0000004B" w14:textId="77777777" w:rsidR="00294ABB" w:rsidRDefault="00420BFB" w:rsidP="00835B56">
      <w:pPr>
        <w:spacing w:line="259" w:lineRule="auto"/>
        <w:rPr>
          <w:sz w:val="22"/>
          <w:szCs w:val="22"/>
        </w:rPr>
      </w:pPr>
      <w:r>
        <w:rPr>
          <w:sz w:val="22"/>
          <w:szCs w:val="22"/>
        </w:rPr>
        <w:t>Chapter 3: South Africa’s cultural goods trade with a focus on the US-Mexico-Canada (USMCA) bloc and SADC in comparative perspective and the impact of the COVID-19 pandemic (this report)</w:t>
      </w:r>
    </w:p>
    <w:p w14:paraId="0000004C" w14:textId="77777777" w:rsidR="00294ABB" w:rsidRDefault="00420BFB" w:rsidP="00835B56">
      <w:pPr>
        <w:spacing w:line="259" w:lineRule="auto"/>
        <w:rPr>
          <w:sz w:val="22"/>
          <w:szCs w:val="22"/>
        </w:rPr>
      </w:pPr>
      <w:r>
        <w:rPr>
          <w:sz w:val="22"/>
          <w:szCs w:val="22"/>
        </w:rPr>
        <w:t>Chapter 4: Provincial Profiles</w:t>
      </w:r>
    </w:p>
    <w:p w14:paraId="0000004D" w14:textId="77777777" w:rsidR="00294ABB" w:rsidRDefault="00420BFB" w:rsidP="00835B56">
      <w:pPr>
        <w:spacing w:line="259" w:lineRule="auto"/>
        <w:rPr>
          <w:sz w:val="22"/>
          <w:szCs w:val="22"/>
        </w:rPr>
      </w:pPr>
      <w:r>
        <w:rPr>
          <w:sz w:val="22"/>
          <w:szCs w:val="22"/>
        </w:rPr>
        <w:t>Chapter 5: The South African Creative Economy in Historical Context</w:t>
      </w:r>
    </w:p>
    <w:p w14:paraId="0000004E" w14:textId="3FCB2F73" w:rsidR="00294ABB" w:rsidRDefault="00420BFB" w:rsidP="00835B56">
      <w:pPr>
        <w:spacing w:line="259" w:lineRule="auto"/>
        <w:rPr>
          <w:sz w:val="22"/>
          <w:szCs w:val="22"/>
        </w:rPr>
      </w:pPr>
      <w:r>
        <w:rPr>
          <w:sz w:val="22"/>
          <w:szCs w:val="22"/>
        </w:rPr>
        <w:t>The remainder of this chapter is structured as follows: Section 2 provides a discussion of cultural trade debates and the growing importance of CCI services trade, particularly in the context of the COVID-19 pandemic.</w:t>
      </w:r>
      <w:r w:rsidR="001B10E6">
        <w:rPr>
          <w:sz w:val="22"/>
          <w:szCs w:val="22"/>
        </w:rPr>
        <w:t xml:space="preserve"> </w:t>
      </w:r>
      <w:r>
        <w:rPr>
          <w:sz w:val="22"/>
          <w:szCs w:val="22"/>
        </w:rPr>
        <w:t>Section 3 outlines the data and methods used in the report, while Section 4 presents the results and detailed analysis of the findings, including the impact of the COVID-19 pandemic on cultural trade flows and a comparative study of South Africa’s CCI trade with USMCA and SADC.</w:t>
      </w:r>
      <w:r w:rsidR="001B10E6">
        <w:rPr>
          <w:sz w:val="22"/>
          <w:szCs w:val="22"/>
        </w:rPr>
        <w:t xml:space="preserve"> </w:t>
      </w:r>
      <w:r>
        <w:rPr>
          <w:sz w:val="22"/>
          <w:szCs w:val="22"/>
        </w:rPr>
        <w:t xml:space="preserve">Finally, Section 5 sets out the key conclusions of the study and discusses implications of the findings. </w:t>
      </w:r>
    </w:p>
    <w:p w14:paraId="0000004F" w14:textId="77777777" w:rsidR="00294ABB" w:rsidRDefault="00294ABB">
      <w:pPr>
        <w:rPr>
          <w:sz w:val="22"/>
          <w:szCs w:val="22"/>
        </w:rPr>
      </w:pPr>
    </w:p>
    <w:p w14:paraId="00000050" w14:textId="77777777" w:rsidR="00294ABB" w:rsidRDefault="00420BFB">
      <w:pPr>
        <w:pStyle w:val="Heading1"/>
        <w:spacing w:before="0" w:line="240" w:lineRule="auto"/>
      </w:pPr>
      <w:bookmarkStart w:id="11" w:name="_Toc92623032"/>
      <w:r>
        <w:t>Cultural Trade Debates and the Growing Importance of Creative Services Trade</w:t>
      </w:r>
      <w:bookmarkEnd w:id="11"/>
    </w:p>
    <w:p w14:paraId="00000051" w14:textId="77777777" w:rsidR="00294ABB" w:rsidRDefault="00294ABB">
      <w:pPr>
        <w:spacing w:after="0"/>
        <w:rPr>
          <w:sz w:val="22"/>
          <w:szCs w:val="22"/>
        </w:rPr>
      </w:pPr>
    </w:p>
    <w:p w14:paraId="00000052" w14:textId="77777777" w:rsidR="00294ABB" w:rsidRDefault="00420BFB" w:rsidP="00835B56">
      <w:pPr>
        <w:spacing w:line="259" w:lineRule="auto"/>
        <w:rPr>
          <w:sz w:val="22"/>
          <w:szCs w:val="22"/>
        </w:rPr>
      </w:pPr>
      <w:r>
        <w:rPr>
          <w:sz w:val="22"/>
          <w:szCs w:val="22"/>
        </w:rPr>
        <w:t xml:space="preserve">The potential of international cultural trade as a contributor to growth, development and job creation is increasingly being recognized. In a recent review of literature on cultural trade, Fazio (2021) notes that cultural trade flows are more evenly distributed than other trade. An UNCTAD report (forthcoming) also highlights the potential that cultural trade offers developing countries, especially in the digitization era, when physical distance between markets is becoming less important, and small production runs (Made to Order) are more economically viable. </w:t>
      </w:r>
    </w:p>
    <w:p w14:paraId="00000053" w14:textId="21079496" w:rsidR="00294ABB" w:rsidRDefault="00420BFB" w:rsidP="00835B56">
      <w:pPr>
        <w:spacing w:line="259" w:lineRule="auto"/>
        <w:rPr>
          <w:sz w:val="22"/>
          <w:szCs w:val="22"/>
        </w:rPr>
      </w:pPr>
      <w:r>
        <w:rPr>
          <w:sz w:val="22"/>
          <w:szCs w:val="22"/>
        </w:rPr>
        <w:t>The African Union Agenda 2063 recognises the potential of the CCIs more generally in Aspiration 5</w:t>
      </w:r>
      <w:r w:rsidR="00A43DCA">
        <w:rPr>
          <w:sz w:val="22"/>
          <w:szCs w:val="22"/>
        </w:rPr>
        <w:t>:</w:t>
      </w:r>
      <w:r>
        <w:rPr>
          <w:sz w:val="22"/>
          <w:szCs w:val="22"/>
        </w:rPr>
        <w:t xml:space="preserve"> “Africa with a strong cultural identity, common heritage, values and ethics” (AU, 2015: 157).</w:t>
      </w:r>
      <w:r w:rsidR="001B10E6">
        <w:rPr>
          <w:sz w:val="22"/>
          <w:szCs w:val="22"/>
        </w:rPr>
        <w:t xml:space="preserve"> </w:t>
      </w:r>
      <w:r>
        <w:rPr>
          <w:sz w:val="22"/>
          <w:szCs w:val="22"/>
        </w:rPr>
        <w:t xml:space="preserve">Kabanda (2018) points out that cultural trade can also help to build a positive country image or brand, which can result in more investment and trade in other sectors as well. The cultural economy can also be a driver of innovation, which can result in spillovers to other sectors, raising competitiveness and productivity (UNCTAD, forthcoming). </w:t>
      </w:r>
      <w:r w:rsidR="00A43DCA">
        <w:rPr>
          <w:sz w:val="22"/>
          <w:szCs w:val="22"/>
        </w:rPr>
        <w:t>Cardenas</w:t>
      </w:r>
      <w:r>
        <w:rPr>
          <w:sz w:val="22"/>
          <w:szCs w:val="22"/>
        </w:rPr>
        <w:t>-</w:t>
      </w:r>
      <w:r w:rsidR="00A43DCA">
        <w:rPr>
          <w:sz w:val="22"/>
          <w:szCs w:val="22"/>
        </w:rPr>
        <w:t xml:space="preserve">Ayala </w:t>
      </w:r>
      <w:r>
        <w:rPr>
          <w:sz w:val="22"/>
          <w:szCs w:val="22"/>
        </w:rPr>
        <w:t xml:space="preserve">and Valiati (2014) find that, in nine South American countries, an increase in exports from sectors </w:t>
      </w:r>
      <w:r w:rsidR="00A43DCA">
        <w:rPr>
          <w:sz w:val="22"/>
          <w:szCs w:val="22"/>
        </w:rPr>
        <w:t xml:space="preserve">such as </w:t>
      </w:r>
      <w:r>
        <w:rPr>
          <w:sz w:val="22"/>
          <w:szCs w:val="22"/>
        </w:rPr>
        <w:t>design, media and graphic art, was associated with a rise in the value of exports from other sectors in future years.</w:t>
      </w:r>
    </w:p>
    <w:p w14:paraId="00000054" w14:textId="77777777" w:rsidR="00294ABB" w:rsidRDefault="00420BFB" w:rsidP="00835B56">
      <w:pPr>
        <w:pStyle w:val="Heading2"/>
        <w:ind w:left="578" w:hanging="578"/>
      </w:pPr>
      <w:bookmarkStart w:id="12" w:name="_Toc92623033"/>
      <w:r>
        <w:t>The cultural exception and liberalisation debate</w:t>
      </w:r>
      <w:bookmarkEnd w:id="12"/>
    </w:p>
    <w:p w14:paraId="00000055" w14:textId="1AD13C8D" w:rsidR="00294ABB" w:rsidRDefault="00420BFB" w:rsidP="00835B56">
      <w:pPr>
        <w:spacing w:line="259" w:lineRule="auto"/>
        <w:rPr>
          <w:sz w:val="22"/>
          <w:szCs w:val="22"/>
        </w:rPr>
      </w:pPr>
      <w:r>
        <w:rPr>
          <w:sz w:val="22"/>
          <w:szCs w:val="22"/>
        </w:rPr>
        <w:t xml:space="preserve">Despite the potential benefits of trade expansion, there is a long-standing debate between liberalising trade in cultural and creative goods and services as a means to create jobs and economic growth versus the desire to protect and subsidise the cultural and creative sectors </w:t>
      </w:r>
      <w:r>
        <w:rPr>
          <w:sz w:val="22"/>
          <w:szCs w:val="22"/>
        </w:rPr>
        <w:lastRenderedPageBreak/>
        <w:t xml:space="preserve">in order to promote cultural diversity and national identity. Mulcahy (2017) argues that this is especially evident in post-colonial countries </w:t>
      </w:r>
      <w:r w:rsidR="00C119C6">
        <w:rPr>
          <w:sz w:val="22"/>
          <w:szCs w:val="22"/>
        </w:rPr>
        <w:t xml:space="preserve">such as </w:t>
      </w:r>
      <w:r>
        <w:rPr>
          <w:sz w:val="22"/>
          <w:szCs w:val="22"/>
        </w:rPr>
        <w:t xml:space="preserve">South Africa. </w:t>
      </w:r>
    </w:p>
    <w:p w14:paraId="00000056" w14:textId="77777777" w:rsidR="00294ABB" w:rsidRDefault="00420BFB" w:rsidP="00835B56">
      <w:pPr>
        <w:spacing w:line="259" w:lineRule="auto"/>
        <w:rPr>
          <w:sz w:val="22"/>
          <w:szCs w:val="22"/>
        </w:rPr>
      </w:pPr>
      <w:r>
        <w:rPr>
          <w:sz w:val="22"/>
          <w:szCs w:val="22"/>
        </w:rPr>
        <w:t xml:space="preserve">Hanania (2019) and Jaramillo (2019) regard the debate as a tension between the financial or commercial values related to the CCIs, and the non-market values that the sector represents, including their social and cultural importance in terms of building national identities, cultural diversity and democracy. Hanania (2019) argues that this stems from the dual nature of cultural and creative goods, which include both the commercial or economic values, as well as non-market cultural and social values. Arguments for the “cultural exception” are thus based on the premise that cultural and creative goods and services have, in addition to financial value, public good characteristics, such as the promotion and protection of national cultural heritage, history and identity (Mas-Colell, 1999). </w:t>
      </w:r>
    </w:p>
    <w:p w14:paraId="00000057" w14:textId="680CAE42" w:rsidR="00294ABB" w:rsidRDefault="00420BFB" w:rsidP="00835B56">
      <w:pPr>
        <w:spacing w:line="259" w:lineRule="auto"/>
        <w:rPr>
          <w:sz w:val="22"/>
          <w:szCs w:val="22"/>
        </w:rPr>
      </w:pPr>
      <w:r>
        <w:rPr>
          <w:sz w:val="22"/>
          <w:szCs w:val="22"/>
        </w:rPr>
        <w:t>In the EU context, Hanania (2019) notes that countries with economically strong CCI sectors are less likely to negotiate for protection or cultural exceptions. Countries that feel more vulnerable in terms of trade in cultural goods and services tend to show more concern for the protection of the non-market values associated with cultural and creative goods and services. Hanania (2019:</w:t>
      </w:r>
      <w:r w:rsidR="00C119C6">
        <w:rPr>
          <w:sz w:val="22"/>
          <w:szCs w:val="22"/>
        </w:rPr>
        <w:t xml:space="preserve"> </w:t>
      </w:r>
      <w:r>
        <w:rPr>
          <w:sz w:val="22"/>
          <w:szCs w:val="22"/>
        </w:rPr>
        <w:t>569) also points out that technology means that flexibility is important when it comes to designing effective cultural trade policies and emphasising that “there is no single rigid solution or model to follow”</w:t>
      </w:r>
      <w:r w:rsidR="00C119C6">
        <w:rPr>
          <w:sz w:val="22"/>
          <w:szCs w:val="22"/>
        </w:rPr>
        <w:t>.</w:t>
      </w:r>
      <w:r>
        <w:rPr>
          <w:sz w:val="22"/>
          <w:szCs w:val="22"/>
        </w:rPr>
        <w:t xml:space="preserve"> </w:t>
      </w:r>
    </w:p>
    <w:p w14:paraId="00000058" w14:textId="77777777" w:rsidR="00294ABB" w:rsidRDefault="00420BFB" w:rsidP="00835B56">
      <w:pPr>
        <w:spacing w:line="259" w:lineRule="auto"/>
        <w:rPr>
          <w:sz w:val="22"/>
          <w:szCs w:val="22"/>
        </w:rPr>
      </w:pPr>
      <w:r>
        <w:rPr>
          <w:sz w:val="22"/>
          <w:szCs w:val="22"/>
        </w:rPr>
        <w:t xml:space="preserve">The Treaty on the Functioning of the European Union does allow for some cultural exceptions to be made in free trade area (FTA) negotiations, which allows space for cultural policy that seeks to develop and promote the CCIs at a national level. The EU position has tended to be a general exclusion of the audio-visual services sector from agreements related to the establishment of FTAs, while protection of other CCI domains must be separately negotiated. Hanania (2019) argues that this creates an “oppositional logic” between trade and culture: the desire is to protect and promote local CCIs in a highly competitive international market dominated by a few larger countries, while at the same time recognising the opportunity that open trade flows provide to develop new markets. </w:t>
      </w:r>
    </w:p>
    <w:p w14:paraId="00000059" w14:textId="069876BB" w:rsidR="00294ABB" w:rsidRDefault="00420BFB" w:rsidP="00835B56">
      <w:pPr>
        <w:spacing w:line="259" w:lineRule="auto"/>
        <w:rPr>
          <w:sz w:val="22"/>
          <w:szCs w:val="22"/>
        </w:rPr>
      </w:pPr>
      <w:r>
        <w:rPr>
          <w:sz w:val="22"/>
          <w:szCs w:val="22"/>
        </w:rPr>
        <w:t xml:space="preserve">The strategic trade policy literature would argue that appropriately directed trade and industrial policy, including strategic tariff policy and other instruments, could promote CCI exports to new and existing markets while simultaneously building domestic capabilities, upskilling and creating employment in the sector, as well as addressing capital or financing constraints and information and coordination issues (Chang and Andreoni, 2020; </w:t>
      </w:r>
      <w:r w:rsidR="00BE3E59">
        <w:rPr>
          <w:sz w:val="22"/>
          <w:szCs w:val="22"/>
        </w:rPr>
        <w:t xml:space="preserve">the dtic, </w:t>
      </w:r>
      <w:r>
        <w:rPr>
          <w:sz w:val="22"/>
          <w:szCs w:val="22"/>
        </w:rPr>
        <w:t>2019).</w:t>
      </w:r>
    </w:p>
    <w:p w14:paraId="0000005A" w14:textId="77777777" w:rsidR="00294ABB" w:rsidRDefault="00420BFB" w:rsidP="00835B56">
      <w:pPr>
        <w:spacing w:line="259" w:lineRule="auto"/>
        <w:rPr>
          <w:sz w:val="22"/>
          <w:szCs w:val="22"/>
        </w:rPr>
      </w:pPr>
      <w:r>
        <w:rPr>
          <w:sz w:val="22"/>
          <w:szCs w:val="22"/>
        </w:rPr>
        <w:t xml:space="preserve">Jaramillo (2019) discusses cultural policy developments in South American countries, emphasising very similar kinds of tensions. Cultural goods do not make up a large share of the international trade of South American countries, and there is reluctance to negotiate for cultural exceptions within large and potentially lucrative FTA agreements, such as those with the United States. However, there is a need to promote domestic cultural goods and services. </w:t>
      </w:r>
    </w:p>
    <w:p w14:paraId="0000005B" w14:textId="54077CC9" w:rsidR="00294ABB" w:rsidRDefault="00420BFB" w:rsidP="00835B56">
      <w:pPr>
        <w:spacing w:line="259" w:lineRule="auto"/>
        <w:rPr>
          <w:sz w:val="22"/>
          <w:szCs w:val="22"/>
        </w:rPr>
      </w:pPr>
      <w:r>
        <w:rPr>
          <w:sz w:val="22"/>
          <w:szCs w:val="22"/>
        </w:rPr>
        <w:t xml:space="preserve">Early cultural policy in Latin America and the Caribbean was an attempt to establish cultural exceptions, resisting trade liberalisation and what was perceived as pressure from the Global North. However, like EU countries, they also saw increased trade in cultural goods and services as an opportunity, especially in the case of countries </w:t>
      </w:r>
      <w:r w:rsidR="00E21B4C">
        <w:rPr>
          <w:sz w:val="22"/>
          <w:szCs w:val="22"/>
        </w:rPr>
        <w:t xml:space="preserve">such as </w:t>
      </w:r>
      <w:r>
        <w:rPr>
          <w:sz w:val="22"/>
          <w:szCs w:val="22"/>
        </w:rPr>
        <w:t>Mexico, which has a historically strong audio-visual sector. Liberalisation provided new markets and exports have increased dramatically. However, Jaramillo (2019) emphasises that Mexico</w:t>
      </w:r>
      <w:r w:rsidR="00C93471">
        <w:rPr>
          <w:sz w:val="22"/>
          <w:szCs w:val="22"/>
        </w:rPr>
        <w:t>’</w:t>
      </w:r>
      <w:r>
        <w:rPr>
          <w:sz w:val="22"/>
          <w:szCs w:val="22"/>
        </w:rPr>
        <w:t xml:space="preserve">s success was supported through domestic policies that provided direct investment into the sector. For countries </w:t>
      </w:r>
      <w:r w:rsidR="00E21B4C">
        <w:rPr>
          <w:sz w:val="22"/>
          <w:szCs w:val="22"/>
        </w:rPr>
        <w:t xml:space="preserve">such as </w:t>
      </w:r>
      <w:r>
        <w:rPr>
          <w:sz w:val="22"/>
          <w:szCs w:val="22"/>
        </w:rPr>
        <w:t>Brazil, which faced severe economic downturns, leading to cuts in support for cultural products and the cultural industry, market liberalisation has reduced market share for cultural goods and services.</w:t>
      </w:r>
    </w:p>
    <w:p w14:paraId="0000005C" w14:textId="682AFD5C" w:rsidR="00294ABB" w:rsidRDefault="00420BFB" w:rsidP="00835B56">
      <w:pPr>
        <w:spacing w:line="259" w:lineRule="auto"/>
        <w:rPr>
          <w:sz w:val="22"/>
          <w:szCs w:val="22"/>
        </w:rPr>
      </w:pPr>
      <w:r>
        <w:rPr>
          <w:sz w:val="22"/>
          <w:szCs w:val="22"/>
        </w:rPr>
        <w:lastRenderedPageBreak/>
        <w:t>Chile is the only South American country that currently has a “cultural reserve” provision in its trade agreement with the US, which represents “a mid-way solution between Canada’s “cultural exemption” demands, and fully-fledged liberalisation” (Jaramillo, 2019:</w:t>
      </w:r>
      <w:r w:rsidR="00245940">
        <w:rPr>
          <w:sz w:val="22"/>
          <w:szCs w:val="22"/>
        </w:rPr>
        <w:t xml:space="preserve"> </w:t>
      </w:r>
      <w:r>
        <w:rPr>
          <w:sz w:val="22"/>
          <w:szCs w:val="22"/>
        </w:rPr>
        <w:t>608). Indeed, Jaramillo argues that the best way forward for cultural trade is through such “hybridization”: cultural policy should avoid positions that focus on defending what is seen as a static and unique cultural heritage or identity. Rather, a more fluid view of culture, which changes over time, and in response to contact with other cultures, should be adopted.</w:t>
      </w:r>
    </w:p>
    <w:p w14:paraId="0000005D" w14:textId="5F25DC2B" w:rsidR="00294ABB" w:rsidRDefault="00420BFB" w:rsidP="00835B56">
      <w:pPr>
        <w:spacing w:line="259" w:lineRule="auto"/>
        <w:rPr>
          <w:sz w:val="22"/>
          <w:szCs w:val="22"/>
        </w:rPr>
      </w:pPr>
      <w:r>
        <w:rPr>
          <w:sz w:val="22"/>
          <w:szCs w:val="22"/>
        </w:rPr>
        <w:t>Recent data from UNCTAD (forthcoming) gives a sense of the value of cultural goods exports (measured only in the categories shown in Table 1) by region. In 2019, Asia accounted for 58% of world cultural exports, with an annual average growth rate over the 2010</w:t>
      </w:r>
      <w:r w:rsidR="00E21B4C">
        <w:rPr>
          <w:sz w:val="22"/>
          <w:szCs w:val="22"/>
        </w:rPr>
        <w:t>–</w:t>
      </w:r>
      <w:r>
        <w:rPr>
          <w:sz w:val="22"/>
          <w:szCs w:val="22"/>
        </w:rPr>
        <w:t>2019 period of nearly 3%; Europe accounted for 33% of exports, followed by North America. Africa accounted for 0.5% of the value of cultural exports, with an average annual growth rate of -0.9% over the 2010</w:t>
      </w:r>
      <w:r w:rsidR="00E21B4C">
        <w:rPr>
          <w:sz w:val="22"/>
          <w:szCs w:val="22"/>
        </w:rPr>
        <w:t>–</w:t>
      </w:r>
      <w:r>
        <w:rPr>
          <w:sz w:val="22"/>
          <w:szCs w:val="22"/>
        </w:rPr>
        <w:t>2019 period, although the Visual Arts and Crafts domain grew by 8% per annum.</w:t>
      </w:r>
    </w:p>
    <w:p w14:paraId="0000005E" w14:textId="1F0BA621" w:rsidR="00294ABB" w:rsidRPr="00835B56" w:rsidRDefault="0055663D" w:rsidP="0055663D">
      <w:pPr>
        <w:pStyle w:val="Caption"/>
        <w:rPr>
          <w:color w:val="44546A"/>
          <w:sz w:val="20"/>
          <w:szCs w:val="20"/>
        </w:rPr>
      </w:pPr>
      <w:bookmarkStart w:id="13" w:name="_heading=h.17dp8vu" w:colFirst="0" w:colLast="0"/>
      <w:bookmarkStart w:id="14" w:name="_Toc92623701"/>
      <w:bookmarkEnd w:id="13"/>
      <w:r w:rsidRPr="00835B56">
        <w:rPr>
          <w:sz w:val="20"/>
          <w:szCs w:val="20"/>
        </w:rPr>
        <w:t xml:space="preserve">Table </w:t>
      </w:r>
      <w:r w:rsidR="00A75DC7" w:rsidRPr="00835B56">
        <w:rPr>
          <w:sz w:val="20"/>
          <w:szCs w:val="20"/>
        </w:rPr>
        <w:fldChar w:fldCharType="begin"/>
      </w:r>
      <w:r w:rsidR="00A75DC7" w:rsidRPr="00835B56">
        <w:rPr>
          <w:sz w:val="20"/>
          <w:szCs w:val="20"/>
        </w:rPr>
        <w:instrText xml:space="preserve"> SEQ Table \* ARABIC </w:instrText>
      </w:r>
      <w:r w:rsidR="00A75DC7" w:rsidRPr="00835B56">
        <w:rPr>
          <w:sz w:val="20"/>
          <w:szCs w:val="20"/>
        </w:rPr>
        <w:fldChar w:fldCharType="separate"/>
      </w:r>
      <w:r w:rsidR="00682412">
        <w:rPr>
          <w:noProof/>
          <w:sz w:val="20"/>
          <w:szCs w:val="20"/>
        </w:rPr>
        <w:t>1</w:t>
      </w:r>
      <w:r w:rsidR="00A75DC7" w:rsidRPr="00835B56">
        <w:rPr>
          <w:noProof/>
          <w:sz w:val="20"/>
          <w:szCs w:val="20"/>
        </w:rPr>
        <w:fldChar w:fldCharType="end"/>
      </w:r>
      <w:r w:rsidR="00C7002D" w:rsidRPr="00835B56">
        <w:rPr>
          <w:noProof/>
          <w:sz w:val="20"/>
          <w:szCs w:val="20"/>
        </w:rPr>
        <w:t>:</w:t>
      </w:r>
      <w:r w:rsidRPr="00835B56">
        <w:rPr>
          <w:sz w:val="20"/>
          <w:szCs w:val="20"/>
        </w:rPr>
        <w:t xml:space="preserve"> </w:t>
      </w:r>
      <w:r w:rsidR="00420BFB" w:rsidRPr="00835B56">
        <w:rPr>
          <w:color w:val="44546A"/>
          <w:sz w:val="20"/>
          <w:szCs w:val="20"/>
        </w:rPr>
        <w:t>Exports of creative goods by type and region, 2019 (US$ millions and percentage growth)</w:t>
      </w:r>
      <w:bookmarkEnd w:id="14"/>
    </w:p>
    <w:tbl>
      <w:tblPr>
        <w:tblStyle w:val="TableGrid1"/>
        <w:tblW w:w="9985" w:type="dxa"/>
        <w:tblLayout w:type="fixed"/>
        <w:tblLook w:val="0400" w:firstRow="0" w:lastRow="0" w:firstColumn="0" w:lastColumn="0" w:noHBand="0" w:noVBand="1"/>
      </w:tblPr>
      <w:tblGrid>
        <w:gridCol w:w="1705"/>
        <w:gridCol w:w="990"/>
        <w:gridCol w:w="990"/>
        <w:gridCol w:w="990"/>
        <w:gridCol w:w="900"/>
        <w:gridCol w:w="1260"/>
        <w:gridCol w:w="1170"/>
        <w:gridCol w:w="900"/>
        <w:gridCol w:w="1080"/>
      </w:tblGrid>
      <w:tr w:rsidR="00294ABB" w14:paraId="0636F0A1" w14:textId="77777777" w:rsidTr="00607A50">
        <w:trPr>
          <w:trHeight w:val="57"/>
        </w:trPr>
        <w:tc>
          <w:tcPr>
            <w:tcW w:w="1705" w:type="dxa"/>
          </w:tcPr>
          <w:p w14:paraId="0000005F" w14:textId="77777777" w:rsidR="00294ABB" w:rsidRDefault="00420BFB">
            <w:pPr>
              <w:rPr>
                <w:b/>
                <w:color w:val="000000"/>
                <w:sz w:val="18"/>
                <w:szCs w:val="18"/>
              </w:rPr>
            </w:pPr>
            <w:r>
              <w:rPr>
                <w:b/>
                <w:color w:val="000000"/>
                <w:sz w:val="18"/>
                <w:szCs w:val="18"/>
              </w:rPr>
              <w:t>Region</w:t>
            </w:r>
          </w:p>
        </w:tc>
        <w:tc>
          <w:tcPr>
            <w:tcW w:w="990" w:type="dxa"/>
          </w:tcPr>
          <w:p w14:paraId="00000060" w14:textId="77777777" w:rsidR="00294ABB" w:rsidRDefault="00420BFB">
            <w:pPr>
              <w:jc w:val="center"/>
              <w:rPr>
                <w:b/>
                <w:color w:val="000000"/>
                <w:sz w:val="18"/>
                <w:szCs w:val="18"/>
              </w:rPr>
            </w:pPr>
            <w:r>
              <w:rPr>
                <w:b/>
                <w:color w:val="000000"/>
                <w:sz w:val="18"/>
                <w:szCs w:val="18"/>
              </w:rPr>
              <w:t>Art &amp;</w:t>
            </w:r>
          </w:p>
          <w:p w14:paraId="00000061" w14:textId="77777777" w:rsidR="00294ABB" w:rsidRDefault="00420BFB">
            <w:pPr>
              <w:jc w:val="center"/>
              <w:rPr>
                <w:b/>
                <w:color w:val="000000"/>
                <w:sz w:val="18"/>
                <w:szCs w:val="18"/>
              </w:rPr>
            </w:pPr>
            <w:r>
              <w:rPr>
                <w:b/>
                <w:color w:val="000000"/>
                <w:sz w:val="18"/>
                <w:szCs w:val="18"/>
              </w:rPr>
              <w:t>Crafts</w:t>
            </w:r>
          </w:p>
        </w:tc>
        <w:tc>
          <w:tcPr>
            <w:tcW w:w="990" w:type="dxa"/>
          </w:tcPr>
          <w:p w14:paraId="00000062" w14:textId="77777777" w:rsidR="00294ABB" w:rsidRDefault="00420BFB">
            <w:pPr>
              <w:jc w:val="center"/>
              <w:rPr>
                <w:b/>
                <w:color w:val="000000"/>
                <w:sz w:val="18"/>
                <w:szCs w:val="18"/>
              </w:rPr>
            </w:pPr>
            <w:r>
              <w:rPr>
                <w:b/>
                <w:color w:val="000000"/>
                <w:sz w:val="18"/>
                <w:szCs w:val="18"/>
              </w:rPr>
              <w:t>Audio-visual</w:t>
            </w:r>
          </w:p>
        </w:tc>
        <w:tc>
          <w:tcPr>
            <w:tcW w:w="990" w:type="dxa"/>
          </w:tcPr>
          <w:p w14:paraId="00000063" w14:textId="77777777" w:rsidR="00294ABB" w:rsidRDefault="00420BFB">
            <w:pPr>
              <w:jc w:val="center"/>
              <w:rPr>
                <w:b/>
                <w:color w:val="000000"/>
                <w:sz w:val="18"/>
                <w:szCs w:val="18"/>
              </w:rPr>
            </w:pPr>
            <w:r>
              <w:rPr>
                <w:b/>
                <w:color w:val="000000"/>
                <w:sz w:val="18"/>
                <w:szCs w:val="18"/>
              </w:rPr>
              <w:t>Design</w:t>
            </w:r>
          </w:p>
        </w:tc>
        <w:tc>
          <w:tcPr>
            <w:tcW w:w="900" w:type="dxa"/>
          </w:tcPr>
          <w:p w14:paraId="00000064" w14:textId="77777777" w:rsidR="00294ABB" w:rsidRDefault="00420BFB">
            <w:pPr>
              <w:jc w:val="center"/>
              <w:rPr>
                <w:b/>
                <w:color w:val="000000"/>
                <w:sz w:val="18"/>
                <w:szCs w:val="18"/>
              </w:rPr>
            </w:pPr>
            <w:r>
              <w:rPr>
                <w:b/>
                <w:color w:val="000000"/>
                <w:sz w:val="18"/>
                <w:szCs w:val="18"/>
              </w:rPr>
              <w:t>New Media</w:t>
            </w:r>
          </w:p>
        </w:tc>
        <w:tc>
          <w:tcPr>
            <w:tcW w:w="1260" w:type="dxa"/>
          </w:tcPr>
          <w:p w14:paraId="00000065" w14:textId="77777777" w:rsidR="00294ABB" w:rsidRDefault="00420BFB">
            <w:pPr>
              <w:jc w:val="center"/>
              <w:rPr>
                <w:b/>
                <w:color w:val="000000"/>
                <w:sz w:val="18"/>
                <w:szCs w:val="18"/>
              </w:rPr>
            </w:pPr>
            <w:r>
              <w:rPr>
                <w:b/>
                <w:color w:val="000000"/>
                <w:sz w:val="18"/>
                <w:szCs w:val="18"/>
              </w:rPr>
              <w:t>Performing Arts</w:t>
            </w:r>
          </w:p>
        </w:tc>
        <w:tc>
          <w:tcPr>
            <w:tcW w:w="1170" w:type="dxa"/>
          </w:tcPr>
          <w:p w14:paraId="00000066" w14:textId="77777777" w:rsidR="00294ABB" w:rsidRDefault="00420BFB">
            <w:pPr>
              <w:jc w:val="center"/>
              <w:rPr>
                <w:b/>
                <w:color w:val="000000"/>
                <w:sz w:val="18"/>
                <w:szCs w:val="18"/>
              </w:rPr>
            </w:pPr>
            <w:r>
              <w:rPr>
                <w:b/>
                <w:color w:val="000000"/>
                <w:sz w:val="18"/>
                <w:szCs w:val="18"/>
              </w:rPr>
              <w:t>Publishing</w:t>
            </w:r>
          </w:p>
        </w:tc>
        <w:tc>
          <w:tcPr>
            <w:tcW w:w="900" w:type="dxa"/>
          </w:tcPr>
          <w:p w14:paraId="00000067" w14:textId="77777777" w:rsidR="00294ABB" w:rsidRDefault="00420BFB">
            <w:pPr>
              <w:jc w:val="center"/>
              <w:rPr>
                <w:b/>
                <w:color w:val="000000"/>
                <w:sz w:val="18"/>
                <w:szCs w:val="18"/>
              </w:rPr>
            </w:pPr>
            <w:r>
              <w:rPr>
                <w:b/>
                <w:color w:val="000000"/>
                <w:sz w:val="18"/>
                <w:szCs w:val="18"/>
              </w:rPr>
              <w:t>Visual Arts</w:t>
            </w:r>
          </w:p>
        </w:tc>
        <w:tc>
          <w:tcPr>
            <w:tcW w:w="1080" w:type="dxa"/>
          </w:tcPr>
          <w:p w14:paraId="00000068" w14:textId="77777777" w:rsidR="00294ABB" w:rsidRDefault="00420BFB">
            <w:pPr>
              <w:jc w:val="center"/>
              <w:rPr>
                <w:b/>
                <w:color w:val="000000"/>
                <w:sz w:val="18"/>
                <w:szCs w:val="18"/>
              </w:rPr>
            </w:pPr>
            <w:r>
              <w:rPr>
                <w:b/>
                <w:color w:val="000000"/>
                <w:sz w:val="18"/>
                <w:szCs w:val="18"/>
              </w:rPr>
              <w:t>Total</w:t>
            </w:r>
          </w:p>
        </w:tc>
      </w:tr>
      <w:tr w:rsidR="00294ABB" w14:paraId="04B9F1FC" w14:textId="77777777" w:rsidTr="00607A50">
        <w:trPr>
          <w:trHeight w:val="57"/>
        </w:trPr>
        <w:tc>
          <w:tcPr>
            <w:tcW w:w="1705" w:type="dxa"/>
          </w:tcPr>
          <w:p w14:paraId="00000069" w14:textId="77777777" w:rsidR="00294ABB" w:rsidRDefault="00420BFB">
            <w:pPr>
              <w:rPr>
                <w:color w:val="000000"/>
                <w:sz w:val="18"/>
                <w:szCs w:val="18"/>
              </w:rPr>
            </w:pPr>
            <w:r>
              <w:rPr>
                <w:color w:val="000000"/>
                <w:sz w:val="18"/>
                <w:szCs w:val="18"/>
              </w:rPr>
              <w:t>Africa</w:t>
            </w:r>
          </w:p>
        </w:tc>
        <w:tc>
          <w:tcPr>
            <w:tcW w:w="990" w:type="dxa"/>
          </w:tcPr>
          <w:p w14:paraId="0000006A" w14:textId="77777777" w:rsidR="00294ABB" w:rsidRDefault="00420BFB">
            <w:pPr>
              <w:jc w:val="center"/>
              <w:rPr>
                <w:color w:val="000000"/>
                <w:sz w:val="18"/>
                <w:szCs w:val="18"/>
              </w:rPr>
            </w:pPr>
            <w:r>
              <w:rPr>
                <w:color w:val="000000"/>
                <w:sz w:val="18"/>
                <w:szCs w:val="18"/>
              </w:rPr>
              <w:t>685.6</w:t>
            </w:r>
          </w:p>
        </w:tc>
        <w:tc>
          <w:tcPr>
            <w:tcW w:w="990" w:type="dxa"/>
          </w:tcPr>
          <w:p w14:paraId="0000006B" w14:textId="77777777" w:rsidR="00294ABB" w:rsidRDefault="00420BFB">
            <w:pPr>
              <w:jc w:val="center"/>
              <w:rPr>
                <w:color w:val="000000"/>
                <w:sz w:val="18"/>
                <w:szCs w:val="18"/>
              </w:rPr>
            </w:pPr>
            <w:r>
              <w:rPr>
                <w:color w:val="000000"/>
                <w:sz w:val="18"/>
                <w:szCs w:val="18"/>
              </w:rPr>
              <w:t>46.4</w:t>
            </w:r>
          </w:p>
        </w:tc>
        <w:tc>
          <w:tcPr>
            <w:tcW w:w="990" w:type="dxa"/>
          </w:tcPr>
          <w:p w14:paraId="0000006C" w14:textId="77777777" w:rsidR="00294ABB" w:rsidRDefault="00420BFB">
            <w:pPr>
              <w:jc w:val="center"/>
              <w:rPr>
                <w:color w:val="000000"/>
                <w:sz w:val="18"/>
                <w:szCs w:val="18"/>
              </w:rPr>
            </w:pPr>
            <w:r>
              <w:rPr>
                <w:color w:val="000000"/>
                <w:sz w:val="18"/>
                <w:szCs w:val="18"/>
              </w:rPr>
              <w:t>1372.7</w:t>
            </w:r>
          </w:p>
        </w:tc>
        <w:tc>
          <w:tcPr>
            <w:tcW w:w="900" w:type="dxa"/>
          </w:tcPr>
          <w:p w14:paraId="0000006D" w14:textId="77777777" w:rsidR="00294ABB" w:rsidRDefault="00420BFB">
            <w:pPr>
              <w:jc w:val="center"/>
              <w:rPr>
                <w:color w:val="000000"/>
                <w:sz w:val="18"/>
                <w:szCs w:val="18"/>
              </w:rPr>
            </w:pPr>
            <w:r>
              <w:rPr>
                <w:color w:val="000000"/>
                <w:sz w:val="18"/>
                <w:szCs w:val="18"/>
              </w:rPr>
              <w:t>71.2</w:t>
            </w:r>
          </w:p>
        </w:tc>
        <w:tc>
          <w:tcPr>
            <w:tcW w:w="1260" w:type="dxa"/>
          </w:tcPr>
          <w:p w14:paraId="0000006E" w14:textId="77777777" w:rsidR="00294ABB" w:rsidRDefault="00420BFB">
            <w:pPr>
              <w:jc w:val="center"/>
              <w:rPr>
                <w:color w:val="000000"/>
                <w:sz w:val="18"/>
                <w:szCs w:val="18"/>
              </w:rPr>
            </w:pPr>
            <w:r>
              <w:rPr>
                <w:color w:val="000000"/>
                <w:sz w:val="18"/>
                <w:szCs w:val="18"/>
              </w:rPr>
              <w:t>8.5</w:t>
            </w:r>
          </w:p>
        </w:tc>
        <w:tc>
          <w:tcPr>
            <w:tcW w:w="1170" w:type="dxa"/>
          </w:tcPr>
          <w:p w14:paraId="0000006F" w14:textId="77777777" w:rsidR="00294ABB" w:rsidRDefault="00420BFB">
            <w:pPr>
              <w:jc w:val="center"/>
              <w:rPr>
                <w:color w:val="000000"/>
                <w:sz w:val="18"/>
                <w:szCs w:val="18"/>
              </w:rPr>
            </w:pPr>
            <w:r>
              <w:rPr>
                <w:color w:val="000000"/>
                <w:sz w:val="18"/>
                <w:szCs w:val="18"/>
              </w:rPr>
              <w:t>157.8</w:t>
            </w:r>
          </w:p>
        </w:tc>
        <w:tc>
          <w:tcPr>
            <w:tcW w:w="900" w:type="dxa"/>
          </w:tcPr>
          <w:p w14:paraId="00000070" w14:textId="77777777" w:rsidR="00294ABB" w:rsidRDefault="00420BFB">
            <w:pPr>
              <w:jc w:val="center"/>
              <w:rPr>
                <w:color w:val="000000"/>
                <w:sz w:val="18"/>
                <w:szCs w:val="18"/>
              </w:rPr>
            </w:pPr>
            <w:r>
              <w:rPr>
                <w:color w:val="000000"/>
                <w:sz w:val="18"/>
                <w:szCs w:val="18"/>
              </w:rPr>
              <w:t>360.2</w:t>
            </w:r>
          </w:p>
        </w:tc>
        <w:tc>
          <w:tcPr>
            <w:tcW w:w="1080" w:type="dxa"/>
          </w:tcPr>
          <w:p w14:paraId="00000071" w14:textId="77777777" w:rsidR="00294ABB" w:rsidRDefault="00420BFB">
            <w:pPr>
              <w:jc w:val="center"/>
              <w:rPr>
                <w:b/>
                <w:color w:val="000000"/>
                <w:sz w:val="18"/>
                <w:szCs w:val="18"/>
              </w:rPr>
            </w:pPr>
            <w:r>
              <w:rPr>
                <w:b/>
                <w:color w:val="000000"/>
                <w:sz w:val="18"/>
                <w:szCs w:val="18"/>
              </w:rPr>
              <w:t>2702.5</w:t>
            </w:r>
          </w:p>
        </w:tc>
      </w:tr>
      <w:tr w:rsidR="00294ABB" w14:paraId="6C850B70" w14:textId="77777777" w:rsidTr="00607A50">
        <w:trPr>
          <w:trHeight w:val="57"/>
        </w:trPr>
        <w:tc>
          <w:tcPr>
            <w:tcW w:w="1705" w:type="dxa"/>
          </w:tcPr>
          <w:p w14:paraId="00000072" w14:textId="77777777" w:rsidR="00294ABB" w:rsidRDefault="00420BFB">
            <w:pPr>
              <w:rPr>
                <w:color w:val="000000"/>
                <w:sz w:val="18"/>
                <w:szCs w:val="18"/>
              </w:rPr>
            </w:pPr>
            <w:r>
              <w:rPr>
                <w:color w:val="000000"/>
                <w:sz w:val="18"/>
                <w:szCs w:val="18"/>
              </w:rPr>
              <w:t xml:space="preserve"> - Growth rate</w:t>
            </w:r>
          </w:p>
        </w:tc>
        <w:tc>
          <w:tcPr>
            <w:tcW w:w="990" w:type="dxa"/>
          </w:tcPr>
          <w:p w14:paraId="00000073" w14:textId="77777777" w:rsidR="00294ABB" w:rsidRDefault="00420BFB">
            <w:pPr>
              <w:jc w:val="center"/>
              <w:rPr>
                <w:color w:val="000000"/>
                <w:sz w:val="18"/>
                <w:szCs w:val="18"/>
              </w:rPr>
            </w:pPr>
            <w:r>
              <w:rPr>
                <w:color w:val="000000"/>
                <w:sz w:val="18"/>
                <w:szCs w:val="18"/>
              </w:rPr>
              <w:t>-2.3</w:t>
            </w:r>
          </w:p>
        </w:tc>
        <w:tc>
          <w:tcPr>
            <w:tcW w:w="990" w:type="dxa"/>
          </w:tcPr>
          <w:p w14:paraId="00000074" w14:textId="77777777" w:rsidR="00294ABB" w:rsidRDefault="00420BFB">
            <w:pPr>
              <w:jc w:val="center"/>
              <w:rPr>
                <w:color w:val="000000"/>
                <w:sz w:val="18"/>
                <w:szCs w:val="18"/>
              </w:rPr>
            </w:pPr>
            <w:r>
              <w:rPr>
                <w:color w:val="000000"/>
                <w:sz w:val="18"/>
                <w:szCs w:val="18"/>
              </w:rPr>
              <w:t>-2.0</w:t>
            </w:r>
          </w:p>
        </w:tc>
        <w:tc>
          <w:tcPr>
            <w:tcW w:w="990" w:type="dxa"/>
          </w:tcPr>
          <w:p w14:paraId="00000075" w14:textId="77777777" w:rsidR="00294ABB" w:rsidRDefault="00420BFB">
            <w:pPr>
              <w:jc w:val="center"/>
              <w:rPr>
                <w:color w:val="000000"/>
                <w:sz w:val="18"/>
                <w:szCs w:val="18"/>
              </w:rPr>
            </w:pPr>
            <w:r>
              <w:rPr>
                <w:color w:val="000000"/>
                <w:sz w:val="18"/>
                <w:szCs w:val="18"/>
              </w:rPr>
              <w:t>-0.2</w:t>
            </w:r>
          </w:p>
        </w:tc>
        <w:tc>
          <w:tcPr>
            <w:tcW w:w="900" w:type="dxa"/>
          </w:tcPr>
          <w:p w14:paraId="00000076" w14:textId="77777777" w:rsidR="00294ABB" w:rsidRDefault="00420BFB">
            <w:pPr>
              <w:jc w:val="center"/>
              <w:rPr>
                <w:color w:val="000000"/>
                <w:sz w:val="18"/>
                <w:szCs w:val="18"/>
              </w:rPr>
            </w:pPr>
            <w:r>
              <w:rPr>
                <w:color w:val="000000"/>
                <w:sz w:val="18"/>
                <w:szCs w:val="18"/>
              </w:rPr>
              <w:t>-7.0</w:t>
            </w:r>
          </w:p>
        </w:tc>
        <w:tc>
          <w:tcPr>
            <w:tcW w:w="1260" w:type="dxa"/>
          </w:tcPr>
          <w:p w14:paraId="00000077" w14:textId="77777777" w:rsidR="00294ABB" w:rsidRDefault="00420BFB">
            <w:pPr>
              <w:jc w:val="center"/>
              <w:rPr>
                <w:color w:val="000000"/>
                <w:sz w:val="18"/>
                <w:szCs w:val="18"/>
              </w:rPr>
            </w:pPr>
            <w:r>
              <w:rPr>
                <w:color w:val="000000"/>
                <w:sz w:val="18"/>
                <w:szCs w:val="18"/>
              </w:rPr>
              <w:t>-2.3</w:t>
            </w:r>
          </w:p>
        </w:tc>
        <w:tc>
          <w:tcPr>
            <w:tcW w:w="1170" w:type="dxa"/>
          </w:tcPr>
          <w:p w14:paraId="00000078" w14:textId="77777777" w:rsidR="00294ABB" w:rsidRDefault="00420BFB">
            <w:pPr>
              <w:jc w:val="center"/>
              <w:rPr>
                <w:color w:val="000000"/>
                <w:sz w:val="18"/>
                <w:szCs w:val="18"/>
              </w:rPr>
            </w:pPr>
            <w:r>
              <w:rPr>
                <w:color w:val="000000"/>
                <w:sz w:val="18"/>
                <w:szCs w:val="18"/>
              </w:rPr>
              <w:t>-7.6</w:t>
            </w:r>
          </w:p>
        </w:tc>
        <w:tc>
          <w:tcPr>
            <w:tcW w:w="900" w:type="dxa"/>
          </w:tcPr>
          <w:p w14:paraId="00000079" w14:textId="77777777" w:rsidR="00294ABB" w:rsidRDefault="00420BFB">
            <w:pPr>
              <w:jc w:val="center"/>
              <w:rPr>
                <w:color w:val="000000"/>
                <w:sz w:val="18"/>
                <w:szCs w:val="18"/>
              </w:rPr>
            </w:pPr>
            <w:r>
              <w:rPr>
                <w:color w:val="000000"/>
                <w:sz w:val="18"/>
                <w:szCs w:val="18"/>
              </w:rPr>
              <w:t>8.0</w:t>
            </w:r>
          </w:p>
        </w:tc>
        <w:tc>
          <w:tcPr>
            <w:tcW w:w="1080" w:type="dxa"/>
          </w:tcPr>
          <w:p w14:paraId="0000007A" w14:textId="77777777" w:rsidR="00294ABB" w:rsidRDefault="00420BFB">
            <w:pPr>
              <w:jc w:val="center"/>
              <w:rPr>
                <w:color w:val="000000"/>
                <w:sz w:val="18"/>
                <w:szCs w:val="18"/>
              </w:rPr>
            </w:pPr>
            <w:r>
              <w:rPr>
                <w:color w:val="000000"/>
                <w:sz w:val="18"/>
                <w:szCs w:val="18"/>
              </w:rPr>
              <w:t>-0.9</w:t>
            </w:r>
          </w:p>
        </w:tc>
      </w:tr>
      <w:tr w:rsidR="00294ABB" w14:paraId="4714BF0C" w14:textId="77777777" w:rsidTr="00607A50">
        <w:trPr>
          <w:trHeight w:val="57"/>
        </w:trPr>
        <w:tc>
          <w:tcPr>
            <w:tcW w:w="1705" w:type="dxa"/>
          </w:tcPr>
          <w:p w14:paraId="0000007B" w14:textId="77777777" w:rsidR="00294ABB" w:rsidRDefault="00420BFB">
            <w:pPr>
              <w:rPr>
                <w:color w:val="000000"/>
                <w:sz w:val="18"/>
                <w:szCs w:val="18"/>
              </w:rPr>
            </w:pPr>
            <w:r>
              <w:rPr>
                <w:color w:val="000000"/>
                <w:sz w:val="18"/>
                <w:szCs w:val="18"/>
              </w:rPr>
              <w:t>Asia</w:t>
            </w:r>
          </w:p>
        </w:tc>
        <w:tc>
          <w:tcPr>
            <w:tcW w:w="990" w:type="dxa"/>
          </w:tcPr>
          <w:p w14:paraId="0000007C" w14:textId="77777777" w:rsidR="00294ABB" w:rsidRDefault="00420BFB">
            <w:pPr>
              <w:jc w:val="center"/>
              <w:rPr>
                <w:color w:val="000000"/>
                <w:sz w:val="18"/>
                <w:szCs w:val="18"/>
              </w:rPr>
            </w:pPr>
            <w:r>
              <w:rPr>
                <w:color w:val="000000"/>
                <w:sz w:val="18"/>
                <w:szCs w:val="18"/>
              </w:rPr>
              <w:t>29363.9</w:t>
            </w:r>
          </w:p>
        </w:tc>
        <w:tc>
          <w:tcPr>
            <w:tcW w:w="990" w:type="dxa"/>
          </w:tcPr>
          <w:p w14:paraId="0000007D" w14:textId="77777777" w:rsidR="00294ABB" w:rsidRDefault="00420BFB">
            <w:pPr>
              <w:jc w:val="center"/>
              <w:rPr>
                <w:color w:val="000000"/>
                <w:sz w:val="18"/>
                <w:szCs w:val="18"/>
              </w:rPr>
            </w:pPr>
            <w:r>
              <w:rPr>
                <w:color w:val="000000"/>
                <w:sz w:val="18"/>
                <w:szCs w:val="18"/>
              </w:rPr>
              <w:t>7486.3</w:t>
            </w:r>
          </w:p>
        </w:tc>
        <w:tc>
          <w:tcPr>
            <w:tcW w:w="990" w:type="dxa"/>
          </w:tcPr>
          <w:p w14:paraId="0000007E" w14:textId="77777777" w:rsidR="00294ABB" w:rsidRDefault="00420BFB">
            <w:pPr>
              <w:jc w:val="center"/>
              <w:rPr>
                <w:color w:val="000000"/>
                <w:sz w:val="18"/>
                <w:szCs w:val="18"/>
              </w:rPr>
            </w:pPr>
            <w:r>
              <w:rPr>
                <w:color w:val="000000"/>
                <w:sz w:val="18"/>
                <w:szCs w:val="18"/>
              </w:rPr>
              <w:t>227882.4</w:t>
            </w:r>
          </w:p>
        </w:tc>
        <w:tc>
          <w:tcPr>
            <w:tcW w:w="900" w:type="dxa"/>
          </w:tcPr>
          <w:p w14:paraId="0000007F" w14:textId="77777777" w:rsidR="00294ABB" w:rsidRDefault="00420BFB">
            <w:pPr>
              <w:jc w:val="center"/>
              <w:rPr>
                <w:color w:val="000000"/>
                <w:sz w:val="18"/>
                <w:szCs w:val="18"/>
              </w:rPr>
            </w:pPr>
            <w:r>
              <w:rPr>
                <w:color w:val="000000"/>
                <w:sz w:val="18"/>
                <w:szCs w:val="18"/>
              </w:rPr>
              <w:t>30356.0</w:t>
            </w:r>
          </w:p>
        </w:tc>
        <w:tc>
          <w:tcPr>
            <w:tcW w:w="1260" w:type="dxa"/>
          </w:tcPr>
          <w:p w14:paraId="00000080" w14:textId="77777777" w:rsidR="00294ABB" w:rsidRDefault="00420BFB">
            <w:pPr>
              <w:jc w:val="center"/>
              <w:rPr>
                <w:color w:val="000000"/>
                <w:sz w:val="18"/>
                <w:szCs w:val="18"/>
              </w:rPr>
            </w:pPr>
            <w:r>
              <w:rPr>
                <w:color w:val="000000"/>
                <w:sz w:val="18"/>
                <w:szCs w:val="18"/>
              </w:rPr>
              <w:t>3895.0</w:t>
            </w:r>
          </w:p>
        </w:tc>
        <w:tc>
          <w:tcPr>
            <w:tcW w:w="1170" w:type="dxa"/>
          </w:tcPr>
          <w:p w14:paraId="00000081" w14:textId="77777777" w:rsidR="00294ABB" w:rsidRDefault="00420BFB">
            <w:pPr>
              <w:jc w:val="center"/>
              <w:rPr>
                <w:color w:val="000000"/>
                <w:sz w:val="18"/>
                <w:szCs w:val="18"/>
              </w:rPr>
            </w:pPr>
            <w:r>
              <w:rPr>
                <w:color w:val="000000"/>
                <w:sz w:val="18"/>
                <w:szCs w:val="18"/>
              </w:rPr>
              <w:t>8060.8</w:t>
            </w:r>
          </w:p>
        </w:tc>
        <w:tc>
          <w:tcPr>
            <w:tcW w:w="900" w:type="dxa"/>
          </w:tcPr>
          <w:p w14:paraId="00000082" w14:textId="77777777" w:rsidR="00294ABB" w:rsidRDefault="00420BFB">
            <w:pPr>
              <w:jc w:val="center"/>
              <w:rPr>
                <w:color w:val="000000"/>
                <w:sz w:val="18"/>
                <w:szCs w:val="18"/>
              </w:rPr>
            </w:pPr>
            <w:r>
              <w:rPr>
                <w:color w:val="000000"/>
                <w:sz w:val="18"/>
                <w:szCs w:val="18"/>
              </w:rPr>
              <w:t>11188.4</w:t>
            </w:r>
          </w:p>
        </w:tc>
        <w:tc>
          <w:tcPr>
            <w:tcW w:w="1080" w:type="dxa"/>
          </w:tcPr>
          <w:p w14:paraId="00000083" w14:textId="77777777" w:rsidR="00294ABB" w:rsidRDefault="00420BFB">
            <w:pPr>
              <w:jc w:val="center"/>
              <w:rPr>
                <w:b/>
                <w:color w:val="000000"/>
                <w:sz w:val="18"/>
                <w:szCs w:val="18"/>
              </w:rPr>
            </w:pPr>
            <w:r>
              <w:rPr>
                <w:b/>
                <w:color w:val="000000"/>
                <w:sz w:val="18"/>
                <w:szCs w:val="18"/>
              </w:rPr>
              <w:t>318232.7</w:t>
            </w:r>
          </w:p>
        </w:tc>
      </w:tr>
      <w:tr w:rsidR="00294ABB" w14:paraId="01F216D7" w14:textId="77777777" w:rsidTr="00607A50">
        <w:trPr>
          <w:trHeight w:val="57"/>
        </w:trPr>
        <w:tc>
          <w:tcPr>
            <w:tcW w:w="1705" w:type="dxa"/>
          </w:tcPr>
          <w:p w14:paraId="00000084" w14:textId="77777777" w:rsidR="00294ABB" w:rsidRDefault="00420BFB">
            <w:pPr>
              <w:rPr>
                <w:color w:val="000000"/>
                <w:sz w:val="18"/>
                <w:szCs w:val="18"/>
              </w:rPr>
            </w:pPr>
            <w:r>
              <w:rPr>
                <w:color w:val="000000"/>
                <w:sz w:val="18"/>
                <w:szCs w:val="18"/>
              </w:rPr>
              <w:t xml:space="preserve"> - Growth rate</w:t>
            </w:r>
          </w:p>
        </w:tc>
        <w:tc>
          <w:tcPr>
            <w:tcW w:w="990" w:type="dxa"/>
          </w:tcPr>
          <w:p w14:paraId="00000085" w14:textId="77777777" w:rsidR="00294ABB" w:rsidRDefault="00420BFB">
            <w:pPr>
              <w:jc w:val="center"/>
              <w:rPr>
                <w:color w:val="000000"/>
                <w:sz w:val="18"/>
                <w:szCs w:val="18"/>
              </w:rPr>
            </w:pPr>
            <w:r>
              <w:rPr>
                <w:color w:val="000000"/>
                <w:sz w:val="18"/>
                <w:szCs w:val="18"/>
              </w:rPr>
              <w:t>3.8</w:t>
            </w:r>
          </w:p>
        </w:tc>
        <w:tc>
          <w:tcPr>
            <w:tcW w:w="990" w:type="dxa"/>
          </w:tcPr>
          <w:p w14:paraId="00000086" w14:textId="77777777" w:rsidR="00294ABB" w:rsidRDefault="00420BFB">
            <w:pPr>
              <w:jc w:val="center"/>
              <w:rPr>
                <w:color w:val="000000"/>
                <w:sz w:val="18"/>
                <w:szCs w:val="18"/>
              </w:rPr>
            </w:pPr>
            <w:r>
              <w:rPr>
                <w:color w:val="000000"/>
                <w:sz w:val="18"/>
                <w:szCs w:val="18"/>
              </w:rPr>
              <w:t>-5.5</w:t>
            </w:r>
          </w:p>
        </w:tc>
        <w:tc>
          <w:tcPr>
            <w:tcW w:w="990" w:type="dxa"/>
          </w:tcPr>
          <w:p w14:paraId="00000087" w14:textId="77777777" w:rsidR="00294ABB" w:rsidRDefault="00420BFB">
            <w:pPr>
              <w:jc w:val="center"/>
              <w:rPr>
                <w:color w:val="000000"/>
                <w:sz w:val="18"/>
                <w:szCs w:val="18"/>
              </w:rPr>
            </w:pPr>
            <w:r>
              <w:rPr>
                <w:color w:val="000000"/>
                <w:sz w:val="18"/>
                <w:szCs w:val="18"/>
              </w:rPr>
              <w:t>4.1</w:t>
            </w:r>
          </w:p>
        </w:tc>
        <w:tc>
          <w:tcPr>
            <w:tcW w:w="900" w:type="dxa"/>
          </w:tcPr>
          <w:p w14:paraId="00000088" w14:textId="77777777" w:rsidR="00294ABB" w:rsidRDefault="00420BFB">
            <w:pPr>
              <w:jc w:val="center"/>
              <w:rPr>
                <w:color w:val="000000"/>
                <w:sz w:val="18"/>
                <w:szCs w:val="18"/>
              </w:rPr>
            </w:pPr>
            <w:r>
              <w:rPr>
                <w:color w:val="000000"/>
                <w:sz w:val="18"/>
                <w:szCs w:val="18"/>
              </w:rPr>
              <w:t>-1.6</w:t>
            </w:r>
          </w:p>
        </w:tc>
        <w:tc>
          <w:tcPr>
            <w:tcW w:w="1260" w:type="dxa"/>
          </w:tcPr>
          <w:p w14:paraId="00000089" w14:textId="77777777" w:rsidR="00294ABB" w:rsidRDefault="00420BFB">
            <w:pPr>
              <w:jc w:val="center"/>
              <w:rPr>
                <w:color w:val="000000"/>
                <w:sz w:val="18"/>
                <w:szCs w:val="18"/>
              </w:rPr>
            </w:pPr>
            <w:r>
              <w:rPr>
                <w:color w:val="000000"/>
                <w:sz w:val="18"/>
                <w:szCs w:val="18"/>
              </w:rPr>
              <w:t>1.3</w:t>
            </w:r>
          </w:p>
        </w:tc>
        <w:tc>
          <w:tcPr>
            <w:tcW w:w="1170" w:type="dxa"/>
          </w:tcPr>
          <w:p w14:paraId="0000008A" w14:textId="77777777" w:rsidR="00294ABB" w:rsidRDefault="00420BFB">
            <w:pPr>
              <w:jc w:val="center"/>
              <w:rPr>
                <w:color w:val="000000"/>
                <w:sz w:val="18"/>
                <w:szCs w:val="18"/>
              </w:rPr>
            </w:pPr>
            <w:r>
              <w:rPr>
                <w:color w:val="000000"/>
                <w:sz w:val="18"/>
                <w:szCs w:val="18"/>
              </w:rPr>
              <w:t>-1.2</w:t>
            </w:r>
          </w:p>
        </w:tc>
        <w:tc>
          <w:tcPr>
            <w:tcW w:w="900" w:type="dxa"/>
          </w:tcPr>
          <w:p w14:paraId="0000008B" w14:textId="77777777" w:rsidR="00294ABB" w:rsidRDefault="00420BFB">
            <w:pPr>
              <w:jc w:val="center"/>
              <w:rPr>
                <w:color w:val="000000"/>
                <w:sz w:val="18"/>
                <w:szCs w:val="18"/>
              </w:rPr>
            </w:pPr>
            <w:r>
              <w:rPr>
                <w:color w:val="000000"/>
                <w:sz w:val="18"/>
                <w:szCs w:val="18"/>
              </w:rPr>
              <w:t>4.9</w:t>
            </w:r>
          </w:p>
        </w:tc>
        <w:tc>
          <w:tcPr>
            <w:tcW w:w="1080" w:type="dxa"/>
          </w:tcPr>
          <w:p w14:paraId="0000008C" w14:textId="77777777" w:rsidR="00294ABB" w:rsidRDefault="00420BFB">
            <w:pPr>
              <w:jc w:val="center"/>
              <w:rPr>
                <w:color w:val="000000"/>
                <w:sz w:val="18"/>
                <w:szCs w:val="18"/>
              </w:rPr>
            </w:pPr>
            <w:r>
              <w:rPr>
                <w:color w:val="000000"/>
                <w:sz w:val="18"/>
                <w:szCs w:val="18"/>
              </w:rPr>
              <w:t>2.9</w:t>
            </w:r>
          </w:p>
        </w:tc>
      </w:tr>
      <w:tr w:rsidR="00294ABB" w14:paraId="3F62E3AA" w14:textId="77777777" w:rsidTr="00607A50">
        <w:trPr>
          <w:trHeight w:val="57"/>
        </w:trPr>
        <w:tc>
          <w:tcPr>
            <w:tcW w:w="1705" w:type="dxa"/>
          </w:tcPr>
          <w:p w14:paraId="0000008D" w14:textId="77777777" w:rsidR="00294ABB" w:rsidRDefault="00420BFB">
            <w:pPr>
              <w:rPr>
                <w:color w:val="000000"/>
                <w:sz w:val="18"/>
                <w:szCs w:val="18"/>
              </w:rPr>
            </w:pPr>
            <w:r>
              <w:rPr>
                <w:color w:val="000000"/>
                <w:sz w:val="18"/>
                <w:szCs w:val="18"/>
              </w:rPr>
              <w:t>Europe</w:t>
            </w:r>
          </w:p>
        </w:tc>
        <w:tc>
          <w:tcPr>
            <w:tcW w:w="990" w:type="dxa"/>
          </w:tcPr>
          <w:p w14:paraId="0000008E" w14:textId="77777777" w:rsidR="00294ABB" w:rsidRDefault="00420BFB">
            <w:pPr>
              <w:jc w:val="center"/>
              <w:rPr>
                <w:color w:val="000000"/>
                <w:sz w:val="18"/>
                <w:szCs w:val="18"/>
              </w:rPr>
            </w:pPr>
            <w:r>
              <w:rPr>
                <w:color w:val="000000"/>
                <w:sz w:val="18"/>
                <w:szCs w:val="18"/>
              </w:rPr>
              <w:t>7216.8</w:t>
            </w:r>
          </w:p>
        </w:tc>
        <w:tc>
          <w:tcPr>
            <w:tcW w:w="990" w:type="dxa"/>
          </w:tcPr>
          <w:p w14:paraId="0000008F" w14:textId="77777777" w:rsidR="00294ABB" w:rsidRDefault="00420BFB">
            <w:pPr>
              <w:jc w:val="center"/>
              <w:rPr>
                <w:color w:val="000000"/>
                <w:sz w:val="18"/>
                <w:szCs w:val="18"/>
              </w:rPr>
            </w:pPr>
            <w:r>
              <w:rPr>
                <w:color w:val="000000"/>
                <w:sz w:val="18"/>
                <w:szCs w:val="18"/>
              </w:rPr>
              <w:t>8912.7</w:t>
            </w:r>
          </w:p>
        </w:tc>
        <w:tc>
          <w:tcPr>
            <w:tcW w:w="990" w:type="dxa"/>
          </w:tcPr>
          <w:p w14:paraId="00000090" w14:textId="77777777" w:rsidR="00294ABB" w:rsidRDefault="00420BFB">
            <w:pPr>
              <w:jc w:val="center"/>
              <w:rPr>
                <w:color w:val="000000"/>
                <w:sz w:val="18"/>
                <w:szCs w:val="18"/>
              </w:rPr>
            </w:pPr>
            <w:r>
              <w:rPr>
                <w:color w:val="000000"/>
                <w:sz w:val="18"/>
                <w:szCs w:val="18"/>
              </w:rPr>
              <w:t>121545.9</w:t>
            </w:r>
          </w:p>
        </w:tc>
        <w:tc>
          <w:tcPr>
            <w:tcW w:w="900" w:type="dxa"/>
          </w:tcPr>
          <w:p w14:paraId="00000091" w14:textId="77777777" w:rsidR="00294ABB" w:rsidRDefault="00420BFB">
            <w:pPr>
              <w:jc w:val="center"/>
              <w:rPr>
                <w:color w:val="000000"/>
                <w:sz w:val="18"/>
                <w:szCs w:val="18"/>
              </w:rPr>
            </w:pPr>
            <w:r>
              <w:rPr>
                <w:color w:val="000000"/>
                <w:sz w:val="18"/>
                <w:szCs w:val="18"/>
              </w:rPr>
              <w:t>6797.2</w:t>
            </w:r>
          </w:p>
        </w:tc>
        <w:tc>
          <w:tcPr>
            <w:tcW w:w="1260" w:type="dxa"/>
          </w:tcPr>
          <w:p w14:paraId="00000092" w14:textId="77777777" w:rsidR="00294ABB" w:rsidRDefault="00420BFB">
            <w:pPr>
              <w:jc w:val="center"/>
              <w:rPr>
                <w:color w:val="000000"/>
                <w:sz w:val="18"/>
                <w:szCs w:val="18"/>
              </w:rPr>
            </w:pPr>
            <w:r>
              <w:rPr>
                <w:color w:val="000000"/>
                <w:sz w:val="18"/>
                <w:szCs w:val="18"/>
              </w:rPr>
              <w:t>1537.8</w:t>
            </w:r>
          </w:p>
        </w:tc>
        <w:tc>
          <w:tcPr>
            <w:tcW w:w="1170" w:type="dxa"/>
          </w:tcPr>
          <w:p w14:paraId="00000093" w14:textId="77777777" w:rsidR="00294ABB" w:rsidRDefault="00420BFB">
            <w:pPr>
              <w:jc w:val="center"/>
              <w:rPr>
                <w:color w:val="000000"/>
                <w:sz w:val="18"/>
                <w:szCs w:val="18"/>
              </w:rPr>
            </w:pPr>
            <w:r>
              <w:rPr>
                <w:color w:val="000000"/>
                <w:sz w:val="18"/>
                <w:szCs w:val="18"/>
              </w:rPr>
              <w:t>18465.1</w:t>
            </w:r>
          </w:p>
        </w:tc>
        <w:tc>
          <w:tcPr>
            <w:tcW w:w="900" w:type="dxa"/>
          </w:tcPr>
          <w:p w14:paraId="00000094" w14:textId="77777777" w:rsidR="00294ABB" w:rsidRDefault="00420BFB">
            <w:pPr>
              <w:jc w:val="center"/>
              <w:rPr>
                <w:color w:val="000000"/>
                <w:sz w:val="18"/>
                <w:szCs w:val="18"/>
              </w:rPr>
            </w:pPr>
            <w:r>
              <w:rPr>
                <w:color w:val="000000"/>
                <w:sz w:val="18"/>
                <w:szCs w:val="18"/>
              </w:rPr>
              <w:t>17302.8</w:t>
            </w:r>
          </w:p>
        </w:tc>
        <w:tc>
          <w:tcPr>
            <w:tcW w:w="1080" w:type="dxa"/>
          </w:tcPr>
          <w:p w14:paraId="00000095" w14:textId="77777777" w:rsidR="00294ABB" w:rsidRDefault="00420BFB">
            <w:pPr>
              <w:jc w:val="center"/>
              <w:rPr>
                <w:b/>
                <w:color w:val="000000"/>
                <w:sz w:val="18"/>
                <w:szCs w:val="18"/>
              </w:rPr>
            </w:pPr>
            <w:r>
              <w:rPr>
                <w:b/>
                <w:color w:val="000000"/>
                <w:sz w:val="18"/>
                <w:szCs w:val="18"/>
              </w:rPr>
              <w:t>181778.2</w:t>
            </w:r>
          </w:p>
        </w:tc>
      </w:tr>
      <w:tr w:rsidR="00294ABB" w14:paraId="4FC4B505" w14:textId="77777777" w:rsidTr="00607A50">
        <w:trPr>
          <w:trHeight w:val="57"/>
        </w:trPr>
        <w:tc>
          <w:tcPr>
            <w:tcW w:w="1705" w:type="dxa"/>
          </w:tcPr>
          <w:p w14:paraId="00000096" w14:textId="77777777" w:rsidR="00294ABB" w:rsidRDefault="00420BFB">
            <w:pPr>
              <w:rPr>
                <w:color w:val="000000"/>
                <w:sz w:val="18"/>
                <w:szCs w:val="18"/>
              </w:rPr>
            </w:pPr>
            <w:r>
              <w:rPr>
                <w:color w:val="000000"/>
                <w:sz w:val="18"/>
                <w:szCs w:val="18"/>
              </w:rPr>
              <w:t xml:space="preserve"> - Growth rate</w:t>
            </w:r>
          </w:p>
        </w:tc>
        <w:tc>
          <w:tcPr>
            <w:tcW w:w="990" w:type="dxa"/>
          </w:tcPr>
          <w:p w14:paraId="00000097" w14:textId="77777777" w:rsidR="00294ABB" w:rsidRDefault="00420BFB">
            <w:pPr>
              <w:jc w:val="center"/>
              <w:rPr>
                <w:color w:val="000000"/>
                <w:sz w:val="18"/>
                <w:szCs w:val="18"/>
              </w:rPr>
            </w:pPr>
            <w:r>
              <w:rPr>
                <w:color w:val="000000"/>
                <w:sz w:val="18"/>
                <w:szCs w:val="18"/>
              </w:rPr>
              <w:t>0.1</w:t>
            </w:r>
          </w:p>
        </w:tc>
        <w:tc>
          <w:tcPr>
            <w:tcW w:w="990" w:type="dxa"/>
          </w:tcPr>
          <w:p w14:paraId="00000098" w14:textId="77777777" w:rsidR="00294ABB" w:rsidRDefault="00420BFB">
            <w:pPr>
              <w:jc w:val="center"/>
              <w:rPr>
                <w:color w:val="000000"/>
                <w:sz w:val="18"/>
                <w:szCs w:val="18"/>
              </w:rPr>
            </w:pPr>
            <w:r>
              <w:rPr>
                <w:color w:val="000000"/>
                <w:sz w:val="18"/>
                <w:szCs w:val="18"/>
              </w:rPr>
              <w:t>-7.6</w:t>
            </w:r>
          </w:p>
        </w:tc>
        <w:tc>
          <w:tcPr>
            <w:tcW w:w="990" w:type="dxa"/>
          </w:tcPr>
          <w:p w14:paraId="00000099" w14:textId="77777777" w:rsidR="00294ABB" w:rsidRDefault="00420BFB">
            <w:pPr>
              <w:jc w:val="center"/>
              <w:rPr>
                <w:color w:val="000000"/>
                <w:sz w:val="18"/>
                <w:szCs w:val="18"/>
              </w:rPr>
            </w:pPr>
            <w:r>
              <w:rPr>
                <w:color w:val="000000"/>
                <w:sz w:val="18"/>
                <w:szCs w:val="18"/>
              </w:rPr>
              <w:t>5.1</w:t>
            </w:r>
          </w:p>
        </w:tc>
        <w:tc>
          <w:tcPr>
            <w:tcW w:w="900" w:type="dxa"/>
          </w:tcPr>
          <w:p w14:paraId="0000009A" w14:textId="77777777" w:rsidR="00294ABB" w:rsidRDefault="00420BFB">
            <w:pPr>
              <w:jc w:val="center"/>
              <w:rPr>
                <w:color w:val="000000"/>
                <w:sz w:val="18"/>
                <w:szCs w:val="18"/>
              </w:rPr>
            </w:pPr>
            <w:r>
              <w:rPr>
                <w:color w:val="000000"/>
                <w:sz w:val="18"/>
                <w:szCs w:val="18"/>
              </w:rPr>
              <w:t>-4.3</w:t>
            </w:r>
          </w:p>
        </w:tc>
        <w:tc>
          <w:tcPr>
            <w:tcW w:w="1260" w:type="dxa"/>
          </w:tcPr>
          <w:p w14:paraId="0000009B" w14:textId="77777777" w:rsidR="00294ABB" w:rsidRDefault="00420BFB">
            <w:pPr>
              <w:jc w:val="center"/>
              <w:rPr>
                <w:color w:val="000000"/>
                <w:sz w:val="18"/>
                <w:szCs w:val="18"/>
              </w:rPr>
            </w:pPr>
            <w:r>
              <w:rPr>
                <w:color w:val="000000"/>
                <w:sz w:val="18"/>
                <w:szCs w:val="18"/>
              </w:rPr>
              <w:t>2.7</w:t>
            </w:r>
          </w:p>
        </w:tc>
        <w:tc>
          <w:tcPr>
            <w:tcW w:w="1170" w:type="dxa"/>
          </w:tcPr>
          <w:p w14:paraId="0000009C" w14:textId="77777777" w:rsidR="00294ABB" w:rsidRDefault="00420BFB">
            <w:pPr>
              <w:jc w:val="center"/>
              <w:rPr>
                <w:color w:val="000000"/>
                <w:sz w:val="18"/>
                <w:szCs w:val="18"/>
              </w:rPr>
            </w:pPr>
            <w:r>
              <w:rPr>
                <w:color w:val="000000"/>
                <w:sz w:val="18"/>
                <w:szCs w:val="18"/>
              </w:rPr>
              <w:t>-2.2</w:t>
            </w:r>
          </w:p>
        </w:tc>
        <w:tc>
          <w:tcPr>
            <w:tcW w:w="900" w:type="dxa"/>
          </w:tcPr>
          <w:p w14:paraId="0000009D" w14:textId="77777777" w:rsidR="00294ABB" w:rsidRDefault="00420BFB">
            <w:pPr>
              <w:jc w:val="center"/>
              <w:rPr>
                <w:color w:val="000000"/>
                <w:sz w:val="18"/>
                <w:szCs w:val="18"/>
              </w:rPr>
            </w:pPr>
            <w:r>
              <w:rPr>
                <w:color w:val="000000"/>
                <w:sz w:val="18"/>
                <w:szCs w:val="18"/>
              </w:rPr>
              <w:t>4.2</w:t>
            </w:r>
          </w:p>
        </w:tc>
        <w:tc>
          <w:tcPr>
            <w:tcW w:w="1080" w:type="dxa"/>
          </w:tcPr>
          <w:p w14:paraId="0000009E" w14:textId="77777777" w:rsidR="00294ABB" w:rsidRDefault="00420BFB">
            <w:pPr>
              <w:jc w:val="center"/>
              <w:rPr>
                <w:color w:val="000000"/>
                <w:sz w:val="18"/>
                <w:szCs w:val="18"/>
              </w:rPr>
            </w:pPr>
            <w:r>
              <w:rPr>
                <w:color w:val="000000"/>
                <w:sz w:val="18"/>
                <w:szCs w:val="18"/>
              </w:rPr>
              <w:t>2.2</w:t>
            </w:r>
          </w:p>
        </w:tc>
      </w:tr>
      <w:tr w:rsidR="00294ABB" w14:paraId="48615D81" w14:textId="77777777" w:rsidTr="00607A50">
        <w:trPr>
          <w:trHeight w:val="57"/>
        </w:trPr>
        <w:tc>
          <w:tcPr>
            <w:tcW w:w="1705" w:type="dxa"/>
          </w:tcPr>
          <w:p w14:paraId="0000009F" w14:textId="77777777" w:rsidR="00294ABB" w:rsidRDefault="00420BFB">
            <w:pPr>
              <w:rPr>
                <w:color w:val="000000"/>
                <w:sz w:val="18"/>
                <w:szCs w:val="18"/>
              </w:rPr>
            </w:pPr>
            <w:r>
              <w:rPr>
                <w:color w:val="000000"/>
                <w:sz w:val="18"/>
                <w:szCs w:val="18"/>
              </w:rPr>
              <w:t>Latin America and</w:t>
            </w:r>
          </w:p>
          <w:p w14:paraId="000000A0" w14:textId="77777777" w:rsidR="00294ABB" w:rsidRDefault="00420BFB">
            <w:pPr>
              <w:rPr>
                <w:color w:val="000000"/>
                <w:sz w:val="18"/>
                <w:szCs w:val="18"/>
              </w:rPr>
            </w:pPr>
            <w:r>
              <w:rPr>
                <w:color w:val="000000"/>
                <w:sz w:val="18"/>
                <w:szCs w:val="18"/>
              </w:rPr>
              <w:t>the Caribbean</w:t>
            </w:r>
          </w:p>
        </w:tc>
        <w:tc>
          <w:tcPr>
            <w:tcW w:w="990" w:type="dxa"/>
          </w:tcPr>
          <w:p w14:paraId="000000A1" w14:textId="77777777" w:rsidR="00294ABB" w:rsidRDefault="00420BFB">
            <w:pPr>
              <w:jc w:val="center"/>
              <w:rPr>
                <w:color w:val="000000"/>
                <w:sz w:val="18"/>
                <w:szCs w:val="18"/>
              </w:rPr>
            </w:pPr>
            <w:r>
              <w:rPr>
                <w:color w:val="000000"/>
                <w:sz w:val="18"/>
                <w:szCs w:val="18"/>
              </w:rPr>
              <w:t>565.0</w:t>
            </w:r>
          </w:p>
        </w:tc>
        <w:tc>
          <w:tcPr>
            <w:tcW w:w="990" w:type="dxa"/>
          </w:tcPr>
          <w:p w14:paraId="000000A2" w14:textId="77777777" w:rsidR="00294ABB" w:rsidRDefault="00420BFB">
            <w:pPr>
              <w:jc w:val="center"/>
              <w:rPr>
                <w:color w:val="000000"/>
                <w:sz w:val="18"/>
                <w:szCs w:val="18"/>
              </w:rPr>
            </w:pPr>
            <w:r>
              <w:rPr>
                <w:color w:val="000000"/>
                <w:sz w:val="18"/>
                <w:szCs w:val="18"/>
              </w:rPr>
              <w:t>387.5</w:t>
            </w:r>
          </w:p>
        </w:tc>
        <w:tc>
          <w:tcPr>
            <w:tcW w:w="990" w:type="dxa"/>
          </w:tcPr>
          <w:p w14:paraId="000000A3" w14:textId="77777777" w:rsidR="00294ABB" w:rsidRDefault="00420BFB">
            <w:pPr>
              <w:jc w:val="center"/>
              <w:rPr>
                <w:color w:val="000000"/>
                <w:sz w:val="18"/>
                <w:szCs w:val="18"/>
              </w:rPr>
            </w:pPr>
            <w:r>
              <w:rPr>
                <w:color w:val="000000"/>
                <w:sz w:val="18"/>
                <w:szCs w:val="18"/>
              </w:rPr>
              <w:t>5947.7</w:t>
            </w:r>
          </w:p>
        </w:tc>
        <w:tc>
          <w:tcPr>
            <w:tcW w:w="900" w:type="dxa"/>
          </w:tcPr>
          <w:p w14:paraId="000000A4" w14:textId="77777777" w:rsidR="00294ABB" w:rsidRDefault="00420BFB">
            <w:pPr>
              <w:jc w:val="center"/>
              <w:rPr>
                <w:color w:val="000000"/>
                <w:sz w:val="18"/>
                <w:szCs w:val="18"/>
              </w:rPr>
            </w:pPr>
            <w:r>
              <w:rPr>
                <w:color w:val="000000"/>
                <w:sz w:val="18"/>
                <w:szCs w:val="18"/>
              </w:rPr>
              <w:t>1694.4</w:t>
            </w:r>
          </w:p>
        </w:tc>
        <w:tc>
          <w:tcPr>
            <w:tcW w:w="1260" w:type="dxa"/>
          </w:tcPr>
          <w:p w14:paraId="000000A5" w14:textId="77777777" w:rsidR="00294ABB" w:rsidRDefault="00420BFB">
            <w:pPr>
              <w:jc w:val="center"/>
              <w:rPr>
                <w:color w:val="000000"/>
                <w:sz w:val="18"/>
                <w:szCs w:val="18"/>
              </w:rPr>
            </w:pPr>
            <w:r>
              <w:rPr>
                <w:color w:val="000000"/>
                <w:sz w:val="18"/>
                <w:szCs w:val="18"/>
              </w:rPr>
              <w:t>151.8</w:t>
            </w:r>
          </w:p>
        </w:tc>
        <w:tc>
          <w:tcPr>
            <w:tcW w:w="1170" w:type="dxa"/>
          </w:tcPr>
          <w:p w14:paraId="000000A6" w14:textId="77777777" w:rsidR="00294ABB" w:rsidRDefault="00420BFB">
            <w:pPr>
              <w:jc w:val="center"/>
              <w:rPr>
                <w:color w:val="000000"/>
                <w:sz w:val="18"/>
                <w:szCs w:val="18"/>
              </w:rPr>
            </w:pPr>
            <w:r>
              <w:rPr>
                <w:color w:val="000000"/>
                <w:sz w:val="18"/>
                <w:szCs w:val="18"/>
              </w:rPr>
              <w:t>582.2</w:t>
            </w:r>
          </w:p>
        </w:tc>
        <w:tc>
          <w:tcPr>
            <w:tcW w:w="900" w:type="dxa"/>
          </w:tcPr>
          <w:p w14:paraId="000000A7" w14:textId="77777777" w:rsidR="00294ABB" w:rsidRDefault="00420BFB">
            <w:pPr>
              <w:jc w:val="center"/>
              <w:rPr>
                <w:color w:val="000000"/>
                <w:sz w:val="18"/>
                <w:szCs w:val="18"/>
              </w:rPr>
            </w:pPr>
            <w:r>
              <w:rPr>
                <w:color w:val="000000"/>
                <w:sz w:val="18"/>
                <w:szCs w:val="18"/>
              </w:rPr>
              <w:t>865.0</w:t>
            </w:r>
          </w:p>
        </w:tc>
        <w:tc>
          <w:tcPr>
            <w:tcW w:w="1080" w:type="dxa"/>
          </w:tcPr>
          <w:p w14:paraId="000000A8" w14:textId="77777777" w:rsidR="00294ABB" w:rsidRDefault="00420BFB">
            <w:pPr>
              <w:jc w:val="center"/>
              <w:rPr>
                <w:b/>
                <w:color w:val="000000"/>
                <w:sz w:val="18"/>
                <w:szCs w:val="18"/>
              </w:rPr>
            </w:pPr>
            <w:r>
              <w:rPr>
                <w:b/>
                <w:color w:val="000000"/>
                <w:sz w:val="18"/>
                <w:szCs w:val="18"/>
              </w:rPr>
              <w:t>10193.6</w:t>
            </w:r>
          </w:p>
        </w:tc>
      </w:tr>
      <w:tr w:rsidR="00294ABB" w14:paraId="5A4CEBCA" w14:textId="77777777" w:rsidTr="00607A50">
        <w:trPr>
          <w:trHeight w:val="57"/>
        </w:trPr>
        <w:tc>
          <w:tcPr>
            <w:tcW w:w="1705" w:type="dxa"/>
          </w:tcPr>
          <w:p w14:paraId="000000A9" w14:textId="77777777" w:rsidR="00294ABB" w:rsidRDefault="00420BFB">
            <w:pPr>
              <w:rPr>
                <w:color w:val="000000"/>
                <w:sz w:val="18"/>
                <w:szCs w:val="18"/>
              </w:rPr>
            </w:pPr>
            <w:r>
              <w:rPr>
                <w:color w:val="000000"/>
                <w:sz w:val="18"/>
                <w:szCs w:val="18"/>
              </w:rPr>
              <w:t xml:space="preserve"> - Growth rate</w:t>
            </w:r>
          </w:p>
        </w:tc>
        <w:tc>
          <w:tcPr>
            <w:tcW w:w="990" w:type="dxa"/>
          </w:tcPr>
          <w:p w14:paraId="000000AA" w14:textId="77777777" w:rsidR="00294ABB" w:rsidRDefault="00420BFB">
            <w:pPr>
              <w:jc w:val="center"/>
              <w:rPr>
                <w:color w:val="000000"/>
                <w:sz w:val="18"/>
                <w:szCs w:val="18"/>
              </w:rPr>
            </w:pPr>
            <w:r>
              <w:rPr>
                <w:color w:val="000000"/>
                <w:sz w:val="18"/>
                <w:szCs w:val="18"/>
              </w:rPr>
              <w:t>0.4</w:t>
            </w:r>
          </w:p>
        </w:tc>
        <w:tc>
          <w:tcPr>
            <w:tcW w:w="990" w:type="dxa"/>
          </w:tcPr>
          <w:p w14:paraId="000000AB" w14:textId="77777777" w:rsidR="00294ABB" w:rsidRDefault="00420BFB">
            <w:pPr>
              <w:jc w:val="center"/>
              <w:rPr>
                <w:color w:val="000000"/>
                <w:sz w:val="18"/>
                <w:szCs w:val="18"/>
              </w:rPr>
            </w:pPr>
            <w:r>
              <w:rPr>
                <w:color w:val="000000"/>
                <w:sz w:val="18"/>
                <w:szCs w:val="18"/>
              </w:rPr>
              <w:t>-6.2</w:t>
            </w:r>
          </w:p>
        </w:tc>
        <w:tc>
          <w:tcPr>
            <w:tcW w:w="990" w:type="dxa"/>
          </w:tcPr>
          <w:p w14:paraId="000000AC" w14:textId="77777777" w:rsidR="00294ABB" w:rsidRDefault="00420BFB">
            <w:pPr>
              <w:jc w:val="center"/>
              <w:rPr>
                <w:color w:val="000000"/>
                <w:sz w:val="18"/>
                <w:szCs w:val="18"/>
              </w:rPr>
            </w:pPr>
            <w:r>
              <w:rPr>
                <w:color w:val="000000"/>
                <w:sz w:val="18"/>
                <w:szCs w:val="18"/>
              </w:rPr>
              <w:t>4.1</w:t>
            </w:r>
          </w:p>
        </w:tc>
        <w:tc>
          <w:tcPr>
            <w:tcW w:w="900" w:type="dxa"/>
          </w:tcPr>
          <w:p w14:paraId="000000AD" w14:textId="77777777" w:rsidR="00294ABB" w:rsidRDefault="00420BFB">
            <w:pPr>
              <w:jc w:val="center"/>
              <w:rPr>
                <w:color w:val="000000"/>
                <w:sz w:val="18"/>
                <w:szCs w:val="18"/>
              </w:rPr>
            </w:pPr>
            <w:r>
              <w:rPr>
                <w:color w:val="000000"/>
                <w:sz w:val="18"/>
                <w:szCs w:val="18"/>
              </w:rPr>
              <w:t>14.6</w:t>
            </w:r>
          </w:p>
        </w:tc>
        <w:tc>
          <w:tcPr>
            <w:tcW w:w="1260" w:type="dxa"/>
          </w:tcPr>
          <w:p w14:paraId="000000AE" w14:textId="77777777" w:rsidR="00294ABB" w:rsidRDefault="00420BFB">
            <w:pPr>
              <w:jc w:val="center"/>
              <w:rPr>
                <w:color w:val="000000"/>
                <w:sz w:val="18"/>
                <w:szCs w:val="18"/>
              </w:rPr>
            </w:pPr>
            <w:r>
              <w:rPr>
                <w:color w:val="000000"/>
                <w:sz w:val="18"/>
                <w:szCs w:val="18"/>
              </w:rPr>
              <w:t>5.3</w:t>
            </w:r>
          </w:p>
        </w:tc>
        <w:tc>
          <w:tcPr>
            <w:tcW w:w="1170" w:type="dxa"/>
          </w:tcPr>
          <w:p w14:paraId="000000AF" w14:textId="77777777" w:rsidR="00294ABB" w:rsidRDefault="00420BFB">
            <w:pPr>
              <w:jc w:val="center"/>
              <w:rPr>
                <w:color w:val="000000"/>
                <w:sz w:val="18"/>
                <w:szCs w:val="18"/>
              </w:rPr>
            </w:pPr>
            <w:r>
              <w:rPr>
                <w:color w:val="000000"/>
                <w:sz w:val="18"/>
                <w:szCs w:val="18"/>
              </w:rPr>
              <w:t>-5.1</w:t>
            </w:r>
          </w:p>
        </w:tc>
        <w:tc>
          <w:tcPr>
            <w:tcW w:w="900" w:type="dxa"/>
          </w:tcPr>
          <w:p w14:paraId="000000B0" w14:textId="77777777" w:rsidR="00294ABB" w:rsidRDefault="00420BFB">
            <w:pPr>
              <w:jc w:val="center"/>
              <w:rPr>
                <w:color w:val="000000"/>
                <w:sz w:val="18"/>
                <w:szCs w:val="18"/>
              </w:rPr>
            </w:pPr>
            <w:r>
              <w:rPr>
                <w:color w:val="000000"/>
                <w:sz w:val="18"/>
                <w:szCs w:val="18"/>
              </w:rPr>
              <w:t>9.0</w:t>
            </w:r>
          </w:p>
        </w:tc>
        <w:tc>
          <w:tcPr>
            <w:tcW w:w="1080" w:type="dxa"/>
          </w:tcPr>
          <w:p w14:paraId="000000B1" w14:textId="77777777" w:rsidR="00294ABB" w:rsidRDefault="00420BFB">
            <w:pPr>
              <w:jc w:val="center"/>
              <w:rPr>
                <w:color w:val="000000"/>
                <w:sz w:val="18"/>
                <w:szCs w:val="18"/>
              </w:rPr>
            </w:pPr>
            <w:r>
              <w:rPr>
                <w:color w:val="000000"/>
                <w:sz w:val="18"/>
                <w:szCs w:val="18"/>
              </w:rPr>
              <w:t>3.8</w:t>
            </w:r>
          </w:p>
        </w:tc>
      </w:tr>
      <w:tr w:rsidR="00294ABB" w14:paraId="53FE7AA0" w14:textId="77777777" w:rsidTr="00607A50">
        <w:trPr>
          <w:trHeight w:val="57"/>
        </w:trPr>
        <w:tc>
          <w:tcPr>
            <w:tcW w:w="1705" w:type="dxa"/>
          </w:tcPr>
          <w:p w14:paraId="000000B2" w14:textId="77777777" w:rsidR="00294ABB" w:rsidRDefault="00420BFB">
            <w:pPr>
              <w:rPr>
                <w:color w:val="000000"/>
                <w:sz w:val="18"/>
                <w:szCs w:val="18"/>
              </w:rPr>
            </w:pPr>
            <w:r>
              <w:rPr>
                <w:color w:val="000000"/>
                <w:sz w:val="18"/>
                <w:szCs w:val="18"/>
              </w:rPr>
              <w:t>Northern America</w:t>
            </w:r>
          </w:p>
        </w:tc>
        <w:tc>
          <w:tcPr>
            <w:tcW w:w="990" w:type="dxa"/>
          </w:tcPr>
          <w:p w14:paraId="000000B3" w14:textId="77777777" w:rsidR="00294ABB" w:rsidRDefault="00420BFB">
            <w:pPr>
              <w:jc w:val="center"/>
              <w:rPr>
                <w:color w:val="000000"/>
                <w:sz w:val="18"/>
                <w:szCs w:val="18"/>
              </w:rPr>
            </w:pPr>
            <w:r>
              <w:rPr>
                <w:color w:val="000000"/>
                <w:sz w:val="18"/>
                <w:szCs w:val="18"/>
              </w:rPr>
              <w:t>1269.1</w:t>
            </w:r>
          </w:p>
        </w:tc>
        <w:tc>
          <w:tcPr>
            <w:tcW w:w="990" w:type="dxa"/>
          </w:tcPr>
          <w:p w14:paraId="000000B4" w14:textId="77777777" w:rsidR="00294ABB" w:rsidRDefault="00420BFB">
            <w:pPr>
              <w:jc w:val="center"/>
              <w:rPr>
                <w:color w:val="000000"/>
                <w:sz w:val="18"/>
                <w:szCs w:val="18"/>
              </w:rPr>
            </w:pPr>
            <w:r>
              <w:rPr>
                <w:color w:val="000000"/>
                <w:sz w:val="18"/>
                <w:szCs w:val="18"/>
              </w:rPr>
              <w:t>1868.4</w:t>
            </w:r>
          </w:p>
        </w:tc>
        <w:tc>
          <w:tcPr>
            <w:tcW w:w="990" w:type="dxa"/>
          </w:tcPr>
          <w:p w14:paraId="000000B5" w14:textId="77777777" w:rsidR="00294ABB" w:rsidRDefault="00420BFB">
            <w:pPr>
              <w:jc w:val="center"/>
              <w:rPr>
                <w:color w:val="000000"/>
                <w:sz w:val="18"/>
                <w:szCs w:val="18"/>
              </w:rPr>
            </w:pPr>
            <w:r>
              <w:rPr>
                <w:color w:val="000000"/>
                <w:sz w:val="18"/>
                <w:szCs w:val="18"/>
              </w:rPr>
              <w:t>14046.0</w:t>
            </w:r>
          </w:p>
        </w:tc>
        <w:tc>
          <w:tcPr>
            <w:tcW w:w="900" w:type="dxa"/>
          </w:tcPr>
          <w:p w14:paraId="000000B6" w14:textId="77777777" w:rsidR="00294ABB" w:rsidRDefault="00420BFB">
            <w:pPr>
              <w:jc w:val="center"/>
              <w:rPr>
                <w:color w:val="000000"/>
                <w:sz w:val="18"/>
                <w:szCs w:val="18"/>
              </w:rPr>
            </w:pPr>
            <w:r>
              <w:rPr>
                <w:color w:val="000000"/>
                <w:sz w:val="18"/>
                <w:szCs w:val="18"/>
              </w:rPr>
              <w:t>2853.5</w:t>
            </w:r>
          </w:p>
        </w:tc>
        <w:tc>
          <w:tcPr>
            <w:tcW w:w="1260" w:type="dxa"/>
          </w:tcPr>
          <w:p w14:paraId="000000B7" w14:textId="77777777" w:rsidR="00294ABB" w:rsidRDefault="00420BFB">
            <w:pPr>
              <w:jc w:val="center"/>
              <w:rPr>
                <w:color w:val="000000"/>
                <w:sz w:val="18"/>
                <w:szCs w:val="18"/>
              </w:rPr>
            </w:pPr>
            <w:r>
              <w:rPr>
                <w:color w:val="000000"/>
                <w:sz w:val="18"/>
                <w:szCs w:val="18"/>
              </w:rPr>
              <w:t>544.6</w:t>
            </w:r>
          </w:p>
        </w:tc>
        <w:tc>
          <w:tcPr>
            <w:tcW w:w="1170" w:type="dxa"/>
          </w:tcPr>
          <w:p w14:paraId="000000B8" w14:textId="77777777" w:rsidR="00294ABB" w:rsidRDefault="00420BFB">
            <w:pPr>
              <w:jc w:val="center"/>
              <w:rPr>
                <w:color w:val="000000"/>
                <w:sz w:val="18"/>
                <w:szCs w:val="18"/>
              </w:rPr>
            </w:pPr>
            <w:r>
              <w:rPr>
                <w:color w:val="000000"/>
                <w:sz w:val="18"/>
                <w:szCs w:val="18"/>
              </w:rPr>
              <w:t>5292.3</w:t>
            </w:r>
          </w:p>
        </w:tc>
        <w:tc>
          <w:tcPr>
            <w:tcW w:w="900" w:type="dxa"/>
          </w:tcPr>
          <w:p w14:paraId="000000B9" w14:textId="77777777" w:rsidR="00294ABB" w:rsidRDefault="00420BFB">
            <w:pPr>
              <w:jc w:val="center"/>
              <w:rPr>
                <w:color w:val="000000"/>
                <w:sz w:val="18"/>
                <w:szCs w:val="18"/>
              </w:rPr>
            </w:pPr>
            <w:r>
              <w:rPr>
                <w:color w:val="000000"/>
                <w:sz w:val="18"/>
                <w:szCs w:val="18"/>
              </w:rPr>
              <w:t>7809.0</w:t>
            </w:r>
          </w:p>
        </w:tc>
        <w:tc>
          <w:tcPr>
            <w:tcW w:w="1080" w:type="dxa"/>
          </w:tcPr>
          <w:p w14:paraId="000000BA" w14:textId="77777777" w:rsidR="00294ABB" w:rsidRDefault="00420BFB">
            <w:pPr>
              <w:jc w:val="center"/>
              <w:rPr>
                <w:b/>
                <w:color w:val="000000"/>
                <w:sz w:val="18"/>
                <w:szCs w:val="18"/>
              </w:rPr>
            </w:pPr>
            <w:r>
              <w:rPr>
                <w:b/>
                <w:color w:val="000000"/>
                <w:sz w:val="18"/>
                <w:szCs w:val="18"/>
              </w:rPr>
              <w:t>33682.9</w:t>
            </w:r>
          </w:p>
        </w:tc>
      </w:tr>
      <w:tr w:rsidR="00294ABB" w14:paraId="64B32896" w14:textId="77777777" w:rsidTr="00607A50">
        <w:trPr>
          <w:trHeight w:val="57"/>
        </w:trPr>
        <w:tc>
          <w:tcPr>
            <w:tcW w:w="1705" w:type="dxa"/>
          </w:tcPr>
          <w:p w14:paraId="000000BB" w14:textId="77777777" w:rsidR="00294ABB" w:rsidRDefault="00420BFB">
            <w:pPr>
              <w:rPr>
                <w:color w:val="000000"/>
                <w:sz w:val="18"/>
                <w:szCs w:val="18"/>
              </w:rPr>
            </w:pPr>
            <w:r>
              <w:rPr>
                <w:color w:val="000000"/>
                <w:sz w:val="18"/>
                <w:szCs w:val="18"/>
              </w:rPr>
              <w:t xml:space="preserve"> - Growth rate</w:t>
            </w:r>
          </w:p>
        </w:tc>
        <w:tc>
          <w:tcPr>
            <w:tcW w:w="990" w:type="dxa"/>
          </w:tcPr>
          <w:p w14:paraId="000000BC" w14:textId="77777777" w:rsidR="00294ABB" w:rsidRDefault="00420BFB">
            <w:pPr>
              <w:jc w:val="center"/>
              <w:rPr>
                <w:color w:val="000000"/>
                <w:sz w:val="18"/>
                <w:szCs w:val="18"/>
              </w:rPr>
            </w:pPr>
            <w:r>
              <w:rPr>
                <w:color w:val="000000"/>
                <w:sz w:val="18"/>
                <w:szCs w:val="18"/>
              </w:rPr>
              <w:t>0.0</w:t>
            </w:r>
          </w:p>
        </w:tc>
        <w:tc>
          <w:tcPr>
            <w:tcW w:w="990" w:type="dxa"/>
          </w:tcPr>
          <w:p w14:paraId="000000BD" w14:textId="77777777" w:rsidR="00294ABB" w:rsidRDefault="00420BFB">
            <w:pPr>
              <w:jc w:val="center"/>
              <w:rPr>
                <w:color w:val="000000"/>
                <w:sz w:val="18"/>
                <w:szCs w:val="18"/>
              </w:rPr>
            </w:pPr>
            <w:r>
              <w:rPr>
                <w:color w:val="000000"/>
                <w:sz w:val="18"/>
                <w:szCs w:val="18"/>
              </w:rPr>
              <w:t>-10.6</w:t>
            </w:r>
          </w:p>
        </w:tc>
        <w:tc>
          <w:tcPr>
            <w:tcW w:w="990" w:type="dxa"/>
          </w:tcPr>
          <w:p w14:paraId="000000BE" w14:textId="77777777" w:rsidR="00294ABB" w:rsidRDefault="00420BFB">
            <w:pPr>
              <w:jc w:val="center"/>
              <w:rPr>
                <w:color w:val="000000"/>
                <w:sz w:val="18"/>
                <w:szCs w:val="18"/>
              </w:rPr>
            </w:pPr>
            <w:r>
              <w:rPr>
                <w:color w:val="000000"/>
                <w:sz w:val="18"/>
                <w:szCs w:val="18"/>
              </w:rPr>
              <w:t>3.5</w:t>
            </w:r>
          </w:p>
        </w:tc>
        <w:tc>
          <w:tcPr>
            <w:tcW w:w="900" w:type="dxa"/>
          </w:tcPr>
          <w:p w14:paraId="000000BF" w14:textId="77777777" w:rsidR="00294ABB" w:rsidRDefault="00420BFB">
            <w:pPr>
              <w:jc w:val="center"/>
              <w:rPr>
                <w:color w:val="000000"/>
                <w:sz w:val="18"/>
                <w:szCs w:val="18"/>
              </w:rPr>
            </w:pPr>
            <w:r>
              <w:rPr>
                <w:color w:val="000000"/>
                <w:sz w:val="18"/>
                <w:szCs w:val="18"/>
              </w:rPr>
              <w:t>-0.7</w:t>
            </w:r>
          </w:p>
        </w:tc>
        <w:tc>
          <w:tcPr>
            <w:tcW w:w="1260" w:type="dxa"/>
          </w:tcPr>
          <w:p w14:paraId="000000C0" w14:textId="77777777" w:rsidR="00294ABB" w:rsidRDefault="00420BFB">
            <w:pPr>
              <w:jc w:val="center"/>
              <w:rPr>
                <w:color w:val="000000"/>
                <w:sz w:val="18"/>
                <w:szCs w:val="18"/>
              </w:rPr>
            </w:pPr>
            <w:r>
              <w:rPr>
                <w:color w:val="000000"/>
                <w:sz w:val="18"/>
                <w:szCs w:val="18"/>
              </w:rPr>
              <w:t>0.7</w:t>
            </w:r>
          </w:p>
        </w:tc>
        <w:tc>
          <w:tcPr>
            <w:tcW w:w="1170" w:type="dxa"/>
          </w:tcPr>
          <w:p w14:paraId="000000C1" w14:textId="77777777" w:rsidR="00294ABB" w:rsidRDefault="00420BFB">
            <w:pPr>
              <w:jc w:val="center"/>
              <w:rPr>
                <w:color w:val="000000"/>
                <w:sz w:val="18"/>
                <w:szCs w:val="18"/>
              </w:rPr>
            </w:pPr>
            <w:r>
              <w:rPr>
                <w:color w:val="000000"/>
                <w:sz w:val="18"/>
                <w:szCs w:val="18"/>
              </w:rPr>
              <w:t>-5.3</w:t>
            </w:r>
          </w:p>
        </w:tc>
        <w:tc>
          <w:tcPr>
            <w:tcW w:w="900" w:type="dxa"/>
          </w:tcPr>
          <w:p w14:paraId="000000C2" w14:textId="77777777" w:rsidR="00294ABB" w:rsidRDefault="00420BFB">
            <w:pPr>
              <w:jc w:val="center"/>
              <w:rPr>
                <w:color w:val="000000"/>
                <w:sz w:val="18"/>
                <w:szCs w:val="18"/>
              </w:rPr>
            </w:pPr>
            <w:r>
              <w:rPr>
                <w:color w:val="000000"/>
                <w:sz w:val="18"/>
                <w:szCs w:val="18"/>
              </w:rPr>
              <w:t>4.5</w:t>
            </w:r>
          </w:p>
        </w:tc>
        <w:tc>
          <w:tcPr>
            <w:tcW w:w="1080" w:type="dxa"/>
          </w:tcPr>
          <w:p w14:paraId="000000C3" w14:textId="77777777" w:rsidR="00294ABB" w:rsidRDefault="00420BFB">
            <w:pPr>
              <w:jc w:val="center"/>
              <w:rPr>
                <w:color w:val="000000"/>
                <w:sz w:val="18"/>
                <w:szCs w:val="18"/>
              </w:rPr>
            </w:pPr>
            <w:r>
              <w:rPr>
                <w:color w:val="000000"/>
                <w:sz w:val="18"/>
                <w:szCs w:val="18"/>
              </w:rPr>
              <w:t>-0.1</w:t>
            </w:r>
          </w:p>
        </w:tc>
      </w:tr>
      <w:tr w:rsidR="00294ABB" w14:paraId="4828E1E0" w14:textId="77777777" w:rsidTr="00607A50">
        <w:trPr>
          <w:trHeight w:val="57"/>
        </w:trPr>
        <w:tc>
          <w:tcPr>
            <w:tcW w:w="1705" w:type="dxa"/>
          </w:tcPr>
          <w:p w14:paraId="000000C4" w14:textId="77777777" w:rsidR="00294ABB" w:rsidRDefault="00420BFB">
            <w:pPr>
              <w:rPr>
                <w:color w:val="000000"/>
                <w:sz w:val="18"/>
                <w:szCs w:val="18"/>
              </w:rPr>
            </w:pPr>
            <w:r>
              <w:rPr>
                <w:color w:val="000000"/>
                <w:sz w:val="18"/>
                <w:szCs w:val="18"/>
              </w:rPr>
              <w:t>Pacific</w:t>
            </w:r>
          </w:p>
        </w:tc>
        <w:tc>
          <w:tcPr>
            <w:tcW w:w="990" w:type="dxa"/>
          </w:tcPr>
          <w:p w14:paraId="000000C5" w14:textId="77777777" w:rsidR="00294ABB" w:rsidRDefault="00420BFB">
            <w:pPr>
              <w:jc w:val="center"/>
              <w:rPr>
                <w:color w:val="000000"/>
                <w:sz w:val="18"/>
                <w:szCs w:val="18"/>
              </w:rPr>
            </w:pPr>
            <w:r>
              <w:rPr>
                <w:color w:val="000000"/>
                <w:sz w:val="18"/>
                <w:szCs w:val="18"/>
              </w:rPr>
              <w:t>36.7</w:t>
            </w:r>
          </w:p>
        </w:tc>
        <w:tc>
          <w:tcPr>
            <w:tcW w:w="990" w:type="dxa"/>
          </w:tcPr>
          <w:p w14:paraId="000000C6" w14:textId="77777777" w:rsidR="00294ABB" w:rsidRDefault="00420BFB">
            <w:pPr>
              <w:jc w:val="center"/>
              <w:rPr>
                <w:color w:val="000000"/>
                <w:sz w:val="18"/>
                <w:szCs w:val="18"/>
              </w:rPr>
            </w:pPr>
            <w:r>
              <w:rPr>
                <w:color w:val="000000"/>
                <w:sz w:val="18"/>
                <w:szCs w:val="18"/>
              </w:rPr>
              <w:t>83.8</w:t>
            </w:r>
          </w:p>
        </w:tc>
        <w:tc>
          <w:tcPr>
            <w:tcW w:w="990" w:type="dxa"/>
          </w:tcPr>
          <w:p w14:paraId="000000C7" w14:textId="77777777" w:rsidR="00294ABB" w:rsidRDefault="00420BFB">
            <w:pPr>
              <w:jc w:val="center"/>
              <w:rPr>
                <w:color w:val="000000"/>
                <w:sz w:val="18"/>
                <w:szCs w:val="18"/>
              </w:rPr>
            </w:pPr>
            <w:r>
              <w:rPr>
                <w:color w:val="000000"/>
                <w:sz w:val="18"/>
                <w:szCs w:val="18"/>
              </w:rPr>
              <w:t>624.2</w:t>
            </w:r>
          </w:p>
        </w:tc>
        <w:tc>
          <w:tcPr>
            <w:tcW w:w="900" w:type="dxa"/>
          </w:tcPr>
          <w:p w14:paraId="000000C8" w14:textId="77777777" w:rsidR="00294ABB" w:rsidRDefault="00420BFB">
            <w:pPr>
              <w:jc w:val="center"/>
              <w:rPr>
                <w:color w:val="000000"/>
                <w:sz w:val="18"/>
                <w:szCs w:val="18"/>
              </w:rPr>
            </w:pPr>
            <w:r>
              <w:rPr>
                <w:color w:val="000000"/>
                <w:sz w:val="18"/>
                <w:szCs w:val="18"/>
              </w:rPr>
              <w:t>179.7</w:t>
            </w:r>
          </w:p>
        </w:tc>
        <w:tc>
          <w:tcPr>
            <w:tcW w:w="1260" w:type="dxa"/>
          </w:tcPr>
          <w:p w14:paraId="000000C9" w14:textId="77777777" w:rsidR="00294ABB" w:rsidRDefault="00420BFB">
            <w:pPr>
              <w:jc w:val="center"/>
              <w:rPr>
                <w:color w:val="000000"/>
                <w:sz w:val="18"/>
                <w:szCs w:val="18"/>
              </w:rPr>
            </w:pPr>
            <w:r>
              <w:rPr>
                <w:color w:val="000000"/>
                <w:sz w:val="18"/>
                <w:szCs w:val="18"/>
              </w:rPr>
              <w:t>9.6</w:t>
            </w:r>
          </w:p>
        </w:tc>
        <w:tc>
          <w:tcPr>
            <w:tcW w:w="1170" w:type="dxa"/>
          </w:tcPr>
          <w:p w14:paraId="000000CA" w14:textId="77777777" w:rsidR="00294ABB" w:rsidRDefault="00420BFB">
            <w:pPr>
              <w:jc w:val="center"/>
              <w:rPr>
                <w:color w:val="000000"/>
                <w:sz w:val="18"/>
                <w:szCs w:val="18"/>
              </w:rPr>
            </w:pPr>
            <w:r>
              <w:rPr>
                <w:color w:val="000000"/>
                <w:sz w:val="18"/>
                <w:szCs w:val="18"/>
              </w:rPr>
              <w:t>271.7</w:t>
            </w:r>
          </w:p>
        </w:tc>
        <w:tc>
          <w:tcPr>
            <w:tcW w:w="900" w:type="dxa"/>
          </w:tcPr>
          <w:p w14:paraId="000000CB" w14:textId="77777777" w:rsidR="00294ABB" w:rsidRDefault="00420BFB">
            <w:pPr>
              <w:jc w:val="center"/>
              <w:rPr>
                <w:color w:val="000000"/>
                <w:sz w:val="18"/>
                <w:szCs w:val="18"/>
              </w:rPr>
            </w:pPr>
            <w:r>
              <w:rPr>
                <w:color w:val="000000"/>
                <w:sz w:val="18"/>
                <w:szCs w:val="18"/>
              </w:rPr>
              <w:t>156.4</w:t>
            </w:r>
          </w:p>
        </w:tc>
        <w:tc>
          <w:tcPr>
            <w:tcW w:w="1080" w:type="dxa"/>
          </w:tcPr>
          <w:p w14:paraId="000000CC" w14:textId="77777777" w:rsidR="00294ABB" w:rsidRDefault="00420BFB">
            <w:pPr>
              <w:jc w:val="center"/>
              <w:rPr>
                <w:b/>
                <w:color w:val="000000"/>
                <w:sz w:val="18"/>
                <w:szCs w:val="18"/>
              </w:rPr>
            </w:pPr>
            <w:r>
              <w:rPr>
                <w:b/>
                <w:color w:val="000000"/>
                <w:sz w:val="18"/>
                <w:szCs w:val="18"/>
              </w:rPr>
              <w:t>1362.2</w:t>
            </w:r>
          </w:p>
        </w:tc>
      </w:tr>
      <w:tr w:rsidR="00294ABB" w14:paraId="636E30FB" w14:textId="77777777" w:rsidTr="00607A50">
        <w:trPr>
          <w:trHeight w:val="57"/>
        </w:trPr>
        <w:tc>
          <w:tcPr>
            <w:tcW w:w="1705" w:type="dxa"/>
          </w:tcPr>
          <w:p w14:paraId="000000CD" w14:textId="77777777" w:rsidR="00294ABB" w:rsidRDefault="00420BFB">
            <w:pPr>
              <w:rPr>
                <w:color w:val="000000"/>
                <w:sz w:val="18"/>
                <w:szCs w:val="18"/>
              </w:rPr>
            </w:pPr>
            <w:r>
              <w:rPr>
                <w:color w:val="000000"/>
                <w:sz w:val="18"/>
                <w:szCs w:val="18"/>
              </w:rPr>
              <w:t xml:space="preserve"> - Growth rate</w:t>
            </w:r>
          </w:p>
        </w:tc>
        <w:tc>
          <w:tcPr>
            <w:tcW w:w="990" w:type="dxa"/>
          </w:tcPr>
          <w:p w14:paraId="000000CE" w14:textId="77777777" w:rsidR="00294ABB" w:rsidRDefault="00420BFB">
            <w:pPr>
              <w:jc w:val="center"/>
              <w:rPr>
                <w:color w:val="000000"/>
                <w:sz w:val="18"/>
                <w:szCs w:val="18"/>
              </w:rPr>
            </w:pPr>
            <w:r>
              <w:rPr>
                <w:color w:val="000000"/>
                <w:sz w:val="18"/>
                <w:szCs w:val="18"/>
              </w:rPr>
              <w:t>-5.2</w:t>
            </w:r>
          </w:p>
        </w:tc>
        <w:tc>
          <w:tcPr>
            <w:tcW w:w="990" w:type="dxa"/>
          </w:tcPr>
          <w:p w14:paraId="000000CF" w14:textId="77777777" w:rsidR="00294ABB" w:rsidRDefault="00420BFB">
            <w:pPr>
              <w:jc w:val="center"/>
              <w:rPr>
                <w:color w:val="000000"/>
                <w:sz w:val="18"/>
                <w:szCs w:val="18"/>
              </w:rPr>
            </w:pPr>
            <w:r>
              <w:rPr>
                <w:color w:val="000000"/>
                <w:sz w:val="18"/>
                <w:szCs w:val="18"/>
              </w:rPr>
              <w:t>-9.7</w:t>
            </w:r>
          </w:p>
        </w:tc>
        <w:tc>
          <w:tcPr>
            <w:tcW w:w="990" w:type="dxa"/>
          </w:tcPr>
          <w:p w14:paraId="000000D0" w14:textId="77777777" w:rsidR="00294ABB" w:rsidRDefault="00420BFB">
            <w:pPr>
              <w:jc w:val="center"/>
              <w:rPr>
                <w:color w:val="000000"/>
                <w:sz w:val="18"/>
                <w:szCs w:val="18"/>
              </w:rPr>
            </w:pPr>
            <w:r>
              <w:rPr>
                <w:color w:val="000000"/>
                <w:sz w:val="18"/>
                <w:szCs w:val="18"/>
              </w:rPr>
              <w:t>-0.1</w:t>
            </w:r>
          </w:p>
        </w:tc>
        <w:tc>
          <w:tcPr>
            <w:tcW w:w="900" w:type="dxa"/>
          </w:tcPr>
          <w:p w14:paraId="000000D1" w14:textId="77777777" w:rsidR="00294ABB" w:rsidRDefault="00420BFB">
            <w:pPr>
              <w:jc w:val="center"/>
              <w:rPr>
                <w:color w:val="000000"/>
                <w:sz w:val="18"/>
                <w:szCs w:val="18"/>
              </w:rPr>
            </w:pPr>
            <w:r>
              <w:rPr>
                <w:color w:val="000000"/>
                <w:sz w:val="18"/>
                <w:szCs w:val="18"/>
              </w:rPr>
              <w:t>0.9</w:t>
            </w:r>
          </w:p>
        </w:tc>
        <w:tc>
          <w:tcPr>
            <w:tcW w:w="1260" w:type="dxa"/>
          </w:tcPr>
          <w:p w14:paraId="000000D2" w14:textId="77777777" w:rsidR="00294ABB" w:rsidRDefault="00420BFB">
            <w:pPr>
              <w:jc w:val="center"/>
              <w:rPr>
                <w:color w:val="000000"/>
                <w:sz w:val="18"/>
                <w:szCs w:val="18"/>
              </w:rPr>
            </w:pPr>
            <w:r>
              <w:rPr>
                <w:color w:val="000000"/>
                <w:sz w:val="18"/>
                <w:szCs w:val="18"/>
              </w:rPr>
              <w:t>2.5</w:t>
            </w:r>
          </w:p>
        </w:tc>
        <w:tc>
          <w:tcPr>
            <w:tcW w:w="1170" w:type="dxa"/>
          </w:tcPr>
          <w:p w14:paraId="000000D3" w14:textId="77777777" w:rsidR="00294ABB" w:rsidRDefault="00420BFB">
            <w:pPr>
              <w:jc w:val="center"/>
              <w:rPr>
                <w:color w:val="000000"/>
                <w:sz w:val="18"/>
                <w:szCs w:val="18"/>
              </w:rPr>
            </w:pPr>
            <w:r>
              <w:rPr>
                <w:color w:val="000000"/>
                <w:sz w:val="18"/>
                <w:szCs w:val="18"/>
              </w:rPr>
              <w:t>-3.8</w:t>
            </w:r>
          </w:p>
        </w:tc>
        <w:tc>
          <w:tcPr>
            <w:tcW w:w="900" w:type="dxa"/>
          </w:tcPr>
          <w:p w14:paraId="000000D4" w14:textId="77777777" w:rsidR="00294ABB" w:rsidRDefault="00420BFB">
            <w:pPr>
              <w:jc w:val="center"/>
              <w:rPr>
                <w:color w:val="000000"/>
                <w:sz w:val="18"/>
                <w:szCs w:val="18"/>
              </w:rPr>
            </w:pPr>
            <w:r>
              <w:rPr>
                <w:color w:val="000000"/>
                <w:sz w:val="18"/>
                <w:szCs w:val="18"/>
              </w:rPr>
              <w:t>5.4</w:t>
            </w:r>
          </w:p>
        </w:tc>
        <w:tc>
          <w:tcPr>
            <w:tcW w:w="1080" w:type="dxa"/>
          </w:tcPr>
          <w:p w14:paraId="000000D5" w14:textId="77777777" w:rsidR="00294ABB" w:rsidRDefault="00420BFB">
            <w:pPr>
              <w:jc w:val="center"/>
              <w:rPr>
                <w:color w:val="000000"/>
                <w:sz w:val="18"/>
                <w:szCs w:val="18"/>
              </w:rPr>
            </w:pPr>
            <w:r>
              <w:rPr>
                <w:color w:val="000000"/>
                <w:sz w:val="18"/>
                <w:szCs w:val="18"/>
              </w:rPr>
              <w:t>-1.5</w:t>
            </w:r>
          </w:p>
        </w:tc>
      </w:tr>
      <w:tr w:rsidR="00294ABB" w14:paraId="1559E886" w14:textId="77777777" w:rsidTr="00607A50">
        <w:trPr>
          <w:trHeight w:val="57"/>
        </w:trPr>
        <w:tc>
          <w:tcPr>
            <w:tcW w:w="1705" w:type="dxa"/>
          </w:tcPr>
          <w:p w14:paraId="000000D6" w14:textId="77777777" w:rsidR="00294ABB" w:rsidRDefault="00420BFB">
            <w:pPr>
              <w:rPr>
                <w:color w:val="000000"/>
                <w:sz w:val="18"/>
                <w:szCs w:val="18"/>
              </w:rPr>
            </w:pPr>
            <w:r>
              <w:rPr>
                <w:color w:val="000000"/>
                <w:sz w:val="18"/>
                <w:szCs w:val="18"/>
              </w:rPr>
              <w:t>World</w:t>
            </w:r>
          </w:p>
        </w:tc>
        <w:tc>
          <w:tcPr>
            <w:tcW w:w="990" w:type="dxa"/>
          </w:tcPr>
          <w:p w14:paraId="000000D7" w14:textId="77777777" w:rsidR="00294ABB" w:rsidRDefault="00420BFB">
            <w:pPr>
              <w:jc w:val="center"/>
              <w:rPr>
                <w:color w:val="000000"/>
                <w:sz w:val="18"/>
                <w:szCs w:val="18"/>
              </w:rPr>
            </w:pPr>
            <w:r>
              <w:rPr>
                <w:color w:val="000000"/>
                <w:sz w:val="18"/>
                <w:szCs w:val="18"/>
              </w:rPr>
              <w:t>39137.1</w:t>
            </w:r>
          </w:p>
        </w:tc>
        <w:tc>
          <w:tcPr>
            <w:tcW w:w="990" w:type="dxa"/>
          </w:tcPr>
          <w:p w14:paraId="000000D8" w14:textId="77777777" w:rsidR="00294ABB" w:rsidRDefault="00420BFB">
            <w:pPr>
              <w:jc w:val="center"/>
              <w:rPr>
                <w:color w:val="000000"/>
                <w:sz w:val="18"/>
                <w:szCs w:val="18"/>
              </w:rPr>
            </w:pPr>
            <w:r>
              <w:rPr>
                <w:color w:val="000000"/>
                <w:sz w:val="18"/>
                <w:szCs w:val="18"/>
              </w:rPr>
              <w:t>18785.1</w:t>
            </w:r>
          </w:p>
        </w:tc>
        <w:tc>
          <w:tcPr>
            <w:tcW w:w="990" w:type="dxa"/>
          </w:tcPr>
          <w:p w14:paraId="000000D9" w14:textId="77777777" w:rsidR="00294ABB" w:rsidRDefault="00420BFB">
            <w:pPr>
              <w:jc w:val="center"/>
              <w:rPr>
                <w:color w:val="000000"/>
                <w:sz w:val="18"/>
                <w:szCs w:val="18"/>
              </w:rPr>
            </w:pPr>
            <w:r>
              <w:rPr>
                <w:color w:val="000000"/>
                <w:sz w:val="18"/>
                <w:szCs w:val="18"/>
              </w:rPr>
              <w:t>371418.8</w:t>
            </w:r>
          </w:p>
        </w:tc>
        <w:tc>
          <w:tcPr>
            <w:tcW w:w="900" w:type="dxa"/>
          </w:tcPr>
          <w:p w14:paraId="000000DA" w14:textId="77777777" w:rsidR="00294ABB" w:rsidRDefault="00420BFB">
            <w:pPr>
              <w:jc w:val="center"/>
              <w:rPr>
                <w:color w:val="000000"/>
                <w:sz w:val="18"/>
                <w:szCs w:val="18"/>
              </w:rPr>
            </w:pPr>
            <w:r>
              <w:rPr>
                <w:color w:val="000000"/>
                <w:sz w:val="18"/>
                <w:szCs w:val="18"/>
              </w:rPr>
              <w:t>41952.0</w:t>
            </w:r>
          </w:p>
        </w:tc>
        <w:tc>
          <w:tcPr>
            <w:tcW w:w="1260" w:type="dxa"/>
          </w:tcPr>
          <w:p w14:paraId="000000DB" w14:textId="77777777" w:rsidR="00294ABB" w:rsidRDefault="00420BFB">
            <w:pPr>
              <w:jc w:val="center"/>
              <w:rPr>
                <w:color w:val="000000"/>
                <w:sz w:val="18"/>
                <w:szCs w:val="18"/>
              </w:rPr>
            </w:pPr>
            <w:r>
              <w:rPr>
                <w:color w:val="000000"/>
                <w:sz w:val="18"/>
                <w:szCs w:val="18"/>
              </w:rPr>
              <w:t>6147.3</w:t>
            </w:r>
          </w:p>
        </w:tc>
        <w:tc>
          <w:tcPr>
            <w:tcW w:w="1170" w:type="dxa"/>
          </w:tcPr>
          <w:p w14:paraId="000000DC" w14:textId="77777777" w:rsidR="00294ABB" w:rsidRDefault="00420BFB">
            <w:pPr>
              <w:jc w:val="center"/>
              <w:rPr>
                <w:color w:val="000000"/>
                <w:sz w:val="18"/>
                <w:szCs w:val="18"/>
              </w:rPr>
            </w:pPr>
            <w:r>
              <w:rPr>
                <w:color w:val="000000"/>
                <w:sz w:val="18"/>
                <w:szCs w:val="18"/>
              </w:rPr>
              <w:t>32830.0</w:t>
            </w:r>
          </w:p>
        </w:tc>
        <w:tc>
          <w:tcPr>
            <w:tcW w:w="900" w:type="dxa"/>
          </w:tcPr>
          <w:p w14:paraId="000000DD" w14:textId="77777777" w:rsidR="00294ABB" w:rsidRDefault="00420BFB">
            <w:pPr>
              <w:jc w:val="center"/>
              <w:rPr>
                <w:color w:val="000000"/>
                <w:sz w:val="18"/>
                <w:szCs w:val="18"/>
              </w:rPr>
            </w:pPr>
            <w:r>
              <w:rPr>
                <w:color w:val="000000"/>
                <w:sz w:val="18"/>
                <w:szCs w:val="18"/>
              </w:rPr>
              <w:t>37681.8</w:t>
            </w:r>
          </w:p>
        </w:tc>
        <w:tc>
          <w:tcPr>
            <w:tcW w:w="1080" w:type="dxa"/>
          </w:tcPr>
          <w:p w14:paraId="000000DE" w14:textId="77777777" w:rsidR="00294ABB" w:rsidRDefault="00420BFB">
            <w:pPr>
              <w:jc w:val="center"/>
              <w:rPr>
                <w:b/>
                <w:color w:val="000000"/>
                <w:sz w:val="18"/>
                <w:szCs w:val="18"/>
              </w:rPr>
            </w:pPr>
            <w:r>
              <w:rPr>
                <w:b/>
                <w:color w:val="000000"/>
                <w:sz w:val="18"/>
                <w:szCs w:val="18"/>
              </w:rPr>
              <w:t>547952.0</w:t>
            </w:r>
          </w:p>
        </w:tc>
      </w:tr>
      <w:tr w:rsidR="00294ABB" w14:paraId="353A2044" w14:textId="77777777" w:rsidTr="00607A50">
        <w:trPr>
          <w:trHeight w:val="57"/>
        </w:trPr>
        <w:tc>
          <w:tcPr>
            <w:tcW w:w="1705" w:type="dxa"/>
          </w:tcPr>
          <w:p w14:paraId="000000DF" w14:textId="77777777" w:rsidR="00294ABB" w:rsidRDefault="00420BFB">
            <w:pPr>
              <w:rPr>
                <w:color w:val="000000"/>
                <w:sz w:val="18"/>
                <w:szCs w:val="18"/>
              </w:rPr>
            </w:pPr>
            <w:r>
              <w:rPr>
                <w:color w:val="000000"/>
                <w:sz w:val="18"/>
                <w:szCs w:val="18"/>
              </w:rPr>
              <w:t xml:space="preserve"> - Growth rate</w:t>
            </w:r>
          </w:p>
        </w:tc>
        <w:tc>
          <w:tcPr>
            <w:tcW w:w="990" w:type="dxa"/>
          </w:tcPr>
          <w:p w14:paraId="000000E0" w14:textId="77777777" w:rsidR="00294ABB" w:rsidRDefault="00420BFB">
            <w:pPr>
              <w:jc w:val="center"/>
              <w:rPr>
                <w:color w:val="000000"/>
                <w:sz w:val="18"/>
                <w:szCs w:val="18"/>
              </w:rPr>
            </w:pPr>
            <w:r>
              <w:rPr>
                <w:color w:val="000000"/>
                <w:sz w:val="18"/>
                <w:szCs w:val="18"/>
              </w:rPr>
              <w:t>2.7</w:t>
            </w:r>
          </w:p>
        </w:tc>
        <w:tc>
          <w:tcPr>
            <w:tcW w:w="990" w:type="dxa"/>
          </w:tcPr>
          <w:p w14:paraId="000000E1" w14:textId="77777777" w:rsidR="00294ABB" w:rsidRDefault="00420BFB">
            <w:pPr>
              <w:jc w:val="center"/>
              <w:rPr>
                <w:color w:val="000000"/>
                <w:sz w:val="18"/>
                <w:szCs w:val="18"/>
              </w:rPr>
            </w:pPr>
            <w:r>
              <w:rPr>
                <w:color w:val="000000"/>
                <w:sz w:val="18"/>
                <w:szCs w:val="18"/>
              </w:rPr>
              <w:t>-7.2</w:t>
            </w:r>
          </w:p>
        </w:tc>
        <w:tc>
          <w:tcPr>
            <w:tcW w:w="990" w:type="dxa"/>
          </w:tcPr>
          <w:p w14:paraId="000000E2" w14:textId="77777777" w:rsidR="00294ABB" w:rsidRDefault="00420BFB">
            <w:pPr>
              <w:jc w:val="center"/>
              <w:rPr>
                <w:color w:val="000000"/>
                <w:sz w:val="18"/>
                <w:szCs w:val="18"/>
              </w:rPr>
            </w:pPr>
            <w:r>
              <w:rPr>
                <w:color w:val="000000"/>
                <w:sz w:val="18"/>
                <w:szCs w:val="18"/>
              </w:rPr>
              <w:t>4.4</w:t>
            </w:r>
          </w:p>
        </w:tc>
        <w:tc>
          <w:tcPr>
            <w:tcW w:w="900" w:type="dxa"/>
          </w:tcPr>
          <w:p w14:paraId="000000E3" w14:textId="77777777" w:rsidR="00294ABB" w:rsidRDefault="00420BFB">
            <w:pPr>
              <w:jc w:val="center"/>
              <w:rPr>
                <w:color w:val="000000"/>
                <w:sz w:val="18"/>
                <w:szCs w:val="18"/>
              </w:rPr>
            </w:pPr>
            <w:r>
              <w:rPr>
                <w:color w:val="000000"/>
                <w:sz w:val="18"/>
                <w:szCs w:val="18"/>
              </w:rPr>
              <w:t>-1.8</w:t>
            </w:r>
          </w:p>
        </w:tc>
        <w:tc>
          <w:tcPr>
            <w:tcW w:w="1260" w:type="dxa"/>
          </w:tcPr>
          <w:p w14:paraId="000000E4" w14:textId="77777777" w:rsidR="00294ABB" w:rsidRDefault="00420BFB">
            <w:pPr>
              <w:jc w:val="center"/>
              <w:rPr>
                <w:color w:val="000000"/>
                <w:sz w:val="18"/>
                <w:szCs w:val="18"/>
              </w:rPr>
            </w:pPr>
            <w:r>
              <w:rPr>
                <w:color w:val="000000"/>
                <w:sz w:val="18"/>
                <w:szCs w:val="18"/>
              </w:rPr>
              <w:t>1.7</w:t>
            </w:r>
          </w:p>
        </w:tc>
        <w:tc>
          <w:tcPr>
            <w:tcW w:w="1170" w:type="dxa"/>
          </w:tcPr>
          <w:p w14:paraId="000000E5" w14:textId="77777777" w:rsidR="00294ABB" w:rsidRDefault="00420BFB">
            <w:pPr>
              <w:jc w:val="center"/>
              <w:rPr>
                <w:color w:val="000000"/>
                <w:sz w:val="18"/>
                <w:szCs w:val="18"/>
              </w:rPr>
            </w:pPr>
            <w:r>
              <w:rPr>
                <w:color w:val="000000"/>
                <w:sz w:val="18"/>
                <w:szCs w:val="18"/>
              </w:rPr>
              <w:t>-2.7</w:t>
            </w:r>
          </w:p>
        </w:tc>
        <w:tc>
          <w:tcPr>
            <w:tcW w:w="900" w:type="dxa"/>
          </w:tcPr>
          <w:p w14:paraId="000000E6" w14:textId="77777777" w:rsidR="00294ABB" w:rsidRDefault="00420BFB">
            <w:pPr>
              <w:jc w:val="center"/>
              <w:rPr>
                <w:color w:val="000000"/>
                <w:sz w:val="18"/>
                <w:szCs w:val="18"/>
              </w:rPr>
            </w:pPr>
            <w:r>
              <w:rPr>
                <w:color w:val="000000"/>
                <w:sz w:val="18"/>
                <w:szCs w:val="18"/>
              </w:rPr>
              <w:t>4.6</w:t>
            </w:r>
          </w:p>
        </w:tc>
        <w:tc>
          <w:tcPr>
            <w:tcW w:w="1080" w:type="dxa"/>
          </w:tcPr>
          <w:p w14:paraId="000000E7" w14:textId="77777777" w:rsidR="00294ABB" w:rsidRDefault="00420BFB">
            <w:pPr>
              <w:jc w:val="center"/>
              <w:rPr>
                <w:color w:val="000000"/>
                <w:sz w:val="18"/>
                <w:szCs w:val="18"/>
              </w:rPr>
            </w:pPr>
            <w:r>
              <w:rPr>
                <w:color w:val="000000"/>
                <w:sz w:val="18"/>
                <w:szCs w:val="18"/>
              </w:rPr>
              <w:t>2.4</w:t>
            </w:r>
          </w:p>
        </w:tc>
      </w:tr>
    </w:tbl>
    <w:p w14:paraId="000000E8" w14:textId="4DB24821" w:rsidR="00294ABB" w:rsidRPr="00835B56" w:rsidRDefault="00420BFB" w:rsidP="00835B56">
      <w:pPr>
        <w:pBdr>
          <w:top w:val="nil"/>
          <w:left w:val="nil"/>
          <w:bottom w:val="nil"/>
          <w:right w:val="nil"/>
          <w:between w:val="nil"/>
        </w:pBdr>
        <w:spacing w:before="120" w:after="0" w:line="259" w:lineRule="auto"/>
        <w:rPr>
          <w:color w:val="000000"/>
        </w:rPr>
      </w:pPr>
      <w:r w:rsidRPr="00835B56">
        <w:rPr>
          <w:color w:val="000000"/>
        </w:rPr>
        <w:t xml:space="preserve">Note: </w:t>
      </w:r>
      <w:r w:rsidR="005625DA">
        <w:rPr>
          <w:color w:val="000000"/>
        </w:rPr>
        <w:t>V</w:t>
      </w:r>
      <w:r w:rsidR="005625DA" w:rsidRPr="00835B56">
        <w:rPr>
          <w:color w:val="000000"/>
        </w:rPr>
        <w:t>alues</w:t>
      </w:r>
      <w:r w:rsidRPr="00835B56">
        <w:rPr>
          <w:color w:val="000000"/>
        </w:rPr>
        <w:t>: year 2019; growth rates: average annual growth rate over the 2010</w:t>
      </w:r>
      <w:r w:rsidR="007165FB" w:rsidRPr="00835B56">
        <w:rPr>
          <w:color w:val="000000"/>
        </w:rPr>
        <w:t>–</w:t>
      </w:r>
      <w:r w:rsidRPr="00835B56">
        <w:rPr>
          <w:color w:val="000000"/>
        </w:rPr>
        <w:t>2019 period.</w:t>
      </w:r>
    </w:p>
    <w:p w14:paraId="000000E9" w14:textId="6C8901F4" w:rsidR="00294ABB" w:rsidRPr="00835B56" w:rsidRDefault="00420BFB" w:rsidP="00835B56">
      <w:pPr>
        <w:spacing w:before="120" w:after="0" w:line="259" w:lineRule="auto"/>
        <w:rPr>
          <w:iCs/>
        </w:rPr>
      </w:pPr>
      <w:r w:rsidRPr="00835B56">
        <w:rPr>
          <w:iCs/>
        </w:rPr>
        <w:t>Source: UNCTAD, forthcoming: 18</w:t>
      </w:r>
    </w:p>
    <w:p w14:paraId="000000EA" w14:textId="77777777" w:rsidR="00294ABB" w:rsidRDefault="00294ABB">
      <w:pPr>
        <w:rPr>
          <w:sz w:val="22"/>
          <w:szCs w:val="22"/>
        </w:rPr>
      </w:pPr>
    </w:p>
    <w:p w14:paraId="000000EB" w14:textId="77777777" w:rsidR="00294ABB" w:rsidRDefault="00420BFB" w:rsidP="00835B56">
      <w:pPr>
        <w:pStyle w:val="Heading2"/>
        <w:ind w:left="578" w:hanging="578"/>
      </w:pPr>
      <w:bookmarkStart w:id="15" w:name="_Toc92623034"/>
      <w:r>
        <w:t>Protecting diversity and cultural heritage</w:t>
      </w:r>
      <w:bookmarkEnd w:id="15"/>
    </w:p>
    <w:p w14:paraId="000000EC" w14:textId="09088D84" w:rsidR="00294ABB" w:rsidRDefault="00420BFB" w:rsidP="00835B56">
      <w:pPr>
        <w:spacing w:line="259" w:lineRule="auto"/>
        <w:rPr>
          <w:sz w:val="22"/>
          <w:szCs w:val="22"/>
        </w:rPr>
      </w:pPr>
      <w:r>
        <w:rPr>
          <w:sz w:val="22"/>
          <w:szCs w:val="22"/>
        </w:rPr>
        <w:t>Concerns relating to the concentration and market domination of a few “hub” countries, which export a disproportionately large amount of cultural and creative goods and services (Wang, 2015), led to the adoption of the UNESCO Convention on the Protection and Promotion of the Diversity of Cultural Expressions (</w:t>
      </w:r>
      <w:r w:rsidR="0058364B">
        <w:rPr>
          <w:sz w:val="22"/>
          <w:szCs w:val="22"/>
        </w:rPr>
        <w:t>UNESCO</w:t>
      </w:r>
      <w:r>
        <w:rPr>
          <w:sz w:val="22"/>
          <w:szCs w:val="22"/>
        </w:rPr>
        <w:t>, 2005). The Convention does allow for countries to protect and promote national cultural and creative goods and indigenous or traditional knowledge.</w:t>
      </w:r>
      <w:r w:rsidR="001B10E6">
        <w:rPr>
          <w:sz w:val="22"/>
          <w:szCs w:val="22"/>
        </w:rPr>
        <w:t xml:space="preserve"> </w:t>
      </w:r>
      <w:r>
        <w:rPr>
          <w:sz w:val="22"/>
          <w:szCs w:val="22"/>
        </w:rPr>
        <w:t>However, both Jaramillo (2019) and Hanania (2019) note that the convention has not always been practically successful in protecting cultural diversity, or traditional knowledge</w:t>
      </w:r>
      <w:r w:rsidR="0008232B">
        <w:rPr>
          <w:sz w:val="22"/>
          <w:szCs w:val="22"/>
        </w:rPr>
        <w:t>.</w:t>
      </w:r>
      <w:r>
        <w:rPr>
          <w:sz w:val="22"/>
          <w:szCs w:val="22"/>
        </w:rPr>
        <w:t xml:space="preserve"> For example, “When countries like France tried to defend the cultural exception comprising other sectors than the audio-visual services sector after the adoption of the CDCE, the European Commission often referred to coherence with commitments already undertaken in previous agreements (including the WTO) to reject such proposals” (Hanania, 2019: 572).</w:t>
      </w:r>
    </w:p>
    <w:p w14:paraId="000000ED" w14:textId="77777777" w:rsidR="00294ABB" w:rsidRDefault="00420BFB" w:rsidP="00835B56">
      <w:pPr>
        <w:spacing w:line="259" w:lineRule="auto"/>
        <w:rPr>
          <w:sz w:val="22"/>
          <w:szCs w:val="22"/>
        </w:rPr>
      </w:pPr>
      <w:r>
        <w:rPr>
          <w:sz w:val="22"/>
          <w:szCs w:val="22"/>
        </w:rPr>
        <w:t xml:space="preserve">Concerns about the illegal export of historical cultural artefacts occur in many countries (Mas-Collel, 1999). South Africa, for example, tries to restrict the export of cultural artefacts that are regarded as unique parts of the “national estate”, that is, they are regarded as an important </w:t>
      </w:r>
      <w:r>
        <w:rPr>
          <w:sz w:val="22"/>
          <w:szCs w:val="22"/>
        </w:rPr>
        <w:lastRenderedPageBreak/>
        <w:t xml:space="preserve">part of the cultural heritage of the country. Kersel and Hill (2020) describe how satellite images and aerial photographs were used in Jordan to establish that archaeological sites were being looted. The information was used to persuade the US (where there is a great demand for Jordanian artefacts) to agree to import restrictions that will help to protect such sites. </w:t>
      </w:r>
    </w:p>
    <w:p w14:paraId="000000EE" w14:textId="77777777" w:rsidR="00294ABB" w:rsidRDefault="00420BFB" w:rsidP="00835B56">
      <w:pPr>
        <w:spacing w:line="259" w:lineRule="auto"/>
        <w:rPr>
          <w:sz w:val="22"/>
          <w:szCs w:val="22"/>
        </w:rPr>
      </w:pPr>
      <w:r>
        <w:rPr>
          <w:sz w:val="22"/>
          <w:szCs w:val="22"/>
        </w:rPr>
        <w:t xml:space="preserve">The CDCE can be seen as representing an evolving search for balance “between on the one hand, the need to safeguard the largest and most flexible policy space possible for the exercise of the sovereign rights to adopt and maintain cultural policies; and on the other hand, the objective of promoting cultural cooperation that can contribute to more balanced international exchanges” (Hanania, 2019: 573). </w:t>
      </w:r>
    </w:p>
    <w:p w14:paraId="000000EF" w14:textId="712E480C" w:rsidR="00294ABB" w:rsidRDefault="00420BFB" w:rsidP="00835B56">
      <w:pPr>
        <w:spacing w:line="259" w:lineRule="auto"/>
        <w:rPr>
          <w:sz w:val="22"/>
          <w:szCs w:val="22"/>
        </w:rPr>
      </w:pPr>
      <w:r>
        <w:rPr>
          <w:sz w:val="22"/>
          <w:szCs w:val="22"/>
        </w:rPr>
        <w:t>Jaramillo (2019) gives an account of some examples of lobbying for the protection of intellectual property rights, and the fair sharing of benefits in relation to traditional knowledge systems in South American countries. Even in cases where such protocols were upheld during FTA negotiations, these did not generate the expected benefits on the ground, as companies found ways of circumventing costly and complex negotiations with indigenous communities.</w:t>
      </w:r>
      <w:r w:rsidR="001B10E6">
        <w:rPr>
          <w:sz w:val="22"/>
          <w:szCs w:val="22"/>
        </w:rPr>
        <w:t xml:space="preserve"> </w:t>
      </w:r>
    </w:p>
    <w:p w14:paraId="000000F0" w14:textId="77777777" w:rsidR="00294ABB" w:rsidRDefault="00420BFB" w:rsidP="00835B56">
      <w:pPr>
        <w:pStyle w:val="Heading2"/>
        <w:ind w:left="578" w:hanging="578"/>
      </w:pPr>
      <w:bookmarkStart w:id="16" w:name="_Toc92623035"/>
      <w:r>
        <w:t>Trade patterns and cultural distance</w:t>
      </w:r>
      <w:bookmarkEnd w:id="16"/>
    </w:p>
    <w:p w14:paraId="000000F1" w14:textId="77777777" w:rsidR="00294ABB" w:rsidRDefault="00420BFB" w:rsidP="00835B56">
      <w:pPr>
        <w:spacing w:line="259" w:lineRule="auto"/>
        <w:rPr>
          <w:sz w:val="22"/>
          <w:szCs w:val="22"/>
        </w:rPr>
      </w:pPr>
      <w:r>
        <w:rPr>
          <w:sz w:val="22"/>
          <w:szCs w:val="22"/>
        </w:rPr>
        <w:t xml:space="preserve">In explaining patterns of cultural trade, there are also theories related to “cultural distance”, that is, the extent to which consumers in the importing country identify with and understand the cultural content in goods and services from the exporting country. Disdier et al. (2010) find that countries are more likely to trade in cultural goods if they speak the same language, share past colonial links, and have similar cultural tastes. </w:t>
      </w:r>
    </w:p>
    <w:p w14:paraId="000000F2" w14:textId="0DDC9BC9" w:rsidR="00294ABB" w:rsidRDefault="00420BFB" w:rsidP="00835B56">
      <w:pPr>
        <w:spacing w:line="259" w:lineRule="auto"/>
        <w:rPr>
          <w:sz w:val="22"/>
          <w:szCs w:val="22"/>
        </w:rPr>
      </w:pPr>
      <w:r>
        <w:rPr>
          <w:sz w:val="22"/>
          <w:szCs w:val="22"/>
        </w:rPr>
        <w:t xml:space="preserve">Jane (2021) explains that many cultural goods (such as films, music, print media and other manufactured goods) contain “embedded cultural content”. The theory of “cultural discount” suggests that consumers prefer domestic, rather than imported, cultural products, and that the greater the cultural distance between the domestic consumer and </w:t>
      </w:r>
      <w:r w:rsidR="00245940">
        <w:rPr>
          <w:sz w:val="22"/>
          <w:szCs w:val="22"/>
        </w:rPr>
        <w:t xml:space="preserve">the </w:t>
      </w:r>
      <w:r>
        <w:rPr>
          <w:sz w:val="22"/>
          <w:szCs w:val="22"/>
        </w:rPr>
        <w:t xml:space="preserve">foreign producing country, the less demand there will be for the product. </w:t>
      </w:r>
    </w:p>
    <w:p w14:paraId="000000F3" w14:textId="0FB91DD4" w:rsidR="00294ABB" w:rsidRDefault="00420BFB" w:rsidP="00835B56">
      <w:pPr>
        <w:spacing w:line="259" w:lineRule="auto"/>
        <w:rPr>
          <w:sz w:val="22"/>
          <w:szCs w:val="22"/>
        </w:rPr>
      </w:pPr>
      <w:r>
        <w:rPr>
          <w:sz w:val="22"/>
          <w:szCs w:val="22"/>
        </w:rPr>
        <w:t>Applying the theory of cultural discount to film imports in Taiwan, Jane (2021) used a cultural index to measure cultural distance, and its relationship to box office revenue of more than 3</w:t>
      </w:r>
      <w:r w:rsidR="00B92B76">
        <w:rPr>
          <w:sz w:val="22"/>
          <w:szCs w:val="22"/>
        </w:rPr>
        <w:t> </w:t>
      </w:r>
      <w:r>
        <w:rPr>
          <w:sz w:val="22"/>
          <w:szCs w:val="22"/>
        </w:rPr>
        <w:t>000 films. The study shows support for the theory of cultural discount: as cultural distance increases, box office revenue declines (when controlling for other characteristics, such as film genre). Interestingly, however, the relationship appears to be U-shaped: past a certain level of cultural distance, consumers seem to regard “distant culture embedded in the movie to be novel and interesting” and box office earnings rise again.</w:t>
      </w:r>
    </w:p>
    <w:p w14:paraId="000000F4" w14:textId="77777777" w:rsidR="00294ABB" w:rsidRDefault="00420BFB" w:rsidP="00835B56">
      <w:pPr>
        <w:pStyle w:val="Heading2"/>
        <w:ind w:left="578" w:hanging="578"/>
      </w:pPr>
      <w:bookmarkStart w:id="17" w:name="_Toc92623036"/>
      <w:r>
        <w:t>Creative services trade</w:t>
      </w:r>
      <w:bookmarkEnd w:id="17"/>
    </w:p>
    <w:p w14:paraId="000000F5" w14:textId="77777777" w:rsidR="00294ABB" w:rsidRDefault="00420BFB" w:rsidP="00835B56">
      <w:pPr>
        <w:spacing w:line="259" w:lineRule="auto"/>
        <w:rPr>
          <w:sz w:val="22"/>
          <w:szCs w:val="22"/>
        </w:rPr>
      </w:pPr>
      <w:r>
        <w:rPr>
          <w:sz w:val="22"/>
          <w:szCs w:val="22"/>
        </w:rPr>
        <w:t xml:space="preserve">UNCTAD (2018; forthcoming) notes the rise of creative services trade as one of the most important world trends in cultural trade. While detailed data are still difficult to obtain, creative services trade has been growing steadily. A recent UNCTAD report (forthcoming) estimates world creative services exports (Table 2). The data show clearly that developed economies still currently account for the greatest share of creative services trade (80%), but that the value of creative services exports from developing countries is growing quickly (at more than 15% per year). </w:t>
      </w:r>
    </w:p>
    <w:p w14:paraId="000000F6" w14:textId="77777777" w:rsidR="00294ABB" w:rsidRDefault="00420BFB" w:rsidP="00835B56">
      <w:pPr>
        <w:spacing w:line="259" w:lineRule="auto"/>
        <w:rPr>
          <w:sz w:val="22"/>
          <w:szCs w:val="22"/>
        </w:rPr>
      </w:pPr>
      <w:r>
        <w:rPr>
          <w:sz w:val="22"/>
          <w:szCs w:val="22"/>
        </w:rPr>
        <w:t xml:space="preserve">The digitisation of creative goods may provide an important opportunity to developing countries in terms of providing cultural content to online distributors and reaching new markets, but as Nwauche (2018) points out, only if intellectual property (IP) rights can be enforced. In many African countries, IP and copyright frameworks are weak, and levels of counterfeiting </w:t>
      </w:r>
      <w:r>
        <w:rPr>
          <w:sz w:val="22"/>
          <w:szCs w:val="22"/>
        </w:rPr>
        <w:lastRenderedPageBreak/>
        <w:t>and piracy are high. IP frameworks need to be strategically developed in order to obtain the right balance between protecting IP and facilitating access to knowledge.</w:t>
      </w:r>
    </w:p>
    <w:p w14:paraId="000000F7" w14:textId="1B01DFA0" w:rsidR="00294ABB" w:rsidRPr="00835B56" w:rsidRDefault="0055663D" w:rsidP="0055663D">
      <w:pPr>
        <w:pStyle w:val="Caption"/>
        <w:rPr>
          <w:color w:val="44546A"/>
          <w:sz w:val="20"/>
          <w:szCs w:val="20"/>
        </w:rPr>
      </w:pPr>
      <w:bookmarkStart w:id="18" w:name="_heading=h.35nkun2" w:colFirst="0" w:colLast="0"/>
      <w:bookmarkStart w:id="19" w:name="_Toc92623702"/>
      <w:bookmarkEnd w:id="18"/>
      <w:r w:rsidRPr="00835B56">
        <w:rPr>
          <w:sz w:val="20"/>
          <w:szCs w:val="20"/>
        </w:rPr>
        <w:t xml:space="preserve">Table </w:t>
      </w:r>
      <w:r w:rsidR="00A75DC7" w:rsidRPr="00835B56">
        <w:rPr>
          <w:sz w:val="20"/>
          <w:szCs w:val="20"/>
        </w:rPr>
        <w:fldChar w:fldCharType="begin"/>
      </w:r>
      <w:r w:rsidR="00A75DC7" w:rsidRPr="00835B56">
        <w:rPr>
          <w:sz w:val="20"/>
          <w:szCs w:val="20"/>
        </w:rPr>
        <w:instrText xml:space="preserve"> SEQ Table \* ARABIC </w:instrText>
      </w:r>
      <w:r w:rsidR="00A75DC7" w:rsidRPr="00835B56">
        <w:rPr>
          <w:sz w:val="20"/>
          <w:szCs w:val="20"/>
        </w:rPr>
        <w:fldChar w:fldCharType="separate"/>
      </w:r>
      <w:r w:rsidR="00682412">
        <w:rPr>
          <w:noProof/>
          <w:sz w:val="20"/>
          <w:szCs w:val="20"/>
        </w:rPr>
        <w:t>2</w:t>
      </w:r>
      <w:r w:rsidR="00A75DC7" w:rsidRPr="00835B56">
        <w:rPr>
          <w:noProof/>
          <w:sz w:val="20"/>
          <w:szCs w:val="20"/>
        </w:rPr>
        <w:fldChar w:fldCharType="end"/>
      </w:r>
      <w:r w:rsidR="00F3268B" w:rsidRPr="00835B56">
        <w:rPr>
          <w:noProof/>
          <w:sz w:val="20"/>
          <w:szCs w:val="20"/>
        </w:rPr>
        <w:t xml:space="preserve">: </w:t>
      </w:r>
      <w:r w:rsidR="00420BFB" w:rsidRPr="00835B56">
        <w:rPr>
          <w:color w:val="44546A"/>
          <w:sz w:val="20"/>
          <w:szCs w:val="20"/>
        </w:rPr>
        <w:t>Exports of Creative Services by region and development status, 2010</w:t>
      </w:r>
      <w:r w:rsidR="00F3268B" w:rsidRPr="00835B56">
        <w:rPr>
          <w:color w:val="44546A"/>
          <w:sz w:val="20"/>
          <w:szCs w:val="20"/>
        </w:rPr>
        <w:t>–</w:t>
      </w:r>
      <w:r w:rsidR="00420BFB" w:rsidRPr="00835B56">
        <w:rPr>
          <w:color w:val="44546A"/>
          <w:sz w:val="20"/>
          <w:szCs w:val="20"/>
        </w:rPr>
        <w:t>2019</w:t>
      </w:r>
      <w:bookmarkEnd w:id="19"/>
    </w:p>
    <w:tbl>
      <w:tblPr>
        <w:tblStyle w:val="a0"/>
        <w:tblW w:w="73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33"/>
        <w:gridCol w:w="1398"/>
        <w:gridCol w:w="1180"/>
        <w:gridCol w:w="2360"/>
      </w:tblGrid>
      <w:tr w:rsidR="00294ABB" w14:paraId="11F4A467" w14:textId="77777777" w:rsidTr="00835B56">
        <w:trPr>
          <w:trHeight w:val="113"/>
          <w:jc w:val="center"/>
        </w:trPr>
        <w:tc>
          <w:tcPr>
            <w:tcW w:w="2226" w:type="dxa"/>
            <w:shd w:val="clear" w:color="auto" w:fill="auto"/>
            <w:vAlign w:val="bottom"/>
          </w:tcPr>
          <w:p w14:paraId="000000F8" w14:textId="77777777" w:rsidR="00294ABB" w:rsidRPr="00835B56" w:rsidRDefault="00294ABB" w:rsidP="00835B56">
            <w:pPr>
              <w:spacing w:before="60" w:after="60"/>
              <w:rPr>
                <w:color w:val="000000"/>
              </w:rPr>
            </w:pPr>
          </w:p>
        </w:tc>
        <w:tc>
          <w:tcPr>
            <w:tcW w:w="2359" w:type="dxa"/>
            <w:gridSpan w:val="2"/>
            <w:shd w:val="clear" w:color="auto" w:fill="auto"/>
          </w:tcPr>
          <w:p w14:paraId="000000F9" w14:textId="77777777" w:rsidR="00294ABB" w:rsidRPr="00835B56" w:rsidRDefault="00420BFB" w:rsidP="00835B56">
            <w:pPr>
              <w:spacing w:before="60" w:after="60"/>
              <w:jc w:val="center"/>
              <w:rPr>
                <w:b/>
              </w:rPr>
            </w:pPr>
            <w:r w:rsidRPr="00835B56">
              <w:rPr>
                <w:b/>
              </w:rPr>
              <w:t>2019</w:t>
            </w:r>
          </w:p>
        </w:tc>
        <w:tc>
          <w:tcPr>
            <w:tcW w:w="2160" w:type="dxa"/>
            <w:shd w:val="clear" w:color="auto" w:fill="auto"/>
          </w:tcPr>
          <w:p w14:paraId="000000FB" w14:textId="4F512843" w:rsidR="00294ABB" w:rsidRPr="00835B56" w:rsidRDefault="00420BFB" w:rsidP="00835B56">
            <w:pPr>
              <w:spacing w:before="60" w:after="60"/>
              <w:jc w:val="center"/>
              <w:rPr>
                <w:b/>
                <w:color w:val="000000"/>
              </w:rPr>
            </w:pPr>
            <w:r w:rsidRPr="00835B56">
              <w:rPr>
                <w:b/>
                <w:color w:val="000000"/>
              </w:rPr>
              <w:t>2010</w:t>
            </w:r>
            <w:r w:rsidR="007165FB">
              <w:rPr>
                <w:b/>
                <w:color w:val="000000"/>
              </w:rPr>
              <w:t>–</w:t>
            </w:r>
            <w:r w:rsidRPr="00835B56">
              <w:rPr>
                <w:b/>
                <w:color w:val="000000"/>
              </w:rPr>
              <w:t>2019</w:t>
            </w:r>
          </w:p>
        </w:tc>
      </w:tr>
      <w:tr w:rsidR="00294ABB" w14:paraId="7153B2C5" w14:textId="77777777" w:rsidTr="00835B56">
        <w:trPr>
          <w:trHeight w:val="113"/>
          <w:jc w:val="center"/>
        </w:trPr>
        <w:tc>
          <w:tcPr>
            <w:tcW w:w="2226" w:type="dxa"/>
            <w:shd w:val="clear" w:color="auto" w:fill="auto"/>
            <w:vAlign w:val="bottom"/>
          </w:tcPr>
          <w:p w14:paraId="000000FC" w14:textId="77777777" w:rsidR="00294ABB" w:rsidRPr="00835B56" w:rsidRDefault="00294ABB" w:rsidP="00835B56">
            <w:pPr>
              <w:spacing w:before="60" w:after="60"/>
              <w:rPr>
                <w:color w:val="000000"/>
              </w:rPr>
            </w:pPr>
          </w:p>
        </w:tc>
        <w:tc>
          <w:tcPr>
            <w:tcW w:w="1279" w:type="dxa"/>
            <w:shd w:val="clear" w:color="auto" w:fill="auto"/>
          </w:tcPr>
          <w:p w14:paraId="000000FD" w14:textId="77777777" w:rsidR="00294ABB" w:rsidRPr="00835B56" w:rsidRDefault="00420BFB" w:rsidP="00835B56">
            <w:pPr>
              <w:spacing w:before="60" w:after="60"/>
              <w:jc w:val="center"/>
              <w:rPr>
                <w:b/>
                <w:color w:val="000000"/>
              </w:rPr>
            </w:pPr>
            <w:r w:rsidRPr="00835B56">
              <w:rPr>
                <w:b/>
              </w:rPr>
              <w:t>US$ billions</w:t>
            </w:r>
          </w:p>
        </w:tc>
        <w:tc>
          <w:tcPr>
            <w:tcW w:w="1080" w:type="dxa"/>
            <w:shd w:val="clear" w:color="auto" w:fill="auto"/>
          </w:tcPr>
          <w:p w14:paraId="000000FE" w14:textId="77777777" w:rsidR="00294ABB" w:rsidRPr="00835B56" w:rsidRDefault="00420BFB" w:rsidP="00835B56">
            <w:pPr>
              <w:spacing w:before="60" w:after="60"/>
              <w:jc w:val="center"/>
              <w:rPr>
                <w:b/>
                <w:color w:val="000000"/>
              </w:rPr>
            </w:pPr>
            <w:r w:rsidRPr="00835B56">
              <w:rPr>
                <w:b/>
              </w:rPr>
              <w:t>Shares (%)</w:t>
            </w:r>
          </w:p>
        </w:tc>
        <w:tc>
          <w:tcPr>
            <w:tcW w:w="2160" w:type="dxa"/>
            <w:shd w:val="clear" w:color="auto" w:fill="auto"/>
          </w:tcPr>
          <w:p w14:paraId="000000FF" w14:textId="77777777" w:rsidR="00294ABB" w:rsidRPr="00835B56" w:rsidRDefault="00420BFB" w:rsidP="00835B56">
            <w:pPr>
              <w:spacing w:before="60" w:after="60"/>
              <w:jc w:val="center"/>
              <w:rPr>
                <w:b/>
                <w:color w:val="000000"/>
              </w:rPr>
            </w:pPr>
            <w:r w:rsidRPr="00835B56">
              <w:rPr>
                <w:b/>
                <w:color w:val="000000"/>
              </w:rPr>
              <w:t>Annual growth rate (%)</w:t>
            </w:r>
          </w:p>
        </w:tc>
      </w:tr>
      <w:tr w:rsidR="00294ABB" w14:paraId="32FE27FA" w14:textId="77777777" w:rsidTr="00835B56">
        <w:trPr>
          <w:trHeight w:val="113"/>
          <w:jc w:val="center"/>
        </w:trPr>
        <w:tc>
          <w:tcPr>
            <w:tcW w:w="2226" w:type="dxa"/>
            <w:shd w:val="clear" w:color="auto" w:fill="auto"/>
            <w:vAlign w:val="bottom"/>
          </w:tcPr>
          <w:p w14:paraId="00000100" w14:textId="77777777" w:rsidR="00294ABB" w:rsidRPr="00835B56" w:rsidRDefault="00420BFB" w:rsidP="00835B56">
            <w:pPr>
              <w:spacing w:before="60" w:after="60"/>
              <w:rPr>
                <w:color w:val="000000"/>
              </w:rPr>
            </w:pPr>
            <w:r w:rsidRPr="00835B56">
              <w:rPr>
                <w:color w:val="000000"/>
              </w:rPr>
              <w:t>World</w:t>
            </w:r>
          </w:p>
        </w:tc>
        <w:tc>
          <w:tcPr>
            <w:tcW w:w="1279" w:type="dxa"/>
            <w:shd w:val="clear" w:color="auto" w:fill="auto"/>
            <w:vAlign w:val="bottom"/>
          </w:tcPr>
          <w:p w14:paraId="00000101" w14:textId="7F0032DF" w:rsidR="00294ABB" w:rsidRPr="00835B56" w:rsidRDefault="00420BFB" w:rsidP="00835B56">
            <w:pPr>
              <w:spacing w:before="60" w:after="60"/>
              <w:jc w:val="center"/>
              <w:rPr>
                <w:color w:val="000000"/>
              </w:rPr>
            </w:pPr>
            <w:r w:rsidRPr="00835B56">
              <w:rPr>
                <w:color w:val="000000"/>
              </w:rPr>
              <w:t>1</w:t>
            </w:r>
            <w:r w:rsidR="00B92B76" w:rsidRPr="00835B56">
              <w:rPr>
                <w:color w:val="000000"/>
              </w:rPr>
              <w:t xml:space="preserve"> </w:t>
            </w:r>
            <w:r w:rsidRPr="00835B56">
              <w:rPr>
                <w:color w:val="000000"/>
              </w:rPr>
              <w:t>081.0</w:t>
            </w:r>
          </w:p>
        </w:tc>
        <w:tc>
          <w:tcPr>
            <w:tcW w:w="1080" w:type="dxa"/>
            <w:shd w:val="clear" w:color="auto" w:fill="auto"/>
            <w:vAlign w:val="bottom"/>
          </w:tcPr>
          <w:p w14:paraId="00000102" w14:textId="77777777" w:rsidR="00294ABB" w:rsidRPr="00835B56" w:rsidRDefault="00420BFB" w:rsidP="00835B56">
            <w:pPr>
              <w:spacing w:before="60" w:after="60"/>
              <w:jc w:val="center"/>
              <w:rPr>
                <w:color w:val="000000"/>
              </w:rPr>
            </w:pPr>
            <w:r w:rsidRPr="00835B56">
              <w:rPr>
                <w:color w:val="000000"/>
              </w:rPr>
              <w:t>100.0</w:t>
            </w:r>
          </w:p>
        </w:tc>
        <w:tc>
          <w:tcPr>
            <w:tcW w:w="2160" w:type="dxa"/>
            <w:shd w:val="clear" w:color="auto" w:fill="auto"/>
            <w:vAlign w:val="bottom"/>
          </w:tcPr>
          <w:p w14:paraId="00000103" w14:textId="77777777" w:rsidR="00294ABB" w:rsidRPr="00835B56" w:rsidRDefault="00420BFB" w:rsidP="00835B56">
            <w:pPr>
              <w:spacing w:before="60" w:after="60"/>
              <w:jc w:val="center"/>
              <w:rPr>
                <w:color w:val="000000"/>
              </w:rPr>
            </w:pPr>
            <w:r w:rsidRPr="00835B56">
              <w:rPr>
                <w:color w:val="000000"/>
              </w:rPr>
              <w:t>9.2</w:t>
            </w:r>
          </w:p>
        </w:tc>
      </w:tr>
      <w:tr w:rsidR="00294ABB" w14:paraId="5B5077C3" w14:textId="77777777" w:rsidTr="00835B56">
        <w:trPr>
          <w:trHeight w:val="113"/>
          <w:jc w:val="center"/>
        </w:trPr>
        <w:tc>
          <w:tcPr>
            <w:tcW w:w="2226" w:type="dxa"/>
            <w:shd w:val="clear" w:color="auto" w:fill="auto"/>
            <w:vAlign w:val="bottom"/>
          </w:tcPr>
          <w:p w14:paraId="00000104" w14:textId="77777777" w:rsidR="00294ABB" w:rsidRPr="00835B56" w:rsidRDefault="00420BFB" w:rsidP="00835B56">
            <w:pPr>
              <w:spacing w:before="60" w:after="60"/>
              <w:rPr>
                <w:b/>
                <w:color w:val="000000"/>
              </w:rPr>
            </w:pPr>
            <w:r w:rsidRPr="00835B56">
              <w:rPr>
                <w:b/>
                <w:color w:val="000000"/>
              </w:rPr>
              <w:t>By development status</w:t>
            </w:r>
          </w:p>
        </w:tc>
        <w:tc>
          <w:tcPr>
            <w:tcW w:w="1279" w:type="dxa"/>
            <w:shd w:val="clear" w:color="auto" w:fill="auto"/>
            <w:vAlign w:val="bottom"/>
          </w:tcPr>
          <w:p w14:paraId="00000105" w14:textId="77777777" w:rsidR="00294ABB" w:rsidRPr="00835B56" w:rsidRDefault="00294ABB" w:rsidP="00835B56">
            <w:pPr>
              <w:spacing w:before="60" w:after="60"/>
              <w:jc w:val="center"/>
              <w:rPr>
                <w:color w:val="000000"/>
              </w:rPr>
            </w:pPr>
          </w:p>
        </w:tc>
        <w:tc>
          <w:tcPr>
            <w:tcW w:w="1080" w:type="dxa"/>
            <w:shd w:val="clear" w:color="auto" w:fill="auto"/>
            <w:vAlign w:val="bottom"/>
          </w:tcPr>
          <w:p w14:paraId="00000106" w14:textId="77777777" w:rsidR="00294ABB" w:rsidRPr="00835B56" w:rsidRDefault="00294ABB" w:rsidP="00835B56">
            <w:pPr>
              <w:spacing w:before="60" w:after="60"/>
              <w:jc w:val="center"/>
              <w:rPr>
                <w:color w:val="000000"/>
              </w:rPr>
            </w:pPr>
          </w:p>
        </w:tc>
        <w:tc>
          <w:tcPr>
            <w:tcW w:w="2160" w:type="dxa"/>
            <w:shd w:val="clear" w:color="auto" w:fill="auto"/>
            <w:vAlign w:val="bottom"/>
          </w:tcPr>
          <w:p w14:paraId="00000107" w14:textId="77777777" w:rsidR="00294ABB" w:rsidRPr="00835B56" w:rsidRDefault="00294ABB" w:rsidP="00835B56">
            <w:pPr>
              <w:spacing w:before="60" w:after="60"/>
              <w:jc w:val="center"/>
              <w:rPr>
                <w:color w:val="000000"/>
              </w:rPr>
            </w:pPr>
          </w:p>
        </w:tc>
      </w:tr>
      <w:tr w:rsidR="00294ABB" w14:paraId="390F5ACB" w14:textId="77777777" w:rsidTr="00835B56">
        <w:trPr>
          <w:trHeight w:val="113"/>
          <w:jc w:val="center"/>
        </w:trPr>
        <w:tc>
          <w:tcPr>
            <w:tcW w:w="2226" w:type="dxa"/>
            <w:shd w:val="clear" w:color="auto" w:fill="auto"/>
            <w:vAlign w:val="bottom"/>
          </w:tcPr>
          <w:p w14:paraId="00000108" w14:textId="77777777" w:rsidR="00294ABB" w:rsidRPr="00835B56" w:rsidRDefault="00420BFB" w:rsidP="00835B56">
            <w:pPr>
              <w:spacing w:before="60" w:after="60"/>
              <w:rPr>
                <w:color w:val="000000"/>
              </w:rPr>
            </w:pPr>
            <w:r w:rsidRPr="00835B56">
              <w:rPr>
                <w:color w:val="000000"/>
              </w:rPr>
              <w:t>Developed economies</w:t>
            </w:r>
          </w:p>
        </w:tc>
        <w:tc>
          <w:tcPr>
            <w:tcW w:w="1279" w:type="dxa"/>
            <w:shd w:val="clear" w:color="auto" w:fill="auto"/>
            <w:vAlign w:val="bottom"/>
          </w:tcPr>
          <w:p w14:paraId="00000109" w14:textId="77777777" w:rsidR="00294ABB" w:rsidRPr="00835B56" w:rsidRDefault="00420BFB" w:rsidP="00835B56">
            <w:pPr>
              <w:spacing w:before="60" w:after="60"/>
              <w:jc w:val="center"/>
              <w:rPr>
                <w:color w:val="000000"/>
              </w:rPr>
            </w:pPr>
            <w:r w:rsidRPr="00835B56">
              <w:rPr>
                <w:color w:val="000000"/>
              </w:rPr>
              <w:t>867.8</w:t>
            </w:r>
          </w:p>
        </w:tc>
        <w:tc>
          <w:tcPr>
            <w:tcW w:w="1080" w:type="dxa"/>
            <w:shd w:val="clear" w:color="auto" w:fill="auto"/>
            <w:vAlign w:val="bottom"/>
          </w:tcPr>
          <w:p w14:paraId="0000010A" w14:textId="77777777" w:rsidR="00294ABB" w:rsidRPr="00835B56" w:rsidRDefault="00420BFB" w:rsidP="00835B56">
            <w:pPr>
              <w:spacing w:before="60" w:after="60"/>
              <w:jc w:val="center"/>
              <w:rPr>
                <w:color w:val="000000"/>
              </w:rPr>
            </w:pPr>
            <w:r w:rsidRPr="00835B56">
              <w:rPr>
                <w:color w:val="000000"/>
              </w:rPr>
              <w:t>80.3</w:t>
            </w:r>
          </w:p>
        </w:tc>
        <w:tc>
          <w:tcPr>
            <w:tcW w:w="2160" w:type="dxa"/>
            <w:shd w:val="clear" w:color="auto" w:fill="auto"/>
            <w:vAlign w:val="bottom"/>
          </w:tcPr>
          <w:p w14:paraId="0000010B" w14:textId="77777777" w:rsidR="00294ABB" w:rsidRPr="00835B56" w:rsidRDefault="00420BFB" w:rsidP="00835B56">
            <w:pPr>
              <w:spacing w:before="60" w:after="60"/>
              <w:jc w:val="center"/>
              <w:rPr>
                <w:color w:val="000000"/>
              </w:rPr>
            </w:pPr>
            <w:r w:rsidRPr="00835B56">
              <w:rPr>
                <w:color w:val="000000"/>
              </w:rPr>
              <w:t>8.2</w:t>
            </w:r>
          </w:p>
        </w:tc>
      </w:tr>
      <w:tr w:rsidR="00294ABB" w14:paraId="1D1AE741" w14:textId="77777777" w:rsidTr="00835B56">
        <w:trPr>
          <w:trHeight w:val="113"/>
          <w:jc w:val="center"/>
        </w:trPr>
        <w:tc>
          <w:tcPr>
            <w:tcW w:w="2226" w:type="dxa"/>
            <w:shd w:val="clear" w:color="auto" w:fill="auto"/>
            <w:vAlign w:val="bottom"/>
          </w:tcPr>
          <w:p w14:paraId="0000010C" w14:textId="77777777" w:rsidR="00294ABB" w:rsidRPr="00835B56" w:rsidRDefault="00420BFB" w:rsidP="00835B56">
            <w:pPr>
              <w:spacing w:before="60" w:after="60"/>
              <w:rPr>
                <w:color w:val="000000"/>
              </w:rPr>
            </w:pPr>
            <w:r w:rsidRPr="00835B56">
              <w:rPr>
                <w:color w:val="000000"/>
              </w:rPr>
              <w:t>Developing economies</w:t>
            </w:r>
          </w:p>
        </w:tc>
        <w:tc>
          <w:tcPr>
            <w:tcW w:w="1279" w:type="dxa"/>
            <w:shd w:val="clear" w:color="auto" w:fill="auto"/>
            <w:vAlign w:val="bottom"/>
          </w:tcPr>
          <w:p w14:paraId="0000010D" w14:textId="77777777" w:rsidR="00294ABB" w:rsidRPr="00835B56" w:rsidRDefault="00420BFB" w:rsidP="00835B56">
            <w:pPr>
              <w:spacing w:before="60" w:after="60"/>
              <w:jc w:val="center"/>
              <w:rPr>
                <w:color w:val="000000"/>
              </w:rPr>
            </w:pPr>
            <w:r w:rsidRPr="00835B56">
              <w:rPr>
                <w:color w:val="000000"/>
              </w:rPr>
              <w:t>202.2</w:t>
            </w:r>
          </w:p>
        </w:tc>
        <w:tc>
          <w:tcPr>
            <w:tcW w:w="1080" w:type="dxa"/>
            <w:shd w:val="clear" w:color="auto" w:fill="auto"/>
            <w:vAlign w:val="bottom"/>
          </w:tcPr>
          <w:p w14:paraId="0000010E" w14:textId="77777777" w:rsidR="00294ABB" w:rsidRPr="00835B56" w:rsidRDefault="00420BFB" w:rsidP="00835B56">
            <w:pPr>
              <w:spacing w:before="60" w:after="60"/>
              <w:jc w:val="center"/>
              <w:rPr>
                <w:color w:val="000000"/>
              </w:rPr>
            </w:pPr>
            <w:r w:rsidRPr="00835B56">
              <w:rPr>
                <w:color w:val="000000"/>
              </w:rPr>
              <w:t>18.7</w:t>
            </w:r>
          </w:p>
        </w:tc>
        <w:tc>
          <w:tcPr>
            <w:tcW w:w="2160" w:type="dxa"/>
            <w:shd w:val="clear" w:color="auto" w:fill="auto"/>
            <w:vAlign w:val="bottom"/>
          </w:tcPr>
          <w:p w14:paraId="0000010F" w14:textId="77777777" w:rsidR="00294ABB" w:rsidRPr="00835B56" w:rsidRDefault="00420BFB" w:rsidP="00835B56">
            <w:pPr>
              <w:spacing w:before="60" w:after="60"/>
              <w:jc w:val="center"/>
              <w:rPr>
                <w:color w:val="000000"/>
              </w:rPr>
            </w:pPr>
            <w:r w:rsidRPr="00835B56">
              <w:rPr>
                <w:color w:val="000000"/>
              </w:rPr>
              <w:t>15.3</w:t>
            </w:r>
          </w:p>
        </w:tc>
      </w:tr>
      <w:tr w:rsidR="00294ABB" w14:paraId="2C26635C" w14:textId="77777777" w:rsidTr="00835B56">
        <w:trPr>
          <w:trHeight w:val="113"/>
          <w:jc w:val="center"/>
        </w:trPr>
        <w:tc>
          <w:tcPr>
            <w:tcW w:w="2226" w:type="dxa"/>
            <w:shd w:val="clear" w:color="auto" w:fill="auto"/>
            <w:vAlign w:val="bottom"/>
          </w:tcPr>
          <w:p w14:paraId="00000110" w14:textId="77777777" w:rsidR="00294ABB" w:rsidRPr="00835B56" w:rsidRDefault="00420BFB" w:rsidP="00835B56">
            <w:pPr>
              <w:spacing w:before="60" w:after="60"/>
              <w:rPr>
                <w:color w:val="000000"/>
              </w:rPr>
            </w:pPr>
            <w:r w:rsidRPr="00835B56">
              <w:rPr>
                <w:color w:val="000000"/>
              </w:rPr>
              <w:t>Transition economies</w:t>
            </w:r>
          </w:p>
        </w:tc>
        <w:tc>
          <w:tcPr>
            <w:tcW w:w="1279" w:type="dxa"/>
            <w:shd w:val="clear" w:color="auto" w:fill="auto"/>
            <w:vAlign w:val="bottom"/>
          </w:tcPr>
          <w:p w14:paraId="00000111" w14:textId="77777777" w:rsidR="00294ABB" w:rsidRPr="00835B56" w:rsidRDefault="00420BFB" w:rsidP="00835B56">
            <w:pPr>
              <w:spacing w:before="60" w:after="60"/>
              <w:jc w:val="center"/>
              <w:rPr>
                <w:color w:val="000000"/>
              </w:rPr>
            </w:pPr>
            <w:r w:rsidRPr="00835B56">
              <w:rPr>
                <w:color w:val="000000"/>
              </w:rPr>
              <w:t>12.0</w:t>
            </w:r>
          </w:p>
        </w:tc>
        <w:tc>
          <w:tcPr>
            <w:tcW w:w="1080" w:type="dxa"/>
            <w:shd w:val="clear" w:color="auto" w:fill="auto"/>
            <w:vAlign w:val="bottom"/>
          </w:tcPr>
          <w:p w14:paraId="00000112" w14:textId="77777777" w:rsidR="00294ABB" w:rsidRPr="00835B56" w:rsidRDefault="00420BFB" w:rsidP="00835B56">
            <w:pPr>
              <w:spacing w:before="60" w:after="60"/>
              <w:jc w:val="center"/>
              <w:rPr>
                <w:color w:val="000000"/>
              </w:rPr>
            </w:pPr>
            <w:r w:rsidRPr="00835B56">
              <w:rPr>
                <w:color w:val="000000"/>
              </w:rPr>
              <w:t>1.1</w:t>
            </w:r>
          </w:p>
        </w:tc>
        <w:tc>
          <w:tcPr>
            <w:tcW w:w="2160" w:type="dxa"/>
            <w:shd w:val="clear" w:color="auto" w:fill="auto"/>
            <w:vAlign w:val="bottom"/>
          </w:tcPr>
          <w:p w14:paraId="00000113" w14:textId="77777777" w:rsidR="00294ABB" w:rsidRPr="00835B56" w:rsidRDefault="00420BFB" w:rsidP="00835B56">
            <w:pPr>
              <w:spacing w:before="60" w:after="60"/>
              <w:jc w:val="center"/>
              <w:rPr>
                <w:color w:val="000000"/>
              </w:rPr>
            </w:pPr>
            <w:r w:rsidRPr="00835B56">
              <w:rPr>
                <w:color w:val="000000"/>
              </w:rPr>
              <w:t>8.0</w:t>
            </w:r>
          </w:p>
        </w:tc>
      </w:tr>
      <w:tr w:rsidR="00294ABB" w14:paraId="57BE837B" w14:textId="77777777" w:rsidTr="00835B56">
        <w:trPr>
          <w:trHeight w:val="113"/>
          <w:jc w:val="center"/>
        </w:trPr>
        <w:tc>
          <w:tcPr>
            <w:tcW w:w="2226" w:type="dxa"/>
            <w:shd w:val="clear" w:color="auto" w:fill="auto"/>
            <w:vAlign w:val="bottom"/>
          </w:tcPr>
          <w:p w14:paraId="00000114" w14:textId="77777777" w:rsidR="00294ABB" w:rsidRPr="00835B56" w:rsidRDefault="00420BFB" w:rsidP="00835B56">
            <w:pPr>
              <w:spacing w:before="60" w:after="60"/>
              <w:rPr>
                <w:b/>
                <w:color w:val="000000"/>
              </w:rPr>
            </w:pPr>
            <w:r w:rsidRPr="00835B56">
              <w:rPr>
                <w:b/>
                <w:color w:val="000000"/>
              </w:rPr>
              <w:t>By region</w:t>
            </w:r>
          </w:p>
        </w:tc>
        <w:tc>
          <w:tcPr>
            <w:tcW w:w="1279" w:type="dxa"/>
            <w:shd w:val="clear" w:color="auto" w:fill="auto"/>
            <w:vAlign w:val="bottom"/>
          </w:tcPr>
          <w:p w14:paraId="00000115" w14:textId="77777777" w:rsidR="00294ABB" w:rsidRPr="00835B56" w:rsidRDefault="00294ABB" w:rsidP="00835B56">
            <w:pPr>
              <w:spacing w:before="60" w:after="60"/>
              <w:jc w:val="center"/>
              <w:rPr>
                <w:color w:val="000000"/>
              </w:rPr>
            </w:pPr>
          </w:p>
        </w:tc>
        <w:tc>
          <w:tcPr>
            <w:tcW w:w="1080" w:type="dxa"/>
            <w:shd w:val="clear" w:color="auto" w:fill="auto"/>
            <w:vAlign w:val="bottom"/>
          </w:tcPr>
          <w:p w14:paraId="00000116" w14:textId="77777777" w:rsidR="00294ABB" w:rsidRPr="00835B56" w:rsidRDefault="00294ABB" w:rsidP="00835B56">
            <w:pPr>
              <w:spacing w:before="60" w:after="60"/>
              <w:jc w:val="center"/>
              <w:rPr>
                <w:color w:val="000000"/>
              </w:rPr>
            </w:pPr>
          </w:p>
        </w:tc>
        <w:tc>
          <w:tcPr>
            <w:tcW w:w="2160" w:type="dxa"/>
            <w:shd w:val="clear" w:color="auto" w:fill="auto"/>
            <w:vAlign w:val="bottom"/>
          </w:tcPr>
          <w:p w14:paraId="00000117" w14:textId="77777777" w:rsidR="00294ABB" w:rsidRPr="00835B56" w:rsidRDefault="00294ABB" w:rsidP="00835B56">
            <w:pPr>
              <w:spacing w:before="60" w:after="60"/>
              <w:jc w:val="center"/>
              <w:rPr>
                <w:color w:val="000000"/>
              </w:rPr>
            </w:pPr>
          </w:p>
        </w:tc>
      </w:tr>
      <w:tr w:rsidR="00294ABB" w14:paraId="42C6F554" w14:textId="77777777" w:rsidTr="00835B56">
        <w:trPr>
          <w:trHeight w:val="113"/>
          <w:jc w:val="center"/>
        </w:trPr>
        <w:tc>
          <w:tcPr>
            <w:tcW w:w="2226" w:type="dxa"/>
            <w:shd w:val="clear" w:color="auto" w:fill="auto"/>
            <w:vAlign w:val="bottom"/>
          </w:tcPr>
          <w:p w14:paraId="00000118" w14:textId="77777777" w:rsidR="00294ABB" w:rsidRPr="00835B56" w:rsidRDefault="00420BFB" w:rsidP="00835B56">
            <w:pPr>
              <w:spacing w:before="60" w:after="60"/>
              <w:rPr>
                <w:color w:val="000000"/>
              </w:rPr>
            </w:pPr>
            <w:r w:rsidRPr="00835B56">
              <w:rPr>
                <w:color w:val="000000"/>
              </w:rPr>
              <w:t>Africa</w:t>
            </w:r>
          </w:p>
        </w:tc>
        <w:tc>
          <w:tcPr>
            <w:tcW w:w="1279" w:type="dxa"/>
            <w:shd w:val="clear" w:color="auto" w:fill="auto"/>
            <w:vAlign w:val="bottom"/>
          </w:tcPr>
          <w:p w14:paraId="00000119" w14:textId="77777777" w:rsidR="00294ABB" w:rsidRPr="00835B56" w:rsidRDefault="00420BFB" w:rsidP="00835B56">
            <w:pPr>
              <w:spacing w:before="60" w:after="60"/>
              <w:jc w:val="center"/>
              <w:rPr>
                <w:color w:val="000000"/>
              </w:rPr>
            </w:pPr>
            <w:r w:rsidRPr="00835B56">
              <w:rPr>
                <w:color w:val="000000"/>
              </w:rPr>
              <w:t>2.0</w:t>
            </w:r>
          </w:p>
        </w:tc>
        <w:tc>
          <w:tcPr>
            <w:tcW w:w="1080" w:type="dxa"/>
            <w:shd w:val="clear" w:color="auto" w:fill="auto"/>
            <w:vAlign w:val="bottom"/>
          </w:tcPr>
          <w:p w14:paraId="0000011A" w14:textId="77777777" w:rsidR="00294ABB" w:rsidRPr="00835B56" w:rsidRDefault="00420BFB" w:rsidP="00835B56">
            <w:pPr>
              <w:spacing w:before="60" w:after="60"/>
              <w:jc w:val="center"/>
              <w:rPr>
                <w:color w:val="000000"/>
              </w:rPr>
            </w:pPr>
            <w:r w:rsidRPr="00835B56">
              <w:rPr>
                <w:color w:val="000000"/>
              </w:rPr>
              <w:t>0.2</w:t>
            </w:r>
          </w:p>
        </w:tc>
        <w:tc>
          <w:tcPr>
            <w:tcW w:w="2160" w:type="dxa"/>
            <w:shd w:val="clear" w:color="auto" w:fill="auto"/>
            <w:vAlign w:val="bottom"/>
          </w:tcPr>
          <w:p w14:paraId="0000011B" w14:textId="77777777" w:rsidR="00294ABB" w:rsidRPr="00835B56" w:rsidRDefault="00420BFB" w:rsidP="00835B56">
            <w:pPr>
              <w:spacing w:before="60" w:after="60"/>
              <w:jc w:val="center"/>
              <w:rPr>
                <w:color w:val="000000"/>
              </w:rPr>
            </w:pPr>
            <w:r w:rsidRPr="00835B56">
              <w:rPr>
                <w:color w:val="000000"/>
              </w:rPr>
              <w:t>8.0</w:t>
            </w:r>
          </w:p>
        </w:tc>
      </w:tr>
      <w:tr w:rsidR="00294ABB" w14:paraId="65BE63B7" w14:textId="77777777" w:rsidTr="00835B56">
        <w:trPr>
          <w:trHeight w:val="113"/>
          <w:jc w:val="center"/>
        </w:trPr>
        <w:tc>
          <w:tcPr>
            <w:tcW w:w="2226" w:type="dxa"/>
            <w:shd w:val="clear" w:color="auto" w:fill="auto"/>
            <w:vAlign w:val="bottom"/>
          </w:tcPr>
          <w:p w14:paraId="0000011C" w14:textId="77777777" w:rsidR="00294ABB" w:rsidRPr="00835B56" w:rsidRDefault="00420BFB" w:rsidP="00835B56">
            <w:pPr>
              <w:spacing w:before="60" w:after="60"/>
              <w:rPr>
                <w:color w:val="000000"/>
              </w:rPr>
            </w:pPr>
            <w:r w:rsidRPr="00835B56">
              <w:rPr>
                <w:color w:val="000000"/>
              </w:rPr>
              <w:t>North America</w:t>
            </w:r>
          </w:p>
        </w:tc>
        <w:tc>
          <w:tcPr>
            <w:tcW w:w="1279" w:type="dxa"/>
            <w:shd w:val="clear" w:color="auto" w:fill="auto"/>
            <w:vAlign w:val="bottom"/>
          </w:tcPr>
          <w:p w14:paraId="0000011D" w14:textId="77777777" w:rsidR="00294ABB" w:rsidRPr="00835B56" w:rsidRDefault="00420BFB" w:rsidP="00835B56">
            <w:pPr>
              <w:spacing w:before="60" w:after="60"/>
              <w:jc w:val="center"/>
              <w:rPr>
                <w:color w:val="000000"/>
              </w:rPr>
            </w:pPr>
            <w:r w:rsidRPr="00835B56">
              <w:rPr>
                <w:color w:val="000000"/>
              </w:rPr>
              <w:t>235.2</w:t>
            </w:r>
          </w:p>
        </w:tc>
        <w:tc>
          <w:tcPr>
            <w:tcW w:w="1080" w:type="dxa"/>
            <w:shd w:val="clear" w:color="auto" w:fill="auto"/>
            <w:vAlign w:val="bottom"/>
          </w:tcPr>
          <w:p w14:paraId="0000011E" w14:textId="77777777" w:rsidR="00294ABB" w:rsidRPr="00835B56" w:rsidRDefault="00420BFB" w:rsidP="00835B56">
            <w:pPr>
              <w:spacing w:before="60" w:after="60"/>
              <w:jc w:val="center"/>
              <w:rPr>
                <w:color w:val="000000"/>
              </w:rPr>
            </w:pPr>
            <w:r w:rsidRPr="00835B56">
              <w:rPr>
                <w:color w:val="000000"/>
              </w:rPr>
              <w:t>21.8</w:t>
            </w:r>
          </w:p>
        </w:tc>
        <w:tc>
          <w:tcPr>
            <w:tcW w:w="2160" w:type="dxa"/>
            <w:shd w:val="clear" w:color="auto" w:fill="auto"/>
            <w:vAlign w:val="bottom"/>
          </w:tcPr>
          <w:p w14:paraId="0000011F" w14:textId="77777777" w:rsidR="00294ABB" w:rsidRPr="00835B56" w:rsidRDefault="00420BFB" w:rsidP="00835B56">
            <w:pPr>
              <w:spacing w:before="60" w:after="60"/>
              <w:jc w:val="center"/>
              <w:rPr>
                <w:color w:val="000000"/>
              </w:rPr>
            </w:pPr>
            <w:r w:rsidRPr="00835B56">
              <w:rPr>
                <w:color w:val="000000"/>
              </w:rPr>
              <w:t>5.7</w:t>
            </w:r>
          </w:p>
        </w:tc>
      </w:tr>
      <w:tr w:rsidR="00294ABB" w14:paraId="54045944" w14:textId="77777777" w:rsidTr="00835B56">
        <w:trPr>
          <w:trHeight w:val="113"/>
          <w:jc w:val="center"/>
        </w:trPr>
        <w:tc>
          <w:tcPr>
            <w:tcW w:w="2226" w:type="dxa"/>
            <w:shd w:val="clear" w:color="auto" w:fill="auto"/>
            <w:vAlign w:val="bottom"/>
          </w:tcPr>
          <w:p w14:paraId="00000120" w14:textId="77777777" w:rsidR="00294ABB" w:rsidRPr="00835B56" w:rsidRDefault="00420BFB" w:rsidP="00835B56">
            <w:pPr>
              <w:spacing w:before="60" w:after="60"/>
              <w:rPr>
                <w:color w:val="000000"/>
              </w:rPr>
            </w:pPr>
            <w:r w:rsidRPr="00835B56">
              <w:rPr>
                <w:color w:val="000000"/>
              </w:rPr>
              <w:t>LAC</w:t>
            </w:r>
          </w:p>
        </w:tc>
        <w:tc>
          <w:tcPr>
            <w:tcW w:w="1279" w:type="dxa"/>
            <w:shd w:val="clear" w:color="auto" w:fill="auto"/>
            <w:vAlign w:val="bottom"/>
          </w:tcPr>
          <w:p w14:paraId="00000121" w14:textId="77777777" w:rsidR="00294ABB" w:rsidRPr="00835B56" w:rsidRDefault="00420BFB" w:rsidP="00835B56">
            <w:pPr>
              <w:spacing w:before="60" w:after="60"/>
              <w:jc w:val="center"/>
              <w:rPr>
                <w:color w:val="000000"/>
              </w:rPr>
            </w:pPr>
            <w:r w:rsidRPr="00835B56">
              <w:rPr>
                <w:color w:val="000000"/>
              </w:rPr>
              <w:t>11.0</w:t>
            </w:r>
          </w:p>
        </w:tc>
        <w:tc>
          <w:tcPr>
            <w:tcW w:w="1080" w:type="dxa"/>
            <w:shd w:val="clear" w:color="auto" w:fill="auto"/>
            <w:vAlign w:val="bottom"/>
          </w:tcPr>
          <w:p w14:paraId="00000122" w14:textId="77777777" w:rsidR="00294ABB" w:rsidRPr="00835B56" w:rsidRDefault="00420BFB" w:rsidP="00835B56">
            <w:pPr>
              <w:spacing w:before="60" w:after="60"/>
              <w:jc w:val="center"/>
              <w:rPr>
                <w:color w:val="000000"/>
              </w:rPr>
            </w:pPr>
            <w:r w:rsidRPr="00835B56">
              <w:rPr>
                <w:color w:val="000000"/>
              </w:rPr>
              <w:t>1.0</w:t>
            </w:r>
          </w:p>
        </w:tc>
        <w:tc>
          <w:tcPr>
            <w:tcW w:w="2160" w:type="dxa"/>
            <w:shd w:val="clear" w:color="auto" w:fill="auto"/>
            <w:vAlign w:val="bottom"/>
          </w:tcPr>
          <w:p w14:paraId="00000123" w14:textId="77777777" w:rsidR="00294ABB" w:rsidRPr="00835B56" w:rsidRDefault="00420BFB" w:rsidP="00835B56">
            <w:pPr>
              <w:spacing w:before="60" w:after="60"/>
              <w:jc w:val="center"/>
              <w:rPr>
                <w:color w:val="000000"/>
              </w:rPr>
            </w:pPr>
            <w:r w:rsidRPr="00835B56">
              <w:rPr>
                <w:color w:val="000000"/>
              </w:rPr>
              <w:t>5.1</w:t>
            </w:r>
          </w:p>
        </w:tc>
      </w:tr>
      <w:tr w:rsidR="00294ABB" w14:paraId="45E17439" w14:textId="77777777" w:rsidTr="00835B56">
        <w:trPr>
          <w:trHeight w:val="113"/>
          <w:jc w:val="center"/>
        </w:trPr>
        <w:tc>
          <w:tcPr>
            <w:tcW w:w="2226" w:type="dxa"/>
            <w:shd w:val="clear" w:color="auto" w:fill="auto"/>
            <w:vAlign w:val="bottom"/>
          </w:tcPr>
          <w:p w14:paraId="00000124" w14:textId="77777777" w:rsidR="00294ABB" w:rsidRPr="00835B56" w:rsidRDefault="00420BFB" w:rsidP="00835B56">
            <w:pPr>
              <w:spacing w:before="60" w:after="60"/>
              <w:rPr>
                <w:color w:val="000000"/>
              </w:rPr>
            </w:pPr>
            <w:r w:rsidRPr="00835B56">
              <w:rPr>
                <w:color w:val="000000"/>
              </w:rPr>
              <w:t>Asia</w:t>
            </w:r>
          </w:p>
        </w:tc>
        <w:tc>
          <w:tcPr>
            <w:tcW w:w="1279" w:type="dxa"/>
            <w:shd w:val="clear" w:color="auto" w:fill="auto"/>
            <w:vAlign w:val="bottom"/>
          </w:tcPr>
          <w:p w14:paraId="00000125" w14:textId="77777777" w:rsidR="00294ABB" w:rsidRPr="00835B56" w:rsidRDefault="00420BFB" w:rsidP="00835B56">
            <w:pPr>
              <w:spacing w:before="60" w:after="60"/>
              <w:jc w:val="center"/>
              <w:rPr>
                <w:color w:val="000000"/>
              </w:rPr>
            </w:pPr>
            <w:r w:rsidRPr="00835B56">
              <w:rPr>
                <w:color w:val="000000"/>
              </w:rPr>
              <w:t>263.2</w:t>
            </w:r>
          </w:p>
        </w:tc>
        <w:tc>
          <w:tcPr>
            <w:tcW w:w="1080" w:type="dxa"/>
            <w:shd w:val="clear" w:color="auto" w:fill="auto"/>
            <w:vAlign w:val="bottom"/>
          </w:tcPr>
          <w:p w14:paraId="00000126" w14:textId="77777777" w:rsidR="00294ABB" w:rsidRPr="00835B56" w:rsidRDefault="00420BFB" w:rsidP="00835B56">
            <w:pPr>
              <w:spacing w:before="60" w:after="60"/>
              <w:jc w:val="center"/>
              <w:rPr>
                <w:color w:val="000000"/>
              </w:rPr>
            </w:pPr>
            <w:r w:rsidRPr="00835B56">
              <w:rPr>
                <w:color w:val="000000"/>
              </w:rPr>
              <w:t>24.4</w:t>
            </w:r>
          </w:p>
        </w:tc>
        <w:tc>
          <w:tcPr>
            <w:tcW w:w="2160" w:type="dxa"/>
            <w:shd w:val="clear" w:color="auto" w:fill="auto"/>
            <w:vAlign w:val="bottom"/>
          </w:tcPr>
          <w:p w14:paraId="00000127" w14:textId="77777777" w:rsidR="00294ABB" w:rsidRPr="00835B56" w:rsidRDefault="00420BFB" w:rsidP="00835B56">
            <w:pPr>
              <w:spacing w:before="60" w:after="60"/>
              <w:jc w:val="center"/>
              <w:rPr>
                <w:color w:val="000000"/>
              </w:rPr>
            </w:pPr>
            <w:r w:rsidRPr="00835B56">
              <w:rPr>
                <w:color w:val="000000"/>
              </w:rPr>
              <w:t>14.1</w:t>
            </w:r>
          </w:p>
        </w:tc>
      </w:tr>
      <w:tr w:rsidR="00294ABB" w14:paraId="75348579" w14:textId="77777777" w:rsidTr="00835B56">
        <w:trPr>
          <w:trHeight w:val="113"/>
          <w:jc w:val="center"/>
        </w:trPr>
        <w:tc>
          <w:tcPr>
            <w:tcW w:w="2226" w:type="dxa"/>
            <w:shd w:val="clear" w:color="auto" w:fill="auto"/>
            <w:vAlign w:val="bottom"/>
          </w:tcPr>
          <w:p w14:paraId="00000128" w14:textId="77777777" w:rsidR="00294ABB" w:rsidRPr="00835B56" w:rsidRDefault="00420BFB" w:rsidP="00835B56">
            <w:pPr>
              <w:spacing w:before="60" w:after="60"/>
              <w:rPr>
                <w:color w:val="000000"/>
              </w:rPr>
            </w:pPr>
            <w:r w:rsidRPr="00835B56">
              <w:rPr>
                <w:color w:val="000000"/>
              </w:rPr>
              <w:t>Europe</w:t>
            </w:r>
          </w:p>
        </w:tc>
        <w:tc>
          <w:tcPr>
            <w:tcW w:w="1279" w:type="dxa"/>
            <w:shd w:val="clear" w:color="auto" w:fill="auto"/>
            <w:vAlign w:val="bottom"/>
          </w:tcPr>
          <w:p w14:paraId="00000129" w14:textId="77777777" w:rsidR="00294ABB" w:rsidRPr="00835B56" w:rsidRDefault="00420BFB" w:rsidP="00835B56">
            <w:pPr>
              <w:spacing w:before="60" w:after="60"/>
              <w:jc w:val="center"/>
              <w:rPr>
                <w:color w:val="000000"/>
              </w:rPr>
            </w:pPr>
            <w:r w:rsidRPr="00835B56">
              <w:rPr>
                <w:color w:val="000000"/>
              </w:rPr>
              <w:t>563.5</w:t>
            </w:r>
          </w:p>
        </w:tc>
        <w:tc>
          <w:tcPr>
            <w:tcW w:w="1080" w:type="dxa"/>
            <w:shd w:val="clear" w:color="auto" w:fill="auto"/>
            <w:vAlign w:val="bottom"/>
          </w:tcPr>
          <w:p w14:paraId="0000012A" w14:textId="77777777" w:rsidR="00294ABB" w:rsidRPr="00835B56" w:rsidRDefault="00420BFB" w:rsidP="00835B56">
            <w:pPr>
              <w:spacing w:before="60" w:after="60"/>
              <w:jc w:val="center"/>
              <w:rPr>
                <w:color w:val="000000"/>
              </w:rPr>
            </w:pPr>
            <w:r w:rsidRPr="00835B56">
              <w:rPr>
                <w:color w:val="000000"/>
              </w:rPr>
              <w:t>52.1</w:t>
            </w:r>
          </w:p>
        </w:tc>
        <w:tc>
          <w:tcPr>
            <w:tcW w:w="2160" w:type="dxa"/>
            <w:shd w:val="clear" w:color="auto" w:fill="auto"/>
            <w:vAlign w:val="bottom"/>
          </w:tcPr>
          <w:p w14:paraId="0000012B" w14:textId="77777777" w:rsidR="00294ABB" w:rsidRPr="00835B56" w:rsidRDefault="00420BFB" w:rsidP="00835B56">
            <w:pPr>
              <w:spacing w:before="60" w:after="60"/>
              <w:jc w:val="center"/>
              <w:rPr>
                <w:color w:val="000000"/>
              </w:rPr>
            </w:pPr>
            <w:r w:rsidRPr="00835B56">
              <w:rPr>
                <w:color w:val="000000"/>
              </w:rPr>
              <w:t>9.3</w:t>
            </w:r>
          </w:p>
        </w:tc>
      </w:tr>
      <w:tr w:rsidR="00294ABB" w14:paraId="7AF159D5" w14:textId="77777777" w:rsidTr="00835B56">
        <w:trPr>
          <w:trHeight w:val="113"/>
          <w:jc w:val="center"/>
        </w:trPr>
        <w:tc>
          <w:tcPr>
            <w:tcW w:w="2226" w:type="dxa"/>
            <w:shd w:val="clear" w:color="auto" w:fill="auto"/>
            <w:vAlign w:val="bottom"/>
          </w:tcPr>
          <w:p w14:paraId="0000012C" w14:textId="77777777" w:rsidR="00294ABB" w:rsidRPr="00835B56" w:rsidRDefault="00420BFB" w:rsidP="00835B56">
            <w:pPr>
              <w:spacing w:before="60" w:after="60"/>
              <w:rPr>
                <w:color w:val="000000"/>
              </w:rPr>
            </w:pPr>
            <w:r w:rsidRPr="00835B56">
              <w:rPr>
                <w:color w:val="000000"/>
              </w:rPr>
              <w:t>Pacific</w:t>
            </w:r>
          </w:p>
        </w:tc>
        <w:tc>
          <w:tcPr>
            <w:tcW w:w="1279" w:type="dxa"/>
            <w:shd w:val="clear" w:color="auto" w:fill="auto"/>
            <w:vAlign w:val="bottom"/>
          </w:tcPr>
          <w:p w14:paraId="0000012D" w14:textId="77777777" w:rsidR="00294ABB" w:rsidRPr="00835B56" w:rsidRDefault="00420BFB" w:rsidP="00835B56">
            <w:pPr>
              <w:spacing w:before="60" w:after="60"/>
              <w:jc w:val="center"/>
              <w:rPr>
                <w:color w:val="000000"/>
              </w:rPr>
            </w:pPr>
            <w:r w:rsidRPr="00835B56">
              <w:rPr>
                <w:color w:val="000000"/>
              </w:rPr>
              <w:t>5.0</w:t>
            </w:r>
          </w:p>
        </w:tc>
        <w:tc>
          <w:tcPr>
            <w:tcW w:w="1080" w:type="dxa"/>
            <w:shd w:val="clear" w:color="auto" w:fill="auto"/>
            <w:vAlign w:val="bottom"/>
          </w:tcPr>
          <w:p w14:paraId="0000012E" w14:textId="77777777" w:rsidR="00294ABB" w:rsidRPr="00835B56" w:rsidRDefault="00420BFB" w:rsidP="00835B56">
            <w:pPr>
              <w:spacing w:before="60" w:after="60"/>
              <w:jc w:val="center"/>
              <w:rPr>
                <w:color w:val="000000"/>
              </w:rPr>
            </w:pPr>
            <w:r w:rsidRPr="00835B56">
              <w:rPr>
                <w:color w:val="000000"/>
              </w:rPr>
              <w:t>0.5</w:t>
            </w:r>
          </w:p>
        </w:tc>
        <w:tc>
          <w:tcPr>
            <w:tcW w:w="2160" w:type="dxa"/>
            <w:shd w:val="clear" w:color="auto" w:fill="auto"/>
            <w:vAlign w:val="bottom"/>
          </w:tcPr>
          <w:p w14:paraId="0000012F" w14:textId="77777777" w:rsidR="00294ABB" w:rsidRPr="00835B56" w:rsidRDefault="00420BFB" w:rsidP="00835B56">
            <w:pPr>
              <w:spacing w:before="60" w:after="60"/>
              <w:jc w:val="center"/>
              <w:rPr>
                <w:color w:val="000000"/>
              </w:rPr>
            </w:pPr>
            <w:r w:rsidRPr="00835B56">
              <w:rPr>
                <w:color w:val="000000"/>
              </w:rPr>
              <w:t>5.8</w:t>
            </w:r>
          </w:p>
        </w:tc>
      </w:tr>
    </w:tbl>
    <w:p w14:paraId="00000130" w14:textId="5FA2A7B8" w:rsidR="00294ABB" w:rsidRPr="00835B56" w:rsidRDefault="00420BFB" w:rsidP="00835B56">
      <w:pPr>
        <w:spacing w:before="120" w:line="259" w:lineRule="auto"/>
        <w:ind w:left="720"/>
        <w:rPr>
          <w:iCs/>
        </w:rPr>
      </w:pPr>
      <w:r w:rsidRPr="00835B56">
        <w:rPr>
          <w:iCs/>
        </w:rPr>
        <w:t>Source: UNCTAD, forthcoming, based on preliminary UNCTAD export estimates</w:t>
      </w:r>
      <w:r w:rsidRPr="00835B56">
        <w:rPr>
          <w:iCs/>
          <w:vertAlign w:val="superscript"/>
        </w:rPr>
        <w:footnoteReference w:id="2"/>
      </w:r>
      <w:r w:rsidRPr="00835B56">
        <w:rPr>
          <w:iCs/>
        </w:rPr>
        <w:t xml:space="preserve"> </w:t>
      </w:r>
    </w:p>
    <w:p w14:paraId="00000131" w14:textId="77777777" w:rsidR="00294ABB" w:rsidRDefault="00420BFB" w:rsidP="00835B56">
      <w:pPr>
        <w:spacing w:line="259" w:lineRule="auto"/>
        <w:rPr>
          <w:sz w:val="22"/>
          <w:szCs w:val="22"/>
        </w:rPr>
      </w:pPr>
      <w:r>
        <w:rPr>
          <w:sz w:val="22"/>
          <w:szCs w:val="22"/>
        </w:rPr>
        <w:t>Dematerialisation of much cultural trade also creates challenges for trade policy. Fazio (2021) explains that, in the case of cultural goods and services, the existence and protection of IP rights is crucial to being able to earn economic rents from cultural trade. Footer and Graber (2000) also point out the different levels of IP protection across countries which may complicate trade. Given the dematerialisation of many creative goods, enforceable systems of copyright, performers’ rights and royalty fees, are essential to the monetising of CCI outputs.</w:t>
      </w:r>
    </w:p>
    <w:p w14:paraId="00000132" w14:textId="7E09331A" w:rsidR="00294ABB" w:rsidRDefault="00420BFB" w:rsidP="00835B56">
      <w:pPr>
        <w:spacing w:line="259" w:lineRule="auto"/>
        <w:rPr>
          <w:sz w:val="22"/>
          <w:szCs w:val="22"/>
        </w:rPr>
      </w:pPr>
      <w:r>
        <w:rPr>
          <w:sz w:val="22"/>
          <w:szCs w:val="22"/>
        </w:rPr>
        <w:t>Yet the negotiation of IP clauses in trade agreements is time</w:t>
      </w:r>
      <w:r w:rsidR="00181B39">
        <w:rPr>
          <w:sz w:val="22"/>
          <w:szCs w:val="22"/>
        </w:rPr>
        <w:t>-</w:t>
      </w:r>
      <w:r>
        <w:rPr>
          <w:sz w:val="22"/>
          <w:szCs w:val="22"/>
        </w:rPr>
        <w:t>consuming and costly. Campi and Duenas (2018) find that trade agreements with an IP clause do delay implementation, but are effective in increasing trade flows from developing to developed countries. Trade agreements that omit an IP clause are implemented more quickly, but tend to favour developed country partners more. Other authors (Hervas-Drane and Noam, 2017) argue that traditional instruments such as quotas and copyright, will not be effective or easily enforceable when it comes to online cultural content.</w:t>
      </w:r>
    </w:p>
    <w:p w14:paraId="00000133" w14:textId="41FA76EA" w:rsidR="00294ABB" w:rsidRDefault="00420BFB" w:rsidP="00835B56">
      <w:pPr>
        <w:spacing w:line="259" w:lineRule="auto"/>
        <w:rPr>
          <w:sz w:val="22"/>
          <w:szCs w:val="22"/>
        </w:rPr>
      </w:pPr>
      <w:r>
        <w:rPr>
          <w:sz w:val="22"/>
          <w:szCs w:val="22"/>
        </w:rPr>
        <w:t>Hanania (2019) gives an example of cases where the EU has negotiated for guaranteed open exchange of digital products, and access to the digital markets of developing countries in Central America and Morocco. Even when exceptions for cultural goods are in place, some agreements specifically exclude customs duties related to electronic products, which significantly affects the CCIs.</w:t>
      </w:r>
      <w:r w:rsidR="001B10E6">
        <w:rPr>
          <w:sz w:val="22"/>
          <w:szCs w:val="22"/>
        </w:rPr>
        <w:t xml:space="preserve"> </w:t>
      </w:r>
      <w:r>
        <w:rPr>
          <w:sz w:val="22"/>
          <w:szCs w:val="22"/>
        </w:rPr>
        <w:t xml:space="preserve">The customs duty issue has been an ongoing debate at the WTO, with countries </w:t>
      </w:r>
      <w:r w:rsidR="00181B39">
        <w:rPr>
          <w:sz w:val="22"/>
          <w:szCs w:val="22"/>
        </w:rPr>
        <w:t xml:space="preserve">such as </w:t>
      </w:r>
      <w:r>
        <w:rPr>
          <w:sz w:val="22"/>
          <w:szCs w:val="22"/>
        </w:rPr>
        <w:t xml:space="preserve">India and South Africa arguing that the long-standing ban on </w:t>
      </w:r>
      <w:r>
        <w:rPr>
          <w:sz w:val="22"/>
          <w:szCs w:val="22"/>
        </w:rPr>
        <w:lastRenderedPageBreak/>
        <w:t>duties on electronic trade should be reviewed in the light of dematerialisation and the growing importance of e-commerce.</w:t>
      </w:r>
    </w:p>
    <w:p w14:paraId="00000135" w14:textId="77777777" w:rsidR="00294ABB" w:rsidRDefault="00420BFB">
      <w:pPr>
        <w:pStyle w:val="Heading1"/>
      </w:pPr>
      <w:bookmarkStart w:id="20" w:name="_Toc92623037"/>
      <w:r>
        <w:t>Data and Research Methods</w:t>
      </w:r>
      <w:bookmarkEnd w:id="20"/>
      <w:r>
        <w:t xml:space="preserve"> </w:t>
      </w:r>
    </w:p>
    <w:p w14:paraId="00000136" w14:textId="77777777" w:rsidR="00294ABB" w:rsidRDefault="00420BFB" w:rsidP="00835B56">
      <w:pPr>
        <w:pStyle w:val="Heading2"/>
        <w:ind w:left="578" w:hanging="578"/>
      </w:pPr>
      <w:bookmarkStart w:id="21" w:name="_Toc92623038"/>
      <w:r>
        <w:t>Cultural goods and services trade: categories and data sources</w:t>
      </w:r>
      <w:bookmarkEnd w:id="21"/>
    </w:p>
    <w:p w14:paraId="00000137" w14:textId="58BA3708" w:rsidR="00294ABB" w:rsidRDefault="00420BFB" w:rsidP="00835B56">
      <w:pPr>
        <w:spacing w:line="259" w:lineRule="auto"/>
        <w:rPr>
          <w:sz w:val="22"/>
          <w:szCs w:val="22"/>
        </w:rPr>
      </w:pPr>
      <w:r>
        <w:rPr>
          <w:sz w:val="22"/>
          <w:szCs w:val="22"/>
        </w:rPr>
        <w:t>This report makes use of the trade classification system for cultural goods and services set out in the UNESCO Framework for Cultural Statistics (</w:t>
      </w:r>
      <w:r w:rsidR="00181B39">
        <w:rPr>
          <w:sz w:val="22"/>
          <w:szCs w:val="22"/>
        </w:rPr>
        <w:t>UNESCO</w:t>
      </w:r>
      <w:r>
        <w:rPr>
          <w:sz w:val="22"/>
          <w:szCs w:val="22"/>
        </w:rPr>
        <w:t>, 2009).</w:t>
      </w:r>
      <w:r w:rsidR="001B10E6">
        <w:rPr>
          <w:sz w:val="22"/>
          <w:szCs w:val="22"/>
        </w:rPr>
        <w:t xml:space="preserve"> </w:t>
      </w:r>
      <w:r>
        <w:rPr>
          <w:sz w:val="22"/>
          <w:szCs w:val="22"/>
        </w:rPr>
        <w:t>In the case of cultural goods, the UNESCO FCS identifies six cultural domains within which cultural products are categorised: Cultural and Natural Heritage, Performance and Celebration, Visual Arts and Crafts, Books and Press, Audio-visual and Interactive Media, and Design and Creative Services.</w:t>
      </w:r>
      <w:r w:rsidR="001B10E6">
        <w:rPr>
          <w:sz w:val="22"/>
          <w:szCs w:val="22"/>
        </w:rPr>
        <w:t xml:space="preserve"> </w:t>
      </w:r>
      <w:r>
        <w:rPr>
          <w:sz w:val="22"/>
          <w:szCs w:val="22"/>
        </w:rPr>
        <w:t>For cultural goods trade specifically, 85 six-digit product codes of the 2007 Harmonised System (HS) were identified as part of cultural trade, grouped across the six domains (Appendix 1). 49 of these 2007 HS product categories fall into the Visual Arts and Crafts domain, 19 into Performance and Celebration, 11 into the Books and Press domain, three in Audio-visual and Interactive Media, two in Cultural and Natural Heritage, and just one under Design and Creative Services.</w:t>
      </w:r>
      <w:r w:rsidR="001B10E6">
        <w:rPr>
          <w:sz w:val="22"/>
          <w:szCs w:val="22"/>
        </w:rPr>
        <w:t xml:space="preserve"> </w:t>
      </w:r>
      <w:r>
        <w:rPr>
          <w:sz w:val="22"/>
          <w:szCs w:val="22"/>
        </w:rPr>
        <w:t>Many activities in the Audio-visual and Interactive Media field and Design and Creative Services are increasingly captured in the services trade data, as explained below.</w:t>
      </w:r>
      <w:r w:rsidR="001B10E6">
        <w:rPr>
          <w:sz w:val="22"/>
          <w:szCs w:val="22"/>
        </w:rPr>
        <w:t xml:space="preserve"> </w:t>
      </w:r>
      <w:r>
        <w:rPr>
          <w:sz w:val="22"/>
          <w:szCs w:val="22"/>
        </w:rPr>
        <w:t>With dematerialisation affecting numerous cultural products, notably in music and film, but also certain categories of books and press, these domains tend to account for smaller proportions of cultural goods trade in more recent periods.</w:t>
      </w:r>
    </w:p>
    <w:p w14:paraId="00000138" w14:textId="20827486" w:rsidR="00294ABB" w:rsidRDefault="00420BFB" w:rsidP="00835B56">
      <w:pPr>
        <w:spacing w:line="259" w:lineRule="auto"/>
        <w:rPr>
          <w:sz w:val="22"/>
          <w:szCs w:val="22"/>
        </w:rPr>
      </w:pPr>
      <w:r>
        <w:rPr>
          <w:sz w:val="22"/>
          <w:szCs w:val="22"/>
        </w:rPr>
        <w:t>However, there have also been changes to the 2007 HS six-digit product codes in subsequent HS versions that have affected the original FCS cultural goods trade classification.</w:t>
      </w:r>
      <w:r w:rsidR="001B10E6">
        <w:rPr>
          <w:sz w:val="22"/>
          <w:szCs w:val="22"/>
        </w:rPr>
        <w:t xml:space="preserve"> </w:t>
      </w:r>
      <w:r>
        <w:rPr>
          <w:sz w:val="22"/>
          <w:szCs w:val="22"/>
        </w:rPr>
        <w:t>Firstly, in the HS 2012 revision, the six-digit code for “Video games of a kind used with a television receiver” in the Audio-visual and Interactive Media domain (950410) was merged with a broader category, “Games; video game consoles and machines, other than those of subheading 9504.30” (950450).</w:t>
      </w:r>
      <w:r w:rsidR="001B10E6">
        <w:rPr>
          <w:sz w:val="22"/>
          <w:szCs w:val="22"/>
        </w:rPr>
        <w:t xml:space="preserve"> </w:t>
      </w:r>
      <w:r>
        <w:rPr>
          <w:sz w:val="22"/>
          <w:szCs w:val="22"/>
        </w:rPr>
        <w:t>It is problematic to count the broader category in its entirety as cultural goods trade since it is not recognised as such in the UNESCO FCS.</w:t>
      </w:r>
      <w:r>
        <w:rPr>
          <w:sz w:val="22"/>
          <w:szCs w:val="22"/>
          <w:vertAlign w:val="superscript"/>
        </w:rPr>
        <w:footnoteReference w:id="3"/>
      </w:r>
      <w:r w:rsidR="001B10E6">
        <w:rPr>
          <w:sz w:val="22"/>
          <w:szCs w:val="22"/>
        </w:rPr>
        <w:t xml:space="preserve"> </w:t>
      </w:r>
      <w:r>
        <w:rPr>
          <w:sz w:val="22"/>
          <w:szCs w:val="22"/>
        </w:rPr>
        <w:t>In the present report, the impact of the reallocation of the video games six-digit code out of cultural goods trade is indicated where relevant in the discussion of the results in Section 4.</w:t>
      </w:r>
      <w:r w:rsidR="001B10E6">
        <w:rPr>
          <w:sz w:val="22"/>
          <w:szCs w:val="22"/>
        </w:rPr>
        <w:t xml:space="preserve"> </w:t>
      </w:r>
      <w:r>
        <w:rPr>
          <w:sz w:val="22"/>
          <w:szCs w:val="22"/>
        </w:rPr>
        <w:t>Secondly, the two six-digit codes for Photographic plates and film (370510 and 370590) in the Visual Arts and Crafts domain were combined into a single category (HS code 370500) in the 2017 version of the HS.</w:t>
      </w:r>
      <w:r w:rsidR="001B10E6">
        <w:rPr>
          <w:sz w:val="22"/>
          <w:szCs w:val="22"/>
        </w:rPr>
        <w:t xml:space="preserve"> </w:t>
      </w:r>
      <w:r>
        <w:rPr>
          <w:sz w:val="22"/>
          <w:szCs w:val="22"/>
        </w:rPr>
        <w:t xml:space="preserve">This does not have any impact on the results </w:t>
      </w:r>
      <w:r w:rsidRPr="00835B56">
        <w:rPr>
          <w:i/>
          <w:iCs/>
          <w:sz w:val="22"/>
          <w:szCs w:val="22"/>
        </w:rPr>
        <w:t>per se</w:t>
      </w:r>
      <w:r>
        <w:rPr>
          <w:sz w:val="22"/>
          <w:szCs w:val="22"/>
        </w:rPr>
        <w:t>, but the two adjustments together do mean that the cultural goods trade dataset in more recent years contains 83 six-digit HS codes rather than the original 85 set out in the UNESCO (2009) FCS.</w:t>
      </w:r>
    </w:p>
    <w:p w14:paraId="00000139" w14:textId="0093C99D" w:rsidR="00294ABB" w:rsidRDefault="00420BFB" w:rsidP="00835B56">
      <w:pPr>
        <w:spacing w:line="259" w:lineRule="auto"/>
        <w:rPr>
          <w:sz w:val="22"/>
          <w:szCs w:val="22"/>
        </w:rPr>
      </w:pPr>
      <w:r>
        <w:rPr>
          <w:sz w:val="22"/>
          <w:szCs w:val="22"/>
        </w:rPr>
        <w:t>As noted in previous SACO trade reports, traditional trade classification systems have a number of limitations when it comes to measuring cultural trade.</w:t>
      </w:r>
      <w:r w:rsidR="001B10E6">
        <w:rPr>
          <w:sz w:val="22"/>
          <w:szCs w:val="22"/>
        </w:rPr>
        <w:t xml:space="preserve"> </w:t>
      </w:r>
      <w:r>
        <w:rPr>
          <w:sz w:val="22"/>
          <w:szCs w:val="22"/>
        </w:rPr>
        <w:t>At one level, there are different views about what to include as part of the creative goods sector with, for example, different sets of products included in the CCIs by UNESCO, UNCTAD and the International Trade Centre.</w:t>
      </w:r>
      <w:r w:rsidR="001B10E6">
        <w:rPr>
          <w:sz w:val="22"/>
          <w:szCs w:val="22"/>
        </w:rPr>
        <w:t xml:space="preserve"> </w:t>
      </w:r>
      <w:r>
        <w:rPr>
          <w:sz w:val="22"/>
          <w:szCs w:val="22"/>
        </w:rPr>
        <w:t>At another level, trade classification systems based on the product’s physical characteristics are not necessarily useful for capturing cultural value or allowing for distinctions such as that between artisanal- and industry-based craft (Cattaneo and Snowball, 2020; UNESCO, 2009).</w:t>
      </w:r>
      <w:r w:rsidR="001B10E6">
        <w:rPr>
          <w:sz w:val="22"/>
          <w:szCs w:val="22"/>
        </w:rPr>
        <w:t xml:space="preserve"> </w:t>
      </w:r>
      <w:r>
        <w:rPr>
          <w:sz w:val="22"/>
          <w:szCs w:val="22"/>
        </w:rPr>
        <w:t>Growing digitisation has also meant that services trade data has become increasingly important in identifying cultural trade.</w:t>
      </w:r>
      <w:r w:rsidR="001B10E6">
        <w:rPr>
          <w:sz w:val="22"/>
          <w:szCs w:val="22"/>
        </w:rPr>
        <w:t xml:space="preserve"> </w:t>
      </w:r>
      <w:r>
        <w:rPr>
          <w:sz w:val="22"/>
          <w:szCs w:val="22"/>
        </w:rPr>
        <w:t xml:space="preserve">However, services trade data collection is </w:t>
      </w:r>
      <w:r>
        <w:rPr>
          <w:sz w:val="22"/>
          <w:szCs w:val="22"/>
        </w:rPr>
        <w:lastRenderedPageBreak/>
        <w:t>complex and uneven across countries, with a lack of availability of both disaggregated and bilateral trade data for both low- and middle-income countries.</w:t>
      </w:r>
    </w:p>
    <w:p w14:paraId="0000013A" w14:textId="567EED7D" w:rsidR="00294ABB" w:rsidRDefault="00420BFB" w:rsidP="00835B56">
      <w:pPr>
        <w:spacing w:line="259" w:lineRule="auto"/>
        <w:rPr>
          <w:sz w:val="22"/>
          <w:szCs w:val="22"/>
        </w:rPr>
      </w:pPr>
      <w:r>
        <w:rPr>
          <w:sz w:val="22"/>
          <w:szCs w:val="22"/>
        </w:rPr>
        <w:t>The UNESCO FCS identifies a number of categories of the Extended Balance of Payments Services Classification System (EBOPS) as relevant for cultural services trade.</w:t>
      </w:r>
      <w:r w:rsidR="001B10E6">
        <w:rPr>
          <w:sz w:val="22"/>
          <w:szCs w:val="22"/>
        </w:rPr>
        <w:t xml:space="preserve"> </w:t>
      </w:r>
      <w:r>
        <w:rPr>
          <w:sz w:val="22"/>
          <w:szCs w:val="22"/>
        </w:rPr>
        <w:t>These categories are the same in both the EBOPS 2002 and EBOPS 2010 versions.</w:t>
      </w:r>
      <w:r>
        <w:rPr>
          <w:sz w:val="22"/>
          <w:szCs w:val="22"/>
          <w:vertAlign w:val="superscript"/>
        </w:rPr>
        <w:footnoteReference w:id="4"/>
      </w:r>
      <w:r w:rsidR="001B10E6">
        <w:rPr>
          <w:sz w:val="22"/>
          <w:szCs w:val="22"/>
        </w:rPr>
        <w:t xml:space="preserve"> </w:t>
      </w:r>
      <w:r>
        <w:rPr>
          <w:sz w:val="22"/>
          <w:szCs w:val="22"/>
        </w:rPr>
        <w:t xml:space="preserve">Core cultural services categories and services related to equipment and supporting materials are found in Categories 8-11 of EBOPS, as indicated in Table </w:t>
      </w:r>
      <w:r w:rsidR="0058364B">
        <w:rPr>
          <w:sz w:val="22"/>
          <w:szCs w:val="22"/>
        </w:rPr>
        <w:t>3</w:t>
      </w:r>
      <w:r>
        <w:rPr>
          <w:sz w:val="22"/>
          <w:szCs w:val="22"/>
        </w:rPr>
        <w:t xml:space="preserve"> below. Related cultural services and tourism form part of Sub-category 4.2.3 (Other personal travel services).</w:t>
      </w:r>
      <w:r w:rsidR="001B10E6">
        <w:rPr>
          <w:sz w:val="22"/>
          <w:szCs w:val="22"/>
        </w:rPr>
        <w:t xml:space="preserve"> </w:t>
      </w:r>
      <w:r>
        <w:rPr>
          <w:sz w:val="22"/>
          <w:szCs w:val="22"/>
        </w:rPr>
        <w:t>It is important to note that Sub-category 4.2.3 and most of the others in the table involve a broader range of services than those that are core, or related to, cultural services.</w:t>
      </w:r>
      <w:r w:rsidR="001B10E6">
        <w:rPr>
          <w:sz w:val="22"/>
          <w:szCs w:val="22"/>
        </w:rPr>
        <w:t xml:space="preserve"> </w:t>
      </w:r>
    </w:p>
    <w:p w14:paraId="0000013B" w14:textId="35404083" w:rsidR="00294ABB" w:rsidRPr="00835B56" w:rsidRDefault="008B6A61" w:rsidP="008B6A61">
      <w:pPr>
        <w:pStyle w:val="Caption"/>
        <w:rPr>
          <w:color w:val="44546A"/>
          <w:sz w:val="20"/>
          <w:szCs w:val="20"/>
        </w:rPr>
      </w:pPr>
      <w:bookmarkStart w:id="22" w:name="_heading=h.2jxsxqh" w:colFirst="0" w:colLast="0"/>
      <w:bookmarkStart w:id="23" w:name="_Toc92623703"/>
      <w:bookmarkEnd w:id="22"/>
      <w:r w:rsidRPr="00835B56">
        <w:rPr>
          <w:sz w:val="20"/>
          <w:szCs w:val="20"/>
        </w:rPr>
        <w:t xml:space="preserve">Table </w:t>
      </w:r>
      <w:r w:rsidR="00A75DC7" w:rsidRPr="00835B56">
        <w:rPr>
          <w:sz w:val="20"/>
          <w:szCs w:val="20"/>
        </w:rPr>
        <w:fldChar w:fldCharType="begin"/>
      </w:r>
      <w:r w:rsidR="00A75DC7" w:rsidRPr="00835B56">
        <w:rPr>
          <w:sz w:val="20"/>
          <w:szCs w:val="20"/>
        </w:rPr>
        <w:instrText xml:space="preserve"> SEQ Table \* ARABIC </w:instrText>
      </w:r>
      <w:r w:rsidR="00A75DC7" w:rsidRPr="00835B56">
        <w:rPr>
          <w:sz w:val="20"/>
          <w:szCs w:val="20"/>
        </w:rPr>
        <w:fldChar w:fldCharType="separate"/>
      </w:r>
      <w:r w:rsidR="00682412">
        <w:rPr>
          <w:noProof/>
          <w:sz w:val="20"/>
          <w:szCs w:val="20"/>
        </w:rPr>
        <w:t>3</w:t>
      </w:r>
      <w:r w:rsidR="00A75DC7" w:rsidRPr="00835B56">
        <w:rPr>
          <w:noProof/>
          <w:sz w:val="20"/>
          <w:szCs w:val="20"/>
        </w:rPr>
        <w:fldChar w:fldCharType="end"/>
      </w:r>
      <w:r w:rsidR="00F3268B" w:rsidRPr="00835B56">
        <w:rPr>
          <w:sz w:val="20"/>
          <w:szCs w:val="20"/>
        </w:rPr>
        <w:t xml:space="preserve">: </w:t>
      </w:r>
      <w:r w:rsidR="00420BFB" w:rsidRPr="00835B56">
        <w:rPr>
          <w:color w:val="44546A"/>
          <w:sz w:val="20"/>
          <w:szCs w:val="20"/>
        </w:rPr>
        <w:t>EBOPS cultural services trade categories</w:t>
      </w:r>
      <w:bookmarkEnd w:id="23"/>
    </w:p>
    <w:tbl>
      <w:tblPr>
        <w:tblStyle w:val="a1"/>
        <w:tblW w:w="9211" w:type="dxa"/>
        <w:jc w:val="center"/>
        <w:tblLayout w:type="fixed"/>
        <w:tblLook w:val="0400" w:firstRow="0" w:lastRow="0" w:firstColumn="0" w:lastColumn="0" w:noHBand="0" w:noVBand="1"/>
      </w:tblPr>
      <w:tblGrid>
        <w:gridCol w:w="1961"/>
        <w:gridCol w:w="1095"/>
        <w:gridCol w:w="875"/>
        <w:gridCol w:w="5280"/>
      </w:tblGrid>
      <w:tr w:rsidR="00294ABB" w14:paraId="279F318C" w14:textId="77777777">
        <w:trPr>
          <w:trHeight w:val="290"/>
          <w:jc w:val="center"/>
        </w:trPr>
        <w:tc>
          <w:tcPr>
            <w:tcW w:w="196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00013C" w14:textId="77777777" w:rsidR="00294ABB" w:rsidRDefault="00420BFB" w:rsidP="00835B56">
            <w:pPr>
              <w:spacing w:before="60" w:after="60"/>
              <w:rPr>
                <w:color w:val="000000"/>
                <w:sz w:val="18"/>
                <w:szCs w:val="18"/>
              </w:rPr>
            </w:pPr>
            <w:r>
              <w:rPr>
                <w:color w:val="000000"/>
                <w:sz w:val="18"/>
                <w:szCs w:val="18"/>
              </w:rPr>
              <w:t> </w:t>
            </w:r>
          </w:p>
        </w:tc>
        <w:tc>
          <w:tcPr>
            <w:tcW w:w="1095" w:type="dxa"/>
            <w:tcBorders>
              <w:top w:val="single" w:sz="4" w:space="0" w:color="000000"/>
              <w:left w:val="nil"/>
              <w:bottom w:val="single" w:sz="4" w:space="0" w:color="000000"/>
              <w:right w:val="single" w:sz="4" w:space="0" w:color="000000"/>
            </w:tcBorders>
            <w:shd w:val="clear" w:color="auto" w:fill="auto"/>
            <w:vAlign w:val="bottom"/>
          </w:tcPr>
          <w:p w14:paraId="0000013D" w14:textId="77777777" w:rsidR="00294ABB" w:rsidRDefault="00420BFB" w:rsidP="00835B56">
            <w:pPr>
              <w:spacing w:before="60" w:after="60"/>
              <w:rPr>
                <w:b/>
                <w:color w:val="000000"/>
                <w:sz w:val="18"/>
                <w:szCs w:val="18"/>
              </w:rPr>
            </w:pPr>
            <w:r>
              <w:rPr>
                <w:b/>
                <w:color w:val="000000"/>
                <w:sz w:val="18"/>
                <w:szCs w:val="18"/>
              </w:rPr>
              <w:t>BPM6</w:t>
            </w:r>
          </w:p>
        </w:tc>
        <w:tc>
          <w:tcPr>
            <w:tcW w:w="875" w:type="dxa"/>
            <w:tcBorders>
              <w:top w:val="single" w:sz="4" w:space="0" w:color="000000"/>
              <w:left w:val="nil"/>
              <w:bottom w:val="single" w:sz="4" w:space="0" w:color="000000"/>
              <w:right w:val="single" w:sz="4" w:space="0" w:color="000000"/>
            </w:tcBorders>
            <w:shd w:val="clear" w:color="auto" w:fill="auto"/>
            <w:vAlign w:val="bottom"/>
          </w:tcPr>
          <w:p w14:paraId="0000013E" w14:textId="77777777" w:rsidR="00294ABB" w:rsidRDefault="00420BFB" w:rsidP="00835B56">
            <w:pPr>
              <w:spacing w:before="60" w:after="60"/>
              <w:rPr>
                <w:b/>
                <w:color w:val="000000"/>
                <w:sz w:val="18"/>
                <w:szCs w:val="18"/>
              </w:rPr>
            </w:pPr>
            <w:r>
              <w:rPr>
                <w:b/>
                <w:color w:val="000000"/>
                <w:sz w:val="18"/>
                <w:szCs w:val="18"/>
              </w:rPr>
              <w:t>EBOPS</w:t>
            </w:r>
          </w:p>
        </w:tc>
        <w:tc>
          <w:tcPr>
            <w:tcW w:w="5280" w:type="dxa"/>
            <w:tcBorders>
              <w:top w:val="single" w:sz="4" w:space="0" w:color="000000"/>
              <w:left w:val="nil"/>
              <w:bottom w:val="single" w:sz="4" w:space="0" w:color="000000"/>
              <w:right w:val="single" w:sz="4" w:space="0" w:color="000000"/>
            </w:tcBorders>
            <w:shd w:val="clear" w:color="auto" w:fill="auto"/>
            <w:vAlign w:val="bottom"/>
          </w:tcPr>
          <w:p w14:paraId="0000013F" w14:textId="77777777" w:rsidR="00294ABB" w:rsidRDefault="00420BFB" w:rsidP="00835B56">
            <w:pPr>
              <w:spacing w:before="60" w:after="60"/>
              <w:rPr>
                <w:b/>
                <w:color w:val="000000"/>
                <w:sz w:val="18"/>
                <w:szCs w:val="18"/>
              </w:rPr>
            </w:pPr>
            <w:r>
              <w:rPr>
                <w:b/>
                <w:color w:val="000000"/>
                <w:sz w:val="18"/>
                <w:szCs w:val="18"/>
              </w:rPr>
              <w:t>Labels</w:t>
            </w:r>
          </w:p>
        </w:tc>
      </w:tr>
      <w:tr w:rsidR="00294ABB" w14:paraId="213C7F29" w14:textId="77777777" w:rsidTr="00835B56">
        <w:trPr>
          <w:trHeight w:val="290"/>
          <w:jc w:val="center"/>
        </w:trPr>
        <w:tc>
          <w:tcPr>
            <w:tcW w:w="1961" w:type="dxa"/>
            <w:tcBorders>
              <w:top w:val="nil"/>
              <w:left w:val="single" w:sz="4" w:space="0" w:color="000000"/>
              <w:bottom w:val="single" w:sz="4" w:space="0" w:color="000000"/>
              <w:right w:val="single" w:sz="4" w:space="0" w:color="000000"/>
            </w:tcBorders>
            <w:shd w:val="clear" w:color="auto" w:fill="auto"/>
            <w:vAlign w:val="bottom"/>
          </w:tcPr>
          <w:p w14:paraId="00000140" w14:textId="77777777" w:rsidR="00294ABB" w:rsidRDefault="00420BFB" w:rsidP="00835B56">
            <w:pPr>
              <w:spacing w:before="60" w:after="60"/>
              <w:rPr>
                <w:color w:val="000000"/>
                <w:sz w:val="18"/>
                <w:szCs w:val="18"/>
              </w:rPr>
            </w:pPr>
            <w:r>
              <w:rPr>
                <w:color w:val="000000"/>
                <w:sz w:val="18"/>
                <w:szCs w:val="18"/>
              </w:rPr>
              <w:t>Core cultural services</w:t>
            </w:r>
          </w:p>
        </w:tc>
        <w:tc>
          <w:tcPr>
            <w:tcW w:w="1095" w:type="dxa"/>
            <w:tcBorders>
              <w:top w:val="nil"/>
              <w:left w:val="nil"/>
              <w:bottom w:val="single" w:sz="4" w:space="0" w:color="000000"/>
              <w:right w:val="single" w:sz="4" w:space="0" w:color="000000"/>
            </w:tcBorders>
            <w:shd w:val="clear" w:color="auto" w:fill="auto"/>
            <w:tcMar>
              <w:left w:w="57" w:type="dxa"/>
              <w:right w:w="57" w:type="dxa"/>
            </w:tcMar>
          </w:tcPr>
          <w:p w14:paraId="00000141" w14:textId="77777777" w:rsidR="00294ABB" w:rsidRDefault="00420BFB" w:rsidP="00835B56">
            <w:pPr>
              <w:spacing w:before="60" w:after="60"/>
              <w:rPr>
                <w:color w:val="000000"/>
                <w:sz w:val="18"/>
                <w:szCs w:val="18"/>
              </w:rPr>
            </w:pPr>
            <w:r>
              <w:rPr>
                <w:color w:val="000000"/>
                <w:sz w:val="18"/>
                <w:szCs w:val="18"/>
              </w:rPr>
              <w:t>1.A.b.8.</w:t>
            </w:r>
          </w:p>
        </w:tc>
        <w:tc>
          <w:tcPr>
            <w:tcW w:w="875" w:type="dxa"/>
            <w:tcBorders>
              <w:top w:val="nil"/>
              <w:left w:val="nil"/>
              <w:bottom w:val="single" w:sz="4" w:space="0" w:color="000000"/>
              <w:right w:val="single" w:sz="4" w:space="0" w:color="000000"/>
            </w:tcBorders>
            <w:shd w:val="clear" w:color="auto" w:fill="auto"/>
            <w:tcMar>
              <w:left w:w="57" w:type="dxa"/>
              <w:right w:w="57" w:type="dxa"/>
            </w:tcMar>
          </w:tcPr>
          <w:p w14:paraId="00000142" w14:textId="77777777" w:rsidR="00294ABB" w:rsidRDefault="00420BFB" w:rsidP="00835B56">
            <w:pPr>
              <w:spacing w:before="60" w:after="60"/>
              <w:rPr>
                <w:color w:val="000000"/>
                <w:sz w:val="18"/>
                <w:szCs w:val="18"/>
              </w:rPr>
            </w:pPr>
            <w:r>
              <w:rPr>
                <w:color w:val="000000"/>
                <w:sz w:val="18"/>
                <w:szCs w:val="18"/>
              </w:rPr>
              <w:t>8.4.1</w:t>
            </w:r>
          </w:p>
        </w:tc>
        <w:tc>
          <w:tcPr>
            <w:tcW w:w="5280" w:type="dxa"/>
            <w:tcBorders>
              <w:top w:val="nil"/>
              <w:left w:val="nil"/>
              <w:bottom w:val="single" w:sz="4" w:space="0" w:color="000000"/>
              <w:right w:val="single" w:sz="4" w:space="0" w:color="000000"/>
            </w:tcBorders>
            <w:shd w:val="clear" w:color="auto" w:fill="auto"/>
          </w:tcPr>
          <w:p w14:paraId="00000143" w14:textId="77777777" w:rsidR="00294ABB" w:rsidRDefault="00420BFB" w:rsidP="00835B56">
            <w:pPr>
              <w:spacing w:before="60" w:after="60"/>
              <w:rPr>
                <w:color w:val="000000"/>
                <w:sz w:val="18"/>
                <w:szCs w:val="18"/>
              </w:rPr>
            </w:pPr>
            <w:r>
              <w:rPr>
                <w:color w:val="000000"/>
                <w:sz w:val="18"/>
                <w:szCs w:val="18"/>
              </w:rPr>
              <w:t>Licenses to reproduce and/or distribute audio-visual products</w:t>
            </w:r>
          </w:p>
        </w:tc>
      </w:tr>
      <w:tr w:rsidR="00294ABB" w14:paraId="28E6FD52" w14:textId="77777777" w:rsidTr="00835B56">
        <w:trPr>
          <w:trHeight w:val="345"/>
          <w:jc w:val="center"/>
        </w:trPr>
        <w:tc>
          <w:tcPr>
            <w:tcW w:w="1961" w:type="dxa"/>
            <w:tcBorders>
              <w:top w:val="nil"/>
              <w:left w:val="single" w:sz="4" w:space="0" w:color="000000"/>
              <w:bottom w:val="single" w:sz="4" w:space="0" w:color="000000"/>
              <w:right w:val="single" w:sz="4" w:space="0" w:color="000000"/>
            </w:tcBorders>
            <w:shd w:val="clear" w:color="auto" w:fill="auto"/>
            <w:vAlign w:val="bottom"/>
          </w:tcPr>
          <w:p w14:paraId="00000144" w14:textId="77777777" w:rsidR="00294ABB" w:rsidRDefault="00420BFB" w:rsidP="00835B56">
            <w:pPr>
              <w:spacing w:before="60" w:after="60"/>
              <w:rPr>
                <w:color w:val="000000"/>
                <w:sz w:val="18"/>
                <w:szCs w:val="18"/>
              </w:rPr>
            </w:pPr>
            <w:r>
              <w:rPr>
                <w:color w:val="000000"/>
                <w:sz w:val="18"/>
                <w:szCs w:val="18"/>
              </w:rPr>
              <w:t> </w:t>
            </w:r>
          </w:p>
        </w:tc>
        <w:tc>
          <w:tcPr>
            <w:tcW w:w="1095" w:type="dxa"/>
            <w:tcBorders>
              <w:top w:val="nil"/>
              <w:left w:val="nil"/>
              <w:bottom w:val="single" w:sz="4" w:space="0" w:color="000000"/>
              <w:right w:val="single" w:sz="4" w:space="0" w:color="000000"/>
            </w:tcBorders>
            <w:shd w:val="clear" w:color="auto" w:fill="auto"/>
            <w:tcMar>
              <w:left w:w="57" w:type="dxa"/>
              <w:right w:w="57" w:type="dxa"/>
            </w:tcMar>
          </w:tcPr>
          <w:p w14:paraId="00000145" w14:textId="77777777" w:rsidR="00294ABB" w:rsidRDefault="00420BFB" w:rsidP="00835B56">
            <w:pPr>
              <w:spacing w:before="60" w:after="60"/>
              <w:rPr>
                <w:color w:val="000000"/>
                <w:sz w:val="18"/>
                <w:szCs w:val="18"/>
              </w:rPr>
            </w:pPr>
            <w:r>
              <w:rPr>
                <w:color w:val="000000"/>
                <w:sz w:val="18"/>
                <w:szCs w:val="18"/>
              </w:rPr>
              <w:t> </w:t>
            </w:r>
          </w:p>
        </w:tc>
        <w:tc>
          <w:tcPr>
            <w:tcW w:w="875" w:type="dxa"/>
            <w:tcBorders>
              <w:top w:val="nil"/>
              <w:left w:val="nil"/>
              <w:bottom w:val="single" w:sz="4" w:space="0" w:color="000000"/>
              <w:right w:val="single" w:sz="4" w:space="0" w:color="000000"/>
            </w:tcBorders>
            <w:shd w:val="clear" w:color="auto" w:fill="auto"/>
            <w:tcMar>
              <w:left w:w="57" w:type="dxa"/>
              <w:right w:w="57" w:type="dxa"/>
            </w:tcMar>
          </w:tcPr>
          <w:p w14:paraId="00000146" w14:textId="77777777" w:rsidR="00294ABB" w:rsidRDefault="00420BFB" w:rsidP="00835B56">
            <w:pPr>
              <w:spacing w:before="60" w:after="60"/>
              <w:rPr>
                <w:color w:val="000000"/>
                <w:sz w:val="18"/>
                <w:szCs w:val="18"/>
              </w:rPr>
            </w:pPr>
            <w:r>
              <w:rPr>
                <w:color w:val="000000"/>
                <w:sz w:val="18"/>
                <w:szCs w:val="18"/>
              </w:rPr>
              <w:t>8.4.2</w:t>
            </w:r>
          </w:p>
        </w:tc>
        <w:tc>
          <w:tcPr>
            <w:tcW w:w="5280" w:type="dxa"/>
            <w:tcBorders>
              <w:top w:val="nil"/>
              <w:left w:val="nil"/>
              <w:bottom w:val="single" w:sz="4" w:space="0" w:color="000000"/>
              <w:right w:val="single" w:sz="4" w:space="0" w:color="000000"/>
            </w:tcBorders>
            <w:shd w:val="clear" w:color="auto" w:fill="auto"/>
          </w:tcPr>
          <w:p w14:paraId="00000147" w14:textId="77777777" w:rsidR="00294ABB" w:rsidRDefault="00420BFB" w:rsidP="00835B56">
            <w:pPr>
              <w:spacing w:before="60" w:after="60"/>
              <w:rPr>
                <w:color w:val="000000"/>
                <w:sz w:val="18"/>
                <w:szCs w:val="18"/>
              </w:rPr>
            </w:pPr>
            <w:r>
              <w:rPr>
                <w:color w:val="000000"/>
                <w:sz w:val="18"/>
                <w:szCs w:val="18"/>
              </w:rPr>
              <w:t>Licenses to reproduce and/or distribute related products</w:t>
            </w:r>
          </w:p>
        </w:tc>
      </w:tr>
      <w:tr w:rsidR="00294ABB" w14:paraId="4090F9D2" w14:textId="77777777" w:rsidTr="00835B56">
        <w:trPr>
          <w:trHeight w:val="290"/>
          <w:jc w:val="center"/>
        </w:trPr>
        <w:tc>
          <w:tcPr>
            <w:tcW w:w="1961" w:type="dxa"/>
            <w:tcBorders>
              <w:top w:val="nil"/>
              <w:left w:val="single" w:sz="4" w:space="0" w:color="000000"/>
              <w:bottom w:val="single" w:sz="4" w:space="0" w:color="000000"/>
              <w:right w:val="single" w:sz="4" w:space="0" w:color="000000"/>
            </w:tcBorders>
            <w:shd w:val="clear" w:color="auto" w:fill="auto"/>
            <w:vAlign w:val="bottom"/>
          </w:tcPr>
          <w:p w14:paraId="00000148" w14:textId="77777777" w:rsidR="00294ABB" w:rsidRDefault="00420BFB" w:rsidP="00835B56">
            <w:pPr>
              <w:spacing w:before="60" w:after="60"/>
              <w:rPr>
                <w:color w:val="000000"/>
                <w:sz w:val="18"/>
                <w:szCs w:val="18"/>
              </w:rPr>
            </w:pPr>
            <w:r>
              <w:rPr>
                <w:color w:val="000000"/>
                <w:sz w:val="18"/>
                <w:szCs w:val="18"/>
              </w:rPr>
              <w:t> </w:t>
            </w:r>
          </w:p>
        </w:tc>
        <w:tc>
          <w:tcPr>
            <w:tcW w:w="1095" w:type="dxa"/>
            <w:tcBorders>
              <w:top w:val="nil"/>
              <w:left w:val="nil"/>
              <w:bottom w:val="single" w:sz="4" w:space="0" w:color="000000"/>
              <w:right w:val="single" w:sz="4" w:space="0" w:color="000000"/>
            </w:tcBorders>
            <w:shd w:val="clear" w:color="auto" w:fill="auto"/>
            <w:tcMar>
              <w:left w:w="57" w:type="dxa"/>
              <w:right w:w="57" w:type="dxa"/>
            </w:tcMar>
          </w:tcPr>
          <w:p w14:paraId="00000149" w14:textId="77777777" w:rsidR="00294ABB" w:rsidRDefault="00420BFB" w:rsidP="00835B56">
            <w:pPr>
              <w:spacing w:before="60" w:after="60"/>
              <w:rPr>
                <w:color w:val="000000"/>
                <w:sz w:val="18"/>
                <w:szCs w:val="18"/>
              </w:rPr>
            </w:pPr>
            <w:r>
              <w:rPr>
                <w:color w:val="000000"/>
                <w:sz w:val="18"/>
                <w:szCs w:val="18"/>
              </w:rPr>
              <w:t>1.A.b.9.3.</w:t>
            </w:r>
          </w:p>
        </w:tc>
        <w:tc>
          <w:tcPr>
            <w:tcW w:w="875" w:type="dxa"/>
            <w:tcBorders>
              <w:top w:val="nil"/>
              <w:left w:val="nil"/>
              <w:bottom w:val="single" w:sz="4" w:space="0" w:color="000000"/>
              <w:right w:val="single" w:sz="4" w:space="0" w:color="000000"/>
            </w:tcBorders>
            <w:shd w:val="clear" w:color="auto" w:fill="auto"/>
            <w:tcMar>
              <w:left w:w="57" w:type="dxa"/>
              <w:right w:w="57" w:type="dxa"/>
            </w:tcMar>
          </w:tcPr>
          <w:p w14:paraId="0000014A" w14:textId="77777777" w:rsidR="00294ABB" w:rsidRDefault="00420BFB" w:rsidP="00835B56">
            <w:pPr>
              <w:spacing w:before="60" w:after="60"/>
              <w:rPr>
                <w:color w:val="000000"/>
                <w:sz w:val="18"/>
                <w:szCs w:val="18"/>
              </w:rPr>
            </w:pPr>
            <w:r>
              <w:rPr>
                <w:color w:val="000000"/>
                <w:sz w:val="18"/>
                <w:szCs w:val="18"/>
              </w:rPr>
              <w:t>9.3.1</w:t>
            </w:r>
          </w:p>
        </w:tc>
        <w:tc>
          <w:tcPr>
            <w:tcW w:w="5280" w:type="dxa"/>
            <w:tcBorders>
              <w:top w:val="nil"/>
              <w:left w:val="nil"/>
              <w:bottom w:val="single" w:sz="4" w:space="0" w:color="000000"/>
              <w:right w:val="single" w:sz="4" w:space="0" w:color="000000"/>
            </w:tcBorders>
            <w:shd w:val="clear" w:color="auto" w:fill="auto"/>
          </w:tcPr>
          <w:p w14:paraId="0000014B" w14:textId="77777777" w:rsidR="00294ABB" w:rsidRDefault="00420BFB" w:rsidP="00835B56">
            <w:pPr>
              <w:spacing w:before="60" w:after="60"/>
              <w:rPr>
                <w:color w:val="000000"/>
                <w:sz w:val="18"/>
                <w:szCs w:val="18"/>
              </w:rPr>
            </w:pPr>
            <w:r>
              <w:rPr>
                <w:color w:val="000000"/>
                <w:sz w:val="18"/>
                <w:szCs w:val="18"/>
              </w:rPr>
              <w:t>News agency services</w:t>
            </w:r>
          </w:p>
        </w:tc>
      </w:tr>
      <w:tr w:rsidR="00294ABB" w14:paraId="14CCCEA0" w14:textId="77777777" w:rsidTr="00835B56">
        <w:trPr>
          <w:trHeight w:val="290"/>
          <w:jc w:val="center"/>
        </w:trPr>
        <w:tc>
          <w:tcPr>
            <w:tcW w:w="1961" w:type="dxa"/>
            <w:tcBorders>
              <w:top w:val="nil"/>
              <w:left w:val="single" w:sz="4" w:space="0" w:color="000000"/>
              <w:bottom w:val="single" w:sz="4" w:space="0" w:color="000000"/>
              <w:right w:val="single" w:sz="4" w:space="0" w:color="000000"/>
            </w:tcBorders>
            <w:shd w:val="clear" w:color="auto" w:fill="auto"/>
            <w:vAlign w:val="bottom"/>
          </w:tcPr>
          <w:p w14:paraId="0000014C" w14:textId="77777777" w:rsidR="00294ABB" w:rsidRDefault="00420BFB" w:rsidP="00835B56">
            <w:pPr>
              <w:spacing w:before="60" w:after="60"/>
              <w:rPr>
                <w:color w:val="000000"/>
                <w:sz w:val="18"/>
                <w:szCs w:val="18"/>
              </w:rPr>
            </w:pPr>
            <w:r>
              <w:rPr>
                <w:color w:val="000000"/>
                <w:sz w:val="18"/>
                <w:szCs w:val="18"/>
              </w:rPr>
              <w:t> </w:t>
            </w:r>
          </w:p>
        </w:tc>
        <w:tc>
          <w:tcPr>
            <w:tcW w:w="1095" w:type="dxa"/>
            <w:tcBorders>
              <w:top w:val="nil"/>
              <w:left w:val="nil"/>
              <w:bottom w:val="single" w:sz="4" w:space="0" w:color="000000"/>
              <w:right w:val="single" w:sz="4" w:space="0" w:color="000000"/>
            </w:tcBorders>
            <w:shd w:val="clear" w:color="auto" w:fill="auto"/>
            <w:tcMar>
              <w:left w:w="57" w:type="dxa"/>
              <w:right w:w="57" w:type="dxa"/>
            </w:tcMar>
          </w:tcPr>
          <w:p w14:paraId="0000014D" w14:textId="77777777" w:rsidR="00294ABB" w:rsidRDefault="00420BFB" w:rsidP="00835B56">
            <w:pPr>
              <w:spacing w:before="60" w:after="60"/>
              <w:rPr>
                <w:color w:val="000000"/>
                <w:sz w:val="18"/>
                <w:szCs w:val="18"/>
              </w:rPr>
            </w:pPr>
            <w:r>
              <w:rPr>
                <w:color w:val="000000"/>
                <w:sz w:val="18"/>
                <w:szCs w:val="18"/>
              </w:rPr>
              <w:t>1.A.b.9.3.</w:t>
            </w:r>
          </w:p>
        </w:tc>
        <w:tc>
          <w:tcPr>
            <w:tcW w:w="875" w:type="dxa"/>
            <w:tcBorders>
              <w:top w:val="nil"/>
              <w:left w:val="nil"/>
              <w:bottom w:val="single" w:sz="4" w:space="0" w:color="000000"/>
              <w:right w:val="single" w:sz="4" w:space="0" w:color="000000"/>
            </w:tcBorders>
            <w:shd w:val="clear" w:color="auto" w:fill="auto"/>
            <w:tcMar>
              <w:left w:w="57" w:type="dxa"/>
              <w:right w:w="57" w:type="dxa"/>
            </w:tcMar>
          </w:tcPr>
          <w:p w14:paraId="0000014E" w14:textId="77777777" w:rsidR="00294ABB" w:rsidRDefault="00420BFB" w:rsidP="00835B56">
            <w:pPr>
              <w:spacing w:before="60" w:after="60"/>
              <w:rPr>
                <w:color w:val="000000"/>
                <w:sz w:val="18"/>
                <w:szCs w:val="18"/>
              </w:rPr>
            </w:pPr>
            <w:r>
              <w:rPr>
                <w:color w:val="000000"/>
                <w:sz w:val="18"/>
                <w:szCs w:val="18"/>
              </w:rPr>
              <w:t>9.3.2</w:t>
            </w:r>
          </w:p>
        </w:tc>
        <w:tc>
          <w:tcPr>
            <w:tcW w:w="5280" w:type="dxa"/>
            <w:tcBorders>
              <w:top w:val="nil"/>
              <w:left w:val="nil"/>
              <w:bottom w:val="single" w:sz="4" w:space="0" w:color="000000"/>
              <w:right w:val="single" w:sz="4" w:space="0" w:color="000000"/>
            </w:tcBorders>
            <w:shd w:val="clear" w:color="auto" w:fill="auto"/>
          </w:tcPr>
          <w:p w14:paraId="0000014F" w14:textId="77777777" w:rsidR="00294ABB" w:rsidRDefault="00420BFB" w:rsidP="00835B56">
            <w:pPr>
              <w:spacing w:before="60" w:after="60"/>
              <w:rPr>
                <w:color w:val="000000"/>
                <w:sz w:val="18"/>
                <w:szCs w:val="18"/>
              </w:rPr>
            </w:pPr>
            <w:r>
              <w:rPr>
                <w:color w:val="000000"/>
                <w:sz w:val="18"/>
                <w:szCs w:val="18"/>
              </w:rPr>
              <w:t>Other information services</w:t>
            </w:r>
          </w:p>
        </w:tc>
      </w:tr>
      <w:tr w:rsidR="00294ABB" w14:paraId="101F81BB" w14:textId="77777777" w:rsidTr="00835B56">
        <w:trPr>
          <w:trHeight w:val="290"/>
          <w:jc w:val="center"/>
        </w:trPr>
        <w:tc>
          <w:tcPr>
            <w:tcW w:w="1961" w:type="dxa"/>
            <w:tcBorders>
              <w:top w:val="nil"/>
              <w:left w:val="single" w:sz="4" w:space="0" w:color="000000"/>
              <w:bottom w:val="single" w:sz="4" w:space="0" w:color="000000"/>
              <w:right w:val="single" w:sz="4" w:space="0" w:color="000000"/>
            </w:tcBorders>
            <w:shd w:val="clear" w:color="auto" w:fill="auto"/>
            <w:vAlign w:val="bottom"/>
          </w:tcPr>
          <w:p w14:paraId="00000150" w14:textId="77777777" w:rsidR="00294ABB" w:rsidRDefault="00420BFB" w:rsidP="00835B56">
            <w:pPr>
              <w:spacing w:before="60" w:after="60"/>
              <w:rPr>
                <w:color w:val="000000"/>
                <w:sz w:val="18"/>
                <w:szCs w:val="18"/>
              </w:rPr>
            </w:pPr>
            <w:r>
              <w:rPr>
                <w:color w:val="000000"/>
                <w:sz w:val="18"/>
                <w:szCs w:val="18"/>
              </w:rPr>
              <w:t> </w:t>
            </w:r>
          </w:p>
        </w:tc>
        <w:tc>
          <w:tcPr>
            <w:tcW w:w="1095" w:type="dxa"/>
            <w:tcBorders>
              <w:top w:val="nil"/>
              <w:left w:val="nil"/>
              <w:bottom w:val="single" w:sz="4" w:space="0" w:color="000000"/>
              <w:right w:val="single" w:sz="4" w:space="0" w:color="000000"/>
            </w:tcBorders>
            <w:shd w:val="clear" w:color="auto" w:fill="auto"/>
            <w:tcMar>
              <w:left w:w="57" w:type="dxa"/>
              <w:right w:w="57" w:type="dxa"/>
            </w:tcMar>
          </w:tcPr>
          <w:p w14:paraId="00000151" w14:textId="77777777" w:rsidR="00294ABB" w:rsidRDefault="00420BFB" w:rsidP="00835B56">
            <w:pPr>
              <w:spacing w:before="60" w:after="60"/>
              <w:rPr>
                <w:color w:val="000000"/>
                <w:sz w:val="18"/>
                <w:szCs w:val="18"/>
              </w:rPr>
            </w:pPr>
            <w:r>
              <w:rPr>
                <w:color w:val="000000"/>
                <w:sz w:val="18"/>
                <w:szCs w:val="18"/>
              </w:rPr>
              <w:t>1.A.b.10.2.</w:t>
            </w:r>
          </w:p>
        </w:tc>
        <w:tc>
          <w:tcPr>
            <w:tcW w:w="875" w:type="dxa"/>
            <w:tcBorders>
              <w:top w:val="nil"/>
              <w:left w:val="nil"/>
              <w:bottom w:val="single" w:sz="4" w:space="0" w:color="000000"/>
              <w:right w:val="single" w:sz="4" w:space="0" w:color="000000"/>
            </w:tcBorders>
            <w:shd w:val="clear" w:color="auto" w:fill="auto"/>
            <w:tcMar>
              <w:left w:w="57" w:type="dxa"/>
              <w:right w:w="57" w:type="dxa"/>
            </w:tcMar>
          </w:tcPr>
          <w:p w14:paraId="00000152" w14:textId="77777777" w:rsidR="00294ABB" w:rsidRDefault="00420BFB" w:rsidP="00835B56">
            <w:pPr>
              <w:spacing w:before="60" w:after="60"/>
              <w:rPr>
                <w:color w:val="000000"/>
                <w:sz w:val="18"/>
                <w:szCs w:val="18"/>
              </w:rPr>
            </w:pPr>
            <w:r>
              <w:rPr>
                <w:color w:val="000000"/>
                <w:sz w:val="18"/>
                <w:szCs w:val="18"/>
              </w:rPr>
              <w:t>10.2.2</w:t>
            </w:r>
          </w:p>
        </w:tc>
        <w:tc>
          <w:tcPr>
            <w:tcW w:w="5280" w:type="dxa"/>
            <w:tcBorders>
              <w:top w:val="nil"/>
              <w:left w:val="nil"/>
              <w:bottom w:val="single" w:sz="4" w:space="0" w:color="000000"/>
              <w:right w:val="single" w:sz="4" w:space="0" w:color="000000"/>
            </w:tcBorders>
            <w:shd w:val="clear" w:color="auto" w:fill="auto"/>
          </w:tcPr>
          <w:p w14:paraId="00000153" w14:textId="77777777" w:rsidR="00294ABB" w:rsidRDefault="00420BFB" w:rsidP="00835B56">
            <w:pPr>
              <w:spacing w:before="60" w:after="60"/>
              <w:rPr>
                <w:color w:val="000000"/>
                <w:sz w:val="18"/>
                <w:szCs w:val="18"/>
              </w:rPr>
            </w:pPr>
            <w:r>
              <w:rPr>
                <w:color w:val="000000"/>
                <w:sz w:val="18"/>
                <w:szCs w:val="18"/>
              </w:rPr>
              <w:t>Advertising, market research and public opinion polling</w:t>
            </w:r>
          </w:p>
        </w:tc>
      </w:tr>
      <w:tr w:rsidR="00294ABB" w14:paraId="23C09FDA" w14:textId="77777777" w:rsidTr="00835B56">
        <w:trPr>
          <w:trHeight w:val="290"/>
          <w:jc w:val="center"/>
        </w:trPr>
        <w:tc>
          <w:tcPr>
            <w:tcW w:w="1961" w:type="dxa"/>
            <w:tcBorders>
              <w:top w:val="nil"/>
              <w:left w:val="single" w:sz="4" w:space="0" w:color="000000"/>
              <w:bottom w:val="single" w:sz="4" w:space="0" w:color="000000"/>
              <w:right w:val="single" w:sz="4" w:space="0" w:color="000000"/>
            </w:tcBorders>
            <w:shd w:val="clear" w:color="auto" w:fill="auto"/>
            <w:vAlign w:val="bottom"/>
          </w:tcPr>
          <w:p w14:paraId="00000154" w14:textId="77777777" w:rsidR="00294ABB" w:rsidRDefault="00420BFB" w:rsidP="00835B56">
            <w:pPr>
              <w:spacing w:before="60" w:after="60"/>
              <w:rPr>
                <w:color w:val="000000"/>
                <w:sz w:val="18"/>
                <w:szCs w:val="18"/>
              </w:rPr>
            </w:pPr>
            <w:r>
              <w:rPr>
                <w:color w:val="000000"/>
                <w:sz w:val="18"/>
                <w:szCs w:val="18"/>
              </w:rPr>
              <w:t> </w:t>
            </w:r>
          </w:p>
        </w:tc>
        <w:tc>
          <w:tcPr>
            <w:tcW w:w="1095" w:type="dxa"/>
            <w:tcBorders>
              <w:top w:val="nil"/>
              <w:left w:val="nil"/>
              <w:bottom w:val="single" w:sz="4" w:space="0" w:color="000000"/>
              <w:right w:val="single" w:sz="4" w:space="0" w:color="000000"/>
            </w:tcBorders>
            <w:shd w:val="clear" w:color="auto" w:fill="auto"/>
            <w:tcMar>
              <w:left w:w="57" w:type="dxa"/>
              <w:right w:w="57" w:type="dxa"/>
            </w:tcMar>
          </w:tcPr>
          <w:p w14:paraId="00000155" w14:textId="77777777" w:rsidR="00294ABB" w:rsidRDefault="00420BFB" w:rsidP="00835B56">
            <w:pPr>
              <w:spacing w:before="60" w:after="60"/>
              <w:rPr>
                <w:color w:val="000000"/>
                <w:sz w:val="18"/>
                <w:szCs w:val="18"/>
              </w:rPr>
            </w:pPr>
            <w:r>
              <w:rPr>
                <w:color w:val="000000"/>
                <w:sz w:val="18"/>
                <w:szCs w:val="18"/>
              </w:rPr>
              <w:t>1.A.b.10.3.</w:t>
            </w:r>
          </w:p>
        </w:tc>
        <w:tc>
          <w:tcPr>
            <w:tcW w:w="875" w:type="dxa"/>
            <w:tcBorders>
              <w:top w:val="nil"/>
              <w:left w:val="nil"/>
              <w:bottom w:val="single" w:sz="4" w:space="0" w:color="000000"/>
              <w:right w:val="single" w:sz="4" w:space="0" w:color="000000"/>
            </w:tcBorders>
            <w:shd w:val="clear" w:color="auto" w:fill="auto"/>
            <w:tcMar>
              <w:left w:w="57" w:type="dxa"/>
              <w:right w:w="57" w:type="dxa"/>
            </w:tcMar>
          </w:tcPr>
          <w:p w14:paraId="00000156" w14:textId="77777777" w:rsidR="00294ABB" w:rsidRDefault="00420BFB" w:rsidP="00835B56">
            <w:pPr>
              <w:spacing w:before="60" w:after="60"/>
              <w:rPr>
                <w:color w:val="000000"/>
                <w:sz w:val="18"/>
                <w:szCs w:val="18"/>
              </w:rPr>
            </w:pPr>
            <w:r>
              <w:rPr>
                <w:color w:val="000000"/>
                <w:sz w:val="18"/>
                <w:szCs w:val="18"/>
              </w:rPr>
              <w:t>10.3.1.1</w:t>
            </w:r>
          </w:p>
        </w:tc>
        <w:tc>
          <w:tcPr>
            <w:tcW w:w="5280" w:type="dxa"/>
            <w:tcBorders>
              <w:top w:val="nil"/>
              <w:left w:val="nil"/>
              <w:bottom w:val="single" w:sz="4" w:space="0" w:color="000000"/>
              <w:right w:val="single" w:sz="4" w:space="0" w:color="000000"/>
            </w:tcBorders>
            <w:shd w:val="clear" w:color="auto" w:fill="auto"/>
          </w:tcPr>
          <w:p w14:paraId="00000157" w14:textId="77777777" w:rsidR="00294ABB" w:rsidRDefault="00420BFB" w:rsidP="00835B56">
            <w:pPr>
              <w:spacing w:before="60" w:after="60"/>
              <w:rPr>
                <w:color w:val="000000"/>
                <w:sz w:val="18"/>
                <w:szCs w:val="18"/>
              </w:rPr>
            </w:pPr>
            <w:r>
              <w:rPr>
                <w:color w:val="000000"/>
                <w:sz w:val="18"/>
                <w:szCs w:val="18"/>
              </w:rPr>
              <w:t>Architectural services</w:t>
            </w:r>
          </w:p>
        </w:tc>
      </w:tr>
      <w:tr w:rsidR="00294ABB" w14:paraId="2FC13B86" w14:textId="77777777" w:rsidTr="00835B56">
        <w:trPr>
          <w:trHeight w:val="290"/>
          <w:jc w:val="center"/>
        </w:trPr>
        <w:tc>
          <w:tcPr>
            <w:tcW w:w="1961" w:type="dxa"/>
            <w:tcBorders>
              <w:top w:val="nil"/>
              <w:left w:val="single" w:sz="4" w:space="0" w:color="000000"/>
              <w:bottom w:val="single" w:sz="4" w:space="0" w:color="000000"/>
              <w:right w:val="single" w:sz="4" w:space="0" w:color="000000"/>
            </w:tcBorders>
            <w:shd w:val="clear" w:color="auto" w:fill="auto"/>
            <w:vAlign w:val="bottom"/>
          </w:tcPr>
          <w:p w14:paraId="00000158" w14:textId="77777777" w:rsidR="00294ABB" w:rsidRDefault="00420BFB" w:rsidP="00835B56">
            <w:pPr>
              <w:spacing w:before="60" w:after="60"/>
              <w:rPr>
                <w:color w:val="000000"/>
                <w:sz w:val="18"/>
                <w:szCs w:val="18"/>
              </w:rPr>
            </w:pPr>
            <w:r>
              <w:rPr>
                <w:color w:val="000000"/>
                <w:sz w:val="18"/>
                <w:szCs w:val="18"/>
              </w:rPr>
              <w:t> </w:t>
            </w:r>
          </w:p>
        </w:tc>
        <w:tc>
          <w:tcPr>
            <w:tcW w:w="1095" w:type="dxa"/>
            <w:tcBorders>
              <w:top w:val="nil"/>
              <w:left w:val="nil"/>
              <w:bottom w:val="single" w:sz="4" w:space="0" w:color="000000"/>
              <w:right w:val="single" w:sz="4" w:space="0" w:color="000000"/>
            </w:tcBorders>
            <w:shd w:val="clear" w:color="auto" w:fill="auto"/>
            <w:tcMar>
              <w:left w:w="57" w:type="dxa"/>
              <w:right w:w="57" w:type="dxa"/>
            </w:tcMar>
          </w:tcPr>
          <w:p w14:paraId="00000159" w14:textId="77777777" w:rsidR="00294ABB" w:rsidRDefault="00420BFB" w:rsidP="00835B56">
            <w:pPr>
              <w:spacing w:before="60" w:after="60"/>
              <w:rPr>
                <w:color w:val="000000"/>
                <w:sz w:val="18"/>
                <w:szCs w:val="18"/>
              </w:rPr>
            </w:pPr>
            <w:r>
              <w:rPr>
                <w:color w:val="000000"/>
                <w:sz w:val="18"/>
                <w:szCs w:val="18"/>
              </w:rPr>
              <w:t>1.A.b.11.1.</w:t>
            </w:r>
          </w:p>
        </w:tc>
        <w:tc>
          <w:tcPr>
            <w:tcW w:w="875" w:type="dxa"/>
            <w:tcBorders>
              <w:top w:val="nil"/>
              <w:left w:val="nil"/>
              <w:bottom w:val="single" w:sz="4" w:space="0" w:color="000000"/>
              <w:right w:val="single" w:sz="4" w:space="0" w:color="000000"/>
            </w:tcBorders>
            <w:shd w:val="clear" w:color="auto" w:fill="auto"/>
            <w:tcMar>
              <w:left w:w="57" w:type="dxa"/>
              <w:right w:w="57" w:type="dxa"/>
            </w:tcMar>
          </w:tcPr>
          <w:p w14:paraId="0000015A" w14:textId="77777777" w:rsidR="00294ABB" w:rsidRDefault="00420BFB" w:rsidP="00835B56">
            <w:pPr>
              <w:spacing w:before="60" w:after="60"/>
              <w:rPr>
                <w:color w:val="000000"/>
                <w:sz w:val="18"/>
                <w:szCs w:val="18"/>
              </w:rPr>
            </w:pPr>
            <w:r>
              <w:rPr>
                <w:color w:val="000000"/>
                <w:sz w:val="18"/>
                <w:szCs w:val="18"/>
              </w:rPr>
              <w:t>11.1.1</w:t>
            </w:r>
          </w:p>
        </w:tc>
        <w:tc>
          <w:tcPr>
            <w:tcW w:w="5280" w:type="dxa"/>
            <w:tcBorders>
              <w:top w:val="nil"/>
              <w:left w:val="nil"/>
              <w:bottom w:val="single" w:sz="4" w:space="0" w:color="000000"/>
              <w:right w:val="single" w:sz="4" w:space="0" w:color="000000"/>
            </w:tcBorders>
            <w:shd w:val="clear" w:color="auto" w:fill="auto"/>
          </w:tcPr>
          <w:p w14:paraId="0000015B" w14:textId="77777777" w:rsidR="00294ABB" w:rsidRDefault="00420BFB" w:rsidP="00835B56">
            <w:pPr>
              <w:spacing w:before="60" w:after="60"/>
              <w:rPr>
                <w:color w:val="000000"/>
                <w:sz w:val="18"/>
                <w:szCs w:val="18"/>
              </w:rPr>
            </w:pPr>
            <w:r>
              <w:rPr>
                <w:color w:val="000000"/>
                <w:sz w:val="18"/>
                <w:szCs w:val="18"/>
              </w:rPr>
              <w:t>Audio-visual products</w:t>
            </w:r>
          </w:p>
        </w:tc>
      </w:tr>
      <w:tr w:rsidR="00294ABB" w14:paraId="2315488A" w14:textId="77777777" w:rsidTr="00835B56">
        <w:trPr>
          <w:trHeight w:val="290"/>
          <w:jc w:val="center"/>
        </w:trPr>
        <w:tc>
          <w:tcPr>
            <w:tcW w:w="1961" w:type="dxa"/>
            <w:tcBorders>
              <w:top w:val="nil"/>
              <w:left w:val="single" w:sz="4" w:space="0" w:color="000000"/>
              <w:bottom w:val="single" w:sz="4" w:space="0" w:color="000000"/>
              <w:right w:val="single" w:sz="4" w:space="0" w:color="000000"/>
            </w:tcBorders>
            <w:shd w:val="clear" w:color="auto" w:fill="auto"/>
            <w:vAlign w:val="bottom"/>
          </w:tcPr>
          <w:p w14:paraId="0000015C" w14:textId="77777777" w:rsidR="00294ABB" w:rsidRDefault="00420BFB" w:rsidP="00835B56">
            <w:pPr>
              <w:spacing w:before="60" w:after="60"/>
              <w:rPr>
                <w:color w:val="000000"/>
                <w:sz w:val="18"/>
                <w:szCs w:val="18"/>
              </w:rPr>
            </w:pPr>
            <w:r>
              <w:rPr>
                <w:color w:val="000000"/>
                <w:sz w:val="18"/>
                <w:szCs w:val="18"/>
              </w:rPr>
              <w:t> </w:t>
            </w:r>
          </w:p>
        </w:tc>
        <w:tc>
          <w:tcPr>
            <w:tcW w:w="1095" w:type="dxa"/>
            <w:tcBorders>
              <w:top w:val="nil"/>
              <w:left w:val="nil"/>
              <w:bottom w:val="single" w:sz="4" w:space="0" w:color="000000"/>
              <w:right w:val="single" w:sz="4" w:space="0" w:color="000000"/>
            </w:tcBorders>
            <w:shd w:val="clear" w:color="auto" w:fill="auto"/>
            <w:tcMar>
              <w:left w:w="57" w:type="dxa"/>
              <w:right w:w="57" w:type="dxa"/>
            </w:tcMar>
          </w:tcPr>
          <w:p w14:paraId="0000015D" w14:textId="77777777" w:rsidR="00294ABB" w:rsidRDefault="00420BFB" w:rsidP="00835B56">
            <w:pPr>
              <w:spacing w:before="60" w:after="60"/>
              <w:rPr>
                <w:color w:val="000000"/>
                <w:sz w:val="18"/>
                <w:szCs w:val="18"/>
              </w:rPr>
            </w:pPr>
            <w:r>
              <w:rPr>
                <w:color w:val="000000"/>
                <w:sz w:val="18"/>
                <w:szCs w:val="18"/>
              </w:rPr>
              <w:t>1.A.b.11.1.</w:t>
            </w:r>
          </w:p>
        </w:tc>
        <w:tc>
          <w:tcPr>
            <w:tcW w:w="875" w:type="dxa"/>
            <w:tcBorders>
              <w:top w:val="nil"/>
              <w:left w:val="nil"/>
              <w:bottom w:val="single" w:sz="4" w:space="0" w:color="000000"/>
              <w:right w:val="single" w:sz="4" w:space="0" w:color="000000"/>
            </w:tcBorders>
            <w:shd w:val="clear" w:color="auto" w:fill="auto"/>
            <w:tcMar>
              <w:left w:w="57" w:type="dxa"/>
              <w:right w:w="57" w:type="dxa"/>
            </w:tcMar>
          </w:tcPr>
          <w:p w14:paraId="0000015E" w14:textId="77777777" w:rsidR="00294ABB" w:rsidRDefault="00420BFB" w:rsidP="00835B56">
            <w:pPr>
              <w:spacing w:before="60" w:after="60"/>
              <w:rPr>
                <w:color w:val="000000"/>
                <w:sz w:val="18"/>
                <w:szCs w:val="18"/>
              </w:rPr>
            </w:pPr>
            <w:r>
              <w:rPr>
                <w:color w:val="000000"/>
                <w:sz w:val="18"/>
                <w:szCs w:val="18"/>
              </w:rPr>
              <w:t>11.1.2</w:t>
            </w:r>
          </w:p>
        </w:tc>
        <w:tc>
          <w:tcPr>
            <w:tcW w:w="5280" w:type="dxa"/>
            <w:tcBorders>
              <w:top w:val="nil"/>
              <w:left w:val="nil"/>
              <w:bottom w:val="single" w:sz="4" w:space="0" w:color="000000"/>
              <w:right w:val="single" w:sz="4" w:space="0" w:color="000000"/>
            </w:tcBorders>
            <w:shd w:val="clear" w:color="auto" w:fill="auto"/>
          </w:tcPr>
          <w:p w14:paraId="0000015F" w14:textId="77777777" w:rsidR="00294ABB" w:rsidRDefault="00420BFB" w:rsidP="00835B56">
            <w:pPr>
              <w:spacing w:before="60" w:after="60"/>
              <w:rPr>
                <w:color w:val="000000"/>
                <w:sz w:val="18"/>
                <w:szCs w:val="18"/>
              </w:rPr>
            </w:pPr>
            <w:r>
              <w:rPr>
                <w:color w:val="000000"/>
                <w:sz w:val="18"/>
                <w:szCs w:val="18"/>
              </w:rPr>
              <w:t>Related services</w:t>
            </w:r>
          </w:p>
        </w:tc>
      </w:tr>
      <w:tr w:rsidR="00294ABB" w14:paraId="028CAD34" w14:textId="77777777" w:rsidTr="00835B56">
        <w:trPr>
          <w:trHeight w:val="290"/>
          <w:jc w:val="center"/>
        </w:trPr>
        <w:tc>
          <w:tcPr>
            <w:tcW w:w="1961" w:type="dxa"/>
            <w:tcBorders>
              <w:top w:val="nil"/>
              <w:left w:val="single" w:sz="4" w:space="0" w:color="000000"/>
              <w:bottom w:val="single" w:sz="4" w:space="0" w:color="000000"/>
              <w:right w:val="single" w:sz="4" w:space="0" w:color="000000"/>
            </w:tcBorders>
            <w:shd w:val="clear" w:color="auto" w:fill="auto"/>
            <w:vAlign w:val="bottom"/>
          </w:tcPr>
          <w:p w14:paraId="00000160" w14:textId="77777777" w:rsidR="00294ABB" w:rsidRDefault="00420BFB" w:rsidP="00835B56">
            <w:pPr>
              <w:spacing w:before="60" w:after="60"/>
              <w:rPr>
                <w:color w:val="000000"/>
                <w:sz w:val="18"/>
                <w:szCs w:val="18"/>
              </w:rPr>
            </w:pPr>
            <w:r>
              <w:rPr>
                <w:color w:val="000000"/>
                <w:sz w:val="18"/>
                <w:szCs w:val="18"/>
              </w:rPr>
              <w:t> </w:t>
            </w:r>
          </w:p>
        </w:tc>
        <w:tc>
          <w:tcPr>
            <w:tcW w:w="1095" w:type="dxa"/>
            <w:tcBorders>
              <w:top w:val="nil"/>
              <w:left w:val="nil"/>
              <w:bottom w:val="single" w:sz="4" w:space="0" w:color="000000"/>
              <w:right w:val="single" w:sz="4" w:space="0" w:color="000000"/>
            </w:tcBorders>
            <w:shd w:val="clear" w:color="auto" w:fill="auto"/>
            <w:tcMar>
              <w:left w:w="57" w:type="dxa"/>
              <w:right w:w="57" w:type="dxa"/>
            </w:tcMar>
          </w:tcPr>
          <w:p w14:paraId="00000161" w14:textId="77777777" w:rsidR="00294ABB" w:rsidRDefault="00420BFB" w:rsidP="00835B56">
            <w:pPr>
              <w:spacing w:before="60" w:after="60"/>
              <w:rPr>
                <w:color w:val="000000"/>
                <w:sz w:val="18"/>
                <w:szCs w:val="18"/>
              </w:rPr>
            </w:pPr>
            <w:r>
              <w:rPr>
                <w:color w:val="000000"/>
                <w:sz w:val="18"/>
                <w:szCs w:val="18"/>
              </w:rPr>
              <w:t>1.A.b.11.2.</w:t>
            </w:r>
          </w:p>
        </w:tc>
        <w:tc>
          <w:tcPr>
            <w:tcW w:w="875" w:type="dxa"/>
            <w:tcBorders>
              <w:top w:val="nil"/>
              <w:left w:val="nil"/>
              <w:bottom w:val="single" w:sz="4" w:space="0" w:color="000000"/>
              <w:right w:val="single" w:sz="4" w:space="0" w:color="000000"/>
            </w:tcBorders>
            <w:shd w:val="clear" w:color="auto" w:fill="auto"/>
            <w:tcMar>
              <w:left w:w="57" w:type="dxa"/>
              <w:right w:w="57" w:type="dxa"/>
            </w:tcMar>
          </w:tcPr>
          <w:p w14:paraId="00000162" w14:textId="77777777" w:rsidR="00294ABB" w:rsidRDefault="00420BFB" w:rsidP="00835B56">
            <w:pPr>
              <w:spacing w:before="60" w:after="60"/>
              <w:rPr>
                <w:color w:val="000000"/>
                <w:sz w:val="18"/>
                <w:szCs w:val="18"/>
              </w:rPr>
            </w:pPr>
            <w:r>
              <w:rPr>
                <w:color w:val="000000"/>
                <w:sz w:val="18"/>
                <w:szCs w:val="18"/>
              </w:rPr>
              <w:t>11.2.3</w:t>
            </w:r>
          </w:p>
        </w:tc>
        <w:tc>
          <w:tcPr>
            <w:tcW w:w="5280" w:type="dxa"/>
            <w:tcBorders>
              <w:top w:val="nil"/>
              <w:left w:val="nil"/>
              <w:bottom w:val="single" w:sz="4" w:space="0" w:color="000000"/>
              <w:right w:val="single" w:sz="4" w:space="0" w:color="000000"/>
            </w:tcBorders>
            <w:shd w:val="clear" w:color="auto" w:fill="auto"/>
          </w:tcPr>
          <w:p w14:paraId="00000163" w14:textId="77777777" w:rsidR="00294ABB" w:rsidRDefault="00420BFB" w:rsidP="00835B56">
            <w:pPr>
              <w:spacing w:before="60" w:after="60"/>
              <w:rPr>
                <w:color w:val="000000"/>
                <w:sz w:val="18"/>
                <w:szCs w:val="18"/>
              </w:rPr>
            </w:pPr>
            <w:r>
              <w:rPr>
                <w:color w:val="000000"/>
                <w:sz w:val="18"/>
                <w:szCs w:val="18"/>
              </w:rPr>
              <w:t>Heritage and recreational services</w:t>
            </w:r>
          </w:p>
        </w:tc>
      </w:tr>
      <w:tr w:rsidR="00294ABB" w14:paraId="69DD59E9" w14:textId="77777777" w:rsidTr="00835B56">
        <w:trPr>
          <w:trHeight w:val="285"/>
          <w:jc w:val="center"/>
        </w:trPr>
        <w:tc>
          <w:tcPr>
            <w:tcW w:w="1961" w:type="dxa"/>
            <w:tcBorders>
              <w:top w:val="nil"/>
              <w:left w:val="single" w:sz="4" w:space="0" w:color="000000"/>
              <w:bottom w:val="single" w:sz="4" w:space="0" w:color="000000"/>
              <w:right w:val="single" w:sz="4" w:space="0" w:color="000000"/>
            </w:tcBorders>
            <w:shd w:val="clear" w:color="auto" w:fill="auto"/>
            <w:vAlign w:val="bottom"/>
          </w:tcPr>
          <w:p w14:paraId="00000164" w14:textId="77777777" w:rsidR="00294ABB" w:rsidRDefault="00420BFB" w:rsidP="00835B56">
            <w:pPr>
              <w:spacing w:before="60" w:after="60"/>
              <w:rPr>
                <w:color w:val="000000"/>
                <w:sz w:val="18"/>
                <w:szCs w:val="18"/>
              </w:rPr>
            </w:pPr>
            <w:r>
              <w:rPr>
                <w:color w:val="000000"/>
                <w:sz w:val="18"/>
                <w:szCs w:val="18"/>
              </w:rPr>
              <w:t>Equipment and</w:t>
            </w:r>
          </w:p>
          <w:p w14:paraId="00000165" w14:textId="77777777" w:rsidR="00294ABB" w:rsidRDefault="00420BFB" w:rsidP="00835B56">
            <w:pPr>
              <w:spacing w:before="60" w:after="60"/>
              <w:rPr>
                <w:color w:val="000000"/>
                <w:sz w:val="18"/>
                <w:szCs w:val="18"/>
              </w:rPr>
            </w:pPr>
            <w:r>
              <w:rPr>
                <w:color w:val="000000"/>
                <w:sz w:val="18"/>
                <w:szCs w:val="18"/>
              </w:rPr>
              <w:t>supporting materials</w:t>
            </w:r>
          </w:p>
        </w:tc>
        <w:tc>
          <w:tcPr>
            <w:tcW w:w="1095" w:type="dxa"/>
            <w:tcBorders>
              <w:top w:val="nil"/>
              <w:left w:val="nil"/>
              <w:bottom w:val="single" w:sz="4" w:space="0" w:color="000000"/>
              <w:right w:val="single" w:sz="4" w:space="0" w:color="000000"/>
            </w:tcBorders>
            <w:shd w:val="clear" w:color="auto" w:fill="auto"/>
            <w:tcMar>
              <w:left w:w="57" w:type="dxa"/>
              <w:right w:w="57" w:type="dxa"/>
            </w:tcMar>
          </w:tcPr>
          <w:p w14:paraId="00000166" w14:textId="577583CB" w:rsidR="00294ABB" w:rsidRDefault="00420BFB" w:rsidP="00835B56">
            <w:pPr>
              <w:spacing w:before="60" w:after="60"/>
              <w:rPr>
                <w:color w:val="000000"/>
                <w:sz w:val="18"/>
                <w:szCs w:val="18"/>
              </w:rPr>
            </w:pPr>
            <w:r>
              <w:rPr>
                <w:color w:val="000000"/>
                <w:sz w:val="18"/>
                <w:szCs w:val="18"/>
              </w:rPr>
              <w:t>1.A.b.8.</w:t>
            </w:r>
          </w:p>
        </w:tc>
        <w:tc>
          <w:tcPr>
            <w:tcW w:w="875" w:type="dxa"/>
            <w:tcBorders>
              <w:top w:val="nil"/>
              <w:left w:val="nil"/>
              <w:bottom w:val="single" w:sz="4" w:space="0" w:color="000000"/>
              <w:right w:val="single" w:sz="4" w:space="0" w:color="000000"/>
            </w:tcBorders>
            <w:shd w:val="clear" w:color="auto" w:fill="auto"/>
            <w:tcMar>
              <w:left w:w="57" w:type="dxa"/>
              <w:right w:w="57" w:type="dxa"/>
            </w:tcMar>
          </w:tcPr>
          <w:p w14:paraId="00000167" w14:textId="77777777" w:rsidR="00294ABB" w:rsidRDefault="00420BFB" w:rsidP="00835B56">
            <w:pPr>
              <w:spacing w:before="60" w:after="60"/>
              <w:rPr>
                <w:color w:val="000000"/>
                <w:sz w:val="18"/>
                <w:szCs w:val="18"/>
              </w:rPr>
            </w:pPr>
            <w:r>
              <w:rPr>
                <w:color w:val="000000"/>
                <w:sz w:val="18"/>
                <w:szCs w:val="18"/>
              </w:rPr>
              <w:t>8.3</w:t>
            </w:r>
          </w:p>
        </w:tc>
        <w:tc>
          <w:tcPr>
            <w:tcW w:w="5280" w:type="dxa"/>
            <w:tcBorders>
              <w:top w:val="nil"/>
              <w:left w:val="nil"/>
              <w:bottom w:val="single" w:sz="4" w:space="0" w:color="000000"/>
              <w:right w:val="single" w:sz="4" w:space="0" w:color="000000"/>
            </w:tcBorders>
            <w:shd w:val="clear" w:color="auto" w:fill="auto"/>
          </w:tcPr>
          <w:p w14:paraId="00000168" w14:textId="77777777" w:rsidR="00294ABB" w:rsidRDefault="00420BFB" w:rsidP="00835B56">
            <w:pPr>
              <w:spacing w:before="60" w:after="60"/>
              <w:rPr>
                <w:color w:val="000000"/>
                <w:sz w:val="18"/>
                <w:szCs w:val="18"/>
              </w:rPr>
            </w:pPr>
            <w:r>
              <w:rPr>
                <w:color w:val="000000"/>
                <w:sz w:val="18"/>
                <w:szCs w:val="18"/>
              </w:rPr>
              <w:t>Licenses to reproduce and/or distribute computer software</w:t>
            </w:r>
          </w:p>
        </w:tc>
      </w:tr>
      <w:tr w:rsidR="00294ABB" w14:paraId="6BCF3E6C" w14:textId="77777777" w:rsidTr="00835B56">
        <w:trPr>
          <w:trHeight w:val="290"/>
          <w:jc w:val="center"/>
        </w:trPr>
        <w:tc>
          <w:tcPr>
            <w:tcW w:w="1961" w:type="dxa"/>
            <w:tcBorders>
              <w:top w:val="nil"/>
              <w:left w:val="single" w:sz="4" w:space="0" w:color="000000"/>
              <w:bottom w:val="single" w:sz="4" w:space="0" w:color="000000"/>
              <w:right w:val="single" w:sz="4" w:space="0" w:color="000000"/>
            </w:tcBorders>
            <w:shd w:val="clear" w:color="auto" w:fill="auto"/>
            <w:vAlign w:val="bottom"/>
          </w:tcPr>
          <w:p w14:paraId="00000169" w14:textId="77777777" w:rsidR="00294ABB" w:rsidRDefault="00420BFB" w:rsidP="00835B56">
            <w:pPr>
              <w:spacing w:before="60" w:after="60"/>
              <w:rPr>
                <w:color w:val="000000"/>
                <w:sz w:val="18"/>
                <w:szCs w:val="18"/>
              </w:rPr>
            </w:pPr>
            <w:r>
              <w:rPr>
                <w:color w:val="000000"/>
                <w:sz w:val="18"/>
                <w:szCs w:val="18"/>
              </w:rPr>
              <w:t> </w:t>
            </w:r>
          </w:p>
        </w:tc>
        <w:tc>
          <w:tcPr>
            <w:tcW w:w="1095" w:type="dxa"/>
            <w:tcBorders>
              <w:top w:val="nil"/>
              <w:left w:val="nil"/>
              <w:bottom w:val="single" w:sz="4" w:space="0" w:color="000000"/>
              <w:right w:val="single" w:sz="4" w:space="0" w:color="000000"/>
            </w:tcBorders>
            <w:shd w:val="clear" w:color="auto" w:fill="auto"/>
            <w:tcMar>
              <w:left w:w="57" w:type="dxa"/>
              <w:right w:w="57" w:type="dxa"/>
            </w:tcMar>
          </w:tcPr>
          <w:p w14:paraId="0000016A" w14:textId="77777777" w:rsidR="00294ABB" w:rsidRDefault="00420BFB" w:rsidP="00835B56">
            <w:pPr>
              <w:spacing w:before="60" w:after="60"/>
              <w:rPr>
                <w:color w:val="000000"/>
                <w:sz w:val="18"/>
                <w:szCs w:val="18"/>
              </w:rPr>
            </w:pPr>
            <w:r>
              <w:rPr>
                <w:color w:val="000000"/>
                <w:sz w:val="18"/>
                <w:szCs w:val="18"/>
              </w:rPr>
              <w:t>1.A.b.9.2</w:t>
            </w:r>
          </w:p>
        </w:tc>
        <w:tc>
          <w:tcPr>
            <w:tcW w:w="875" w:type="dxa"/>
            <w:tcBorders>
              <w:top w:val="nil"/>
              <w:left w:val="nil"/>
              <w:bottom w:val="single" w:sz="4" w:space="0" w:color="000000"/>
              <w:right w:val="single" w:sz="4" w:space="0" w:color="000000"/>
            </w:tcBorders>
            <w:shd w:val="clear" w:color="auto" w:fill="auto"/>
            <w:tcMar>
              <w:left w:w="57" w:type="dxa"/>
              <w:right w:w="57" w:type="dxa"/>
            </w:tcMar>
          </w:tcPr>
          <w:p w14:paraId="0000016B" w14:textId="77777777" w:rsidR="00294ABB" w:rsidRDefault="00420BFB" w:rsidP="00835B56">
            <w:pPr>
              <w:spacing w:before="60" w:after="60"/>
              <w:rPr>
                <w:color w:val="000000"/>
                <w:sz w:val="18"/>
                <w:szCs w:val="18"/>
              </w:rPr>
            </w:pPr>
            <w:r>
              <w:rPr>
                <w:color w:val="000000"/>
                <w:sz w:val="18"/>
                <w:szCs w:val="18"/>
              </w:rPr>
              <w:t>9.2.1</w:t>
            </w:r>
          </w:p>
        </w:tc>
        <w:tc>
          <w:tcPr>
            <w:tcW w:w="5280" w:type="dxa"/>
            <w:tcBorders>
              <w:top w:val="nil"/>
              <w:left w:val="nil"/>
              <w:bottom w:val="single" w:sz="4" w:space="0" w:color="000000"/>
              <w:right w:val="single" w:sz="4" w:space="0" w:color="000000"/>
            </w:tcBorders>
            <w:shd w:val="clear" w:color="auto" w:fill="auto"/>
          </w:tcPr>
          <w:p w14:paraId="0000016C" w14:textId="77777777" w:rsidR="00294ABB" w:rsidRDefault="00420BFB" w:rsidP="00835B56">
            <w:pPr>
              <w:spacing w:before="60" w:after="60"/>
              <w:rPr>
                <w:color w:val="000000"/>
                <w:sz w:val="18"/>
                <w:szCs w:val="18"/>
              </w:rPr>
            </w:pPr>
            <w:r>
              <w:rPr>
                <w:color w:val="000000"/>
                <w:sz w:val="18"/>
                <w:szCs w:val="18"/>
              </w:rPr>
              <w:t>Computer services</w:t>
            </w:r>
          </w:p>
        </w:tc>
      </w:tr>
      <w:tr w:rsidR="00294ABB" w14:paraId="089AB2F8" w14:textId="77777777" w:rsidTr="00835B56">
        <w:trPr>
          <w:trHeight w:val="290"/>
          <w:jc w:val="center"/>
        </w:trPr>
        <w:tc>
          <w:tcPr>
            <w:tcW w:w="1961" w:type="dxa"/>
            <w:tcBorders>
              <w:top w:val="nil"/>
              <w:left w:val="single" w:sz="4" w:space="0" w:color="000000"/>
              <w:bottom w:val="single" w:sz="4" w:space="0" w:color="000000"/>
              <w:right w:val="single" w:sz="4" w:space="0" w:color="000000"/>
            </w:tcBorders>
            <w:shd w:val="clear" w:color="auto" w:fill="auto"/>
            <w:vAlign w:val="bottom"/>
          </w:tcPr>
          <w:p w14:paraId="0000016D" w14:textId="77777777" w:rsidR="00294ABB" w:rsidRDefault="00420BFB" w:rsidP="00835B56">
            <w:pPr>
              <w:spacing w:before="60" w:after="60"/>
              <w:rPr>
                <w:color w:val="000000"/>
                <w:sz w:val="18"/>
                <w:szCs w:val="18"/>
              </w:rPr>
            </w:pPr>
            <w:r>
              <w:rPr>
                <w:color w:val="000000"/>
                <w:sz w:val="18"/>
                <w:szCs w:val="18"/>
              </w:rPr>
              <w:t> </w:t>
            </w:r>
          </w:p>
        </w:tc>
        <w:tc>
          <w:tcPr>
            <w:tcW w:w="1095" w:type="dxa"/>
            <w:tcBorders>
              <w:top w:val="nil"/>
              <w:left w:val="nil"/>
              <w:bottom w:val="single" w:sz="4" w:space="0" w:color="000000"/>
              <w:right w:val="single" w:sz="4" w:space="0" w:color="000000"/>
            </w:tcBorders>
            <w:shd w:val="clear" w:color="auto" w:fill="auto"/>
            <w:tcMar>
              <w:left w:w="57" w:type="dxa"/>
              <w:right w:w="57" w:type="dxa"/>
            </w:tcMar>
          </w:tcPr>
          <w:p w14:paraId="0000016E" w14:textId="77777777" w:rsidR="00294ABB" w:rsidRDefault="00420BFB" w:rsidP="00835B56">
            <w:pPr>
              <w:spacing w:before="60" w:after="60"/>
              <w:rPr>
                <w:color w:val="000000"/>
                <w:sz w:val="18"/>
                <w:szCs w:val="18"/>
              </w:rPr>
            </w:pPr>
            <w:r>
              <w:rPr>
                <w:color w:val="000000"/>
                <w:sz w:val="18"/>
                <w:szCs w:val="18"/>
              </w:rPr>
              <w:t>1.A.b.9.2</w:t>
            </w:r>
          </w:p>
        </w:tc>
        <w:tc>
          <w:tcPr>
            <w:tcW w:w="875" w:type="dxa"/>
            <w:tcBorders>
              <w:top w:val="nil"/>
              <w:left w:val="nil"/>
              <w:bottom w:val="single" w:sz="4" w:space="0" w:color="000000"/>
              <w:right w:val="single" w:sz="4" w:space="0" w:color="000000"/>
            </w:tcBorders>
            <w:shd w:val="clear" w:color="auto" w:fill="auto"/>
            <w:tcMar>
              <w:left w:w="57" w:type="dxa"/>
              <w:right w:w="57" w:type="dxa"/>
            </w:tcMar>
          </w:tcPr>
          <w:p w14:paraId="0000016F" w14:textId="77777777" w:rsidR="00294ABB" w:rsidRDefault="00420BFB" w:rsidP="00835B56">
            <w:pPr>
              <w:spacing w:before="60" w:after="60"/>
              <w:rPr>
                <w:color w:val="000000"/>
                <w:sz w:val="18"/>
                <w:szCs w:val="18"/>
              </w:rPr>
            </w:pPr>
            <w:r>
              <w:rPr>
                <w:color w:val="000000"/>
                <w:sz w:val="18"/>
                <w:szCs w:val="18"/>
              </w:rPr>
              <w:t>9.2.2</w:t>
            </w:r>
          </w:p>
        </w:tc>
        <w:tc>
          <w:tcPr>
            <w:tcW w:w="5280" w:type="dxa"/>
            <w:tcBorders>
              <w:top w:val="nil"/>
              <w:left w:val="nil"/>
              <w:bottom w:val="single" w:sz="4" w:space="0" w:color="000000"/>
              <w:right w:val="single" w:sz="4" w:space="0" w:color="000000"/>
            </w:tcBorders>
            <w:shd w:val="clear" w:color="auto" w:fill="auto"/>
          </w:tcPr>
          <w:p w14:paraId="00000170" w14:textId="77777777" w:rsidR="00294ABB" w:rsidRDefault="00420BFB" w:rsidP="00835B56">
            <w:pPr>
              <w:spacing w:before="60" w:after="60"/>
              <w:rPr>
                <w:color w:val="000000"/>
                <w:sz w:val="18"/>
                <w:szCs w:val="18"/>
              </w:rPr>
            </w:pPr>
            <w:r>
              <w:rPr>
                <w:color w:val="000000"/>
                <w:sz w:val="18"/>
                <w:szCs w:val="18"/>
              </w:rPr>
              <w:t>Other computer services</w:t>
            </w:r>
          </w:p>
        </w:tc>
      </w:tr>
      <w:tr w:rsidR="00294ABB" w14:paraId="31D07FC7" w14:textId="77777777" w:rsidTr="00835B56">
        <w:trPr>
          <w:trHeight w:val="290"/>
          <w:jc w:val="center"/>
        </w:trPr>
        <w:tc>
          <w:tcPr>
            <w:tcW w:w="1961" w:type="dxa"/>
            <w:tcBorders>
              <w:top w:val="nil"/>
              <w:left w:val="single" w:sz="4" w:space="0" w:color="000000"/>
              <w:bottom w:val="single" w:sz="4" w:space="0" w:color="000000"/>
              <w:right w:val="single" w:sz="4" w:space="0" w:color="000000"/>
            </w:tcBorders>
            <w:shd w:val="clear" w:color="auto" w:fill="auto"/>
            <w:vAlign w:val="bottom"/>
          </w:tcPr>
          <w:p w14:paraId="00000171" w14:textId="77777777" w:rsidR="00294ABB" w:rsidRDefault="00420BFB" w:rsidP="00835B56">
            <w:pPr>
              <w:spacing w:before="60" w:after="60"/>
              <w:rPr>
                <w:color w:val="000000"/>
                <w:sz w:val="18"/>
                <w:szCs w:val="18"/>
              </w:rPr>
            </w:pPr>
            <w:r>
              <w:rPr>
                <w:color w:val="000000"/>
                <w:sz w:val="18"/>
                <w:szCs w:val="18"/>
              </w:rPr>
              <w:t>Related cultural</w:t>
            </w:r>
          </w:p>
          <w:p w14:paraId="00000172" w14:textId="524DDB9C" w:rsidR="00294ABB" w:rsidRDefault="00420BFB" w:rsidP="00835B56">
            <w:pPr>
              <w:spacing w:before="60" w:after="60"/>
              <w:rPr>
                <w:color w:val="000000"/>
                <w:sz w:val="18"/>
                <w:szCs w:val="18"/>
              </w:rPr>
            </w:pPr>
            <w:r>
              <w:rPr>
                <w:color w:val="000000"/>
                <w:sz w:val="18"/>
                <w:szCs w:val="18"/>
              </w:rPr>
              <w:t xml:space="preserve">services &amp; </w:t>
            </w:r>
            <w:r w:rsidR="004516D2">
              <w:rPr>
                <w:color w:val="000000"/>
                <w:sz w:val="18"/>
                <w:szCs w:val="18"/>
              </w:rPr>
              <w:t>t</w:t>
            </w:r>
            <w:r>
              <w:rPr>
                <w:color w:val="000000"/>
                <w:sz w:val="18"/>
                <w:szCs w:val="18"/>
              </w:rPr>
              <w:t>ourism</w:t>
            </w:r>
          </w:p>
        </w:tc>
        <w:tc>
          <w:tcPr>
            <w:tcW w:w="1095" w:type="dxa"/>
            <w:tcBorders>
              <w:top w:val="nil"/>
              <w:left w:val="nil"/>
              <w:bottom w:val="single" w:sz="4" w:space="0" w:color="000000"/>
              <w:right w:val="single" w:sz="4" w:space="0" w:color="000000"/>
            </w:tcBorders>
            <w:shd w:val="clear" w:color="auto" w:fill="auto"/>
            <w:tcMar>
              <w:left w:w="57" w:type="dxa"/>
              <w:right w:w="57" w:type="dxa"/>
            </w:tcMar>
          </w:tcPr>
          <w:p w14:paraId="00000173" w14:textId="77777777" w:rsidR="00294ABB" w:rsidRDefault="00420BFB" w:rsidP="00835B56">
            <w:pPr>
              <w:spacing w:before="60" w:after="60"/>
              <w:rPr>
                <w:color w:val="000000"/>
                <w:sz w:val="18"/>
                <w:szCs w:val="18"/>
              </w:rPr>
            </w:pPr>
            <w:r>
              <w:rPr>
                <w:color w:val="000000"/>
                <w:sz w:val="18"/>
                <w:szCs w:val="18"/>
              </w:rPr>
              <w:t>1.A.b.4.2.3</w:t>
            </w:r>
          </w:p>
        </w:tc>
        <w:tc>
          <w:tcPr>
            <w:tcW w:w="875" w:type="dxa"/>
            <w:tcBorders>
              <w:top w:val="nil"/>
              <w:left w:val="nil"/>
              <w:bottom w:val="single" w:sz="4" w:space="0" w:color="000000"/>
              <w:right w:val="single" w:sz="4" w:space="0" w:color="000000"/>
            </w:tcBorders>
            <w:shd w:val="clear" w:color="auto" w:fill="auto"/>
            <w:tcMar>
              <w:left w:w="57" w:type="dxa"/>
              <w:right w:w="57" w:type="dxa"/>
            </w:tcMar>
          </w:tcPr>
          <w:p w14:paraId="00000174" w14:textId="77777777" w:rsidR="00294ABB" w:rsidRDefault="00420BFB" w:rsidP="00835B56">
            <w:pPr>
              <w:spacing w:before="60" w:after="60"/>
              <w:rPr>
                <w:color w:val="000000"/>
                <w:sz w:val="18"/>
                <w:szCs w:val="18"/>
              </w:rPr>
            </w:pPr>
            <w:r>
              <w:rPr>
                <w:color w:val="000000"/>
                <w:sz w:val="18"/>
                <w:szCs w:val="18"/>
              </w:rPr>
              <w:t>4.2.3.</w:t>
            </w:r>
          </w:p>
        </w:tc>
        <w:tc>
          <w:tcPr>
            <w:tcW w:w="5280" w:type="dxa"/>
            <w:tcBorders>
              <w:top w:val="nil"/>
              <w:left w:val="nil"/>
              <w:bottom w:val="single" w:sz="4" w:space="0" w:color="000000"/>
              <w:right w:val="single" w:sz="4" w:space="0" w:color="000000"/>
            </w:tcBorders>
            <w:shd w:val="clear" w:color="auto" w:fill="auto"/>
          </w:tcPr>
          <w:p w14:paraId="00000175" w14:textId="77777777" w:rsidR="00294ABB" w:rsidRDefault="00420BFB" w:rsidP="00835B56">
            <w:pPr>
              <w:spacing w:before="60" w:after="60"/>
              <w:rPr>
                <w:color w:val="000000"/>
                <w:sz w:val="18"/>
                <w:szCs w:val="18"/>
              </w:rPr>
            </w:pPr>
            <w:r>
              <w:rPr>
                <w:color w:val="000000"/>
                <w:sz w:val="18"/>
                <w:szCs w:val="18"/>
              </w:rPr>
              <w:t>Travel – Other personal</w:t>
            </w:r>
          </w:p>
        </w:tc>
      </w:tr>
    </w:tbl>
    <w:p w14:paraId="00000176" w14:textId="59281C11" w:rsidR="00294ABB" w:rsidRPr="00835B56" w:rsidRDefault="00420BFB" w:rsidP="00835B56">
      <w:pPr>
        <w:spacing w:before="120" w:line="259" w:lineRule="auto"/>
        <w:rPr>
          <w:iCs/>
        </w:rPr>
      </w:pPr>
      <w:r w:rsidRPr="00835B56">
        <w:rPr>
          <w:iCs/>
        </w:rPr>
        <w:t>Source: UNESCO, 2009: 39</w:t>
      </w:r>
    </w:p>
    <w:p w14:paraId="00000178" w14:textId="12848FBB" w:rsidR="00294ABB" w:rsidRDefault="00420BFB" w:rsidP="00835B56">
      <w:pPr>
        <w:spacing w:line="259" w:lineRule="auto"/>
        <w:rPr>
          <w:sz w:val="22"/>
          <w:szCs w:val="22"/>
        </w:rPr>
      </w:pPr>
      <w:r>
        <w:rPr>
          <w:sz w:val="22"/>
          <w:szCs w:val="22"/>
        </w:rPr>
        <w:t xml:space="preserve">The </w:t>
      </w:r>
      <w:bookmarkStart w:id="24" w:name="_Hlk92624193"/>
      <w:r>
        <w:rPr>
          <w:sz w:val="22"/>
          <w:szCs w:val="22"/>
        </w:rPr>
        <w:t>World Trade Organization (WTO</w:t>
      </w:r>
      <w:bookmarkEnd w:id="24"/>
      <w:r>
        <w:rPr>
          <w:sz w:val="22"/>
          <w:szCs w:val="22"/>
        </w:rPr>
        <w:t>) distinguishes four modes of cross-border supply of services: Mode 1 is cross-border supply of the service itself (with consumer and producer remaining in their respective countries), Mode 2 is consumption abroad, Mode 3 commercial presence</w:t>
      </w:r>
      <w:r w:rsidR="004516D2">
        <w:rPr>
          <w:sz w:val="22"/>
          <w:szCs w:val="22"/>
        </w:rPr>
        <w:t>,</w:t>
      </w:r>
      <w:r>
        <w:rPr>
          <w:sz w:val="22"/>
          <w:szCs w:val="22"/>
        </w:rPr>
        <w:t xml:space="preserve"> and Mode 4 temporary movement of persons.</w:t>
      </w:r>
      <w:r>
        <w:rPr>
          <w:sz w:val="22"/>
          <w:szCs w:val="22"/>
          <w:vertAlign w:val="superscript"/>
        </w:rPr>
        <w:footnoteReference w:id="5"/>
      </w:r>
      <w:r w:rsidR="001B10E6">
        <w:rPr>
          <w:sz w:val="22"/>
          <w:szCs w:val="22"/>
        </w:rPr>
        <w:t xml:space="preserve"> </w:t>
      </w:r>
      <w:r>
        <w:rPr>
          <w:sz w:val="22"/>
          <w:szCs w:val="22"/>
        </w:rPr>
        <w:t>The balance of payments services trade data largely captures Mode 1 supply of services and part of Modes 2 and 4. It does not capture Mode 3 commercial presence which is considered significant and could also be relevant for certain categories of cultural services trade.</w:t>
      </w:r>
      <w:r w:rsidR="001B10E6">
        <w:rPr>
          <w:sz w:val="22"/>
          <w:szCs w:val="22"/>
        </w:rPr>
        <w:t xml:space="preserve"> </w:t>
      </w:r>
      <w:r>
        <w:rPr>
          <w:sz w:val="22"/>
          <w:szCs w:val="22"/>
        </w:rPr>
        <w:t xml:space="preserve">Foreign affiliates data can assist in this regard but is not yet extensively collected in developing economies. Foreign direct investment (FDI) data is sometimes used as an indicator of Mode 3 cross-border supply of </w:t>
      </w:r>
      <w:r>
        <w:rPr>
          <w:sz w:val="22"/>
          <w:szCs w:val="22"/>
        </w:rPr>
        <w:lastRenderedPageBreak/>
        <w:t>services. An interesting area for future research would thus be to investigate South Africa’s inward and outward FDI in sub-categories related to cultural services.</w:t>
      </w:r>
    </w:p>
    <w:p w14:paraId="00000179" w14:textId="1A623B7D" w:rsidR="00294ABB" w:rsidRDefault="00420BFB" w:rsidP="00835B56">
      <w:pPr>
        <w:spacing w:line="259" w:lineRule="auto"/>
        <w:rPr>
          <w:sz w:val="22"/>
          <w:szCs w:val="22"/>
        </w:rPr>
      </w:pPr>
      <w:r>
        <w:rPr>
          <w:sz w:val="22"/>
          <w:szCs w:val="22"/>
        </w:rPr>
        <w:t>In any event, as UNESCO (2009) notes, it is difficult to isolate cultural services trade categories precisely from the EBOPS data that is available (Cattaneo and Snowball, 2020: 12).</w:t>
      </w:r>
      <w:r w:rsidR="001B10E6">
        <w:rPr>
          <w:sz w:val="22"/>
          <w:szCs w:val="22"/>
        </w:rPr>
        <w:t xml:space="preserve"> </w:t>
      </w:r>
      <w:r>
        <w:rPr>
          <w:sz w:val="22"/>
          <w:szCs w:val="22"/>
        </w:rPr>
        <w:t xml:space="preserve">However, Table </w:t>
      </w:r>
      <w:r w:rsidR="0058364B">
        <w:rPr>
          <w:sz w:val="22"/>
          <w:szCs w:val="22"/>
        </w:rPr>
        <w:t>3</w:t>
      </w:r>
      <w:r>
        <w:rPr>
          <w:sz w:val="22"/>
          <w:szCs w:val="22"/>
        </w:rPr>
        <w:t xml:space="preserve"> provides a useful guide for data collection purposes.</w:t>
      </w:r>
      <w:r w:rsidR="001B10E6">
        <w:rPr>
          <w:sz w:val="22"/>
          <w:szCs w:val="22"/>
        </w:rPr>
        <w:t xml:space="preserve"> </w:t>
      </w:r>
    </w:p>
    <w:p w14:paraId="0000017A" w14:textId="3D3ACF5D" w:rsidR="00294ABB" w:rsidRDefault="00420BFB" w:rsidP="00835B56">
      <w:pPr>
        <w:spacing w:line="259" w:lineRule="auto"/>
        <w:rPr>
          <w:sz w:val="22"/>
          <w:szCs w:val="22"/>
        </w:rPr>
      </w:pPr>
      <w:r>
        <w:rPr>
          <w:sz w:val="22"/>
          <w:szCs w:val="22"/>
        </w:rPr>
        <w:t>Turning to the sources of data used in this report, the trade data source for cultural goods trade is the International Trade Centre’s Trade Map Database (ITC, 2021).</w:t>
      </w:r>
      <w:r w:rsidR="001B10E6">
        <w:rPr>
          <w:sz w:val="22"/>
          <w:szCs w:val="22"/>
        </w:rPr>
        <w:t xml:space="preserve"> </w:t>
      </w:r>
      <w:r>
        <w:rPr>
          <w:sz w:val="22"/>
          <w:szCs w:val="22"/>
        </w:rPr>
        <w:t>This database is particularly useful for cultural trade research as it allows for own country and product groups to be created.</w:t>
      </w:r>
      <w:r w:rsidR="001B10E6">
        <w:rPr>
          <w:sz w:val="22"/>
          <w:szCs w:val="22"/>
        </w:rPr>
        <w:t xml:space="preserve"> </w:t>
      </w:r>
      <w:r>
        <w:rPr>
          <w:sz w:val="22"/>
          <w:szCs w:val="22"/>
        </w:rPr>
        <w:t>A researcher can create a product group for cultural goods, as defined in the UNESCO FCS, or one for the Visual Arts and Crafts domain alone, for example.</w:t>
      </w:r>
      <w:r w:rsidR="001B10E6">
        <w:rPr>
          <w:sz w:val="22"/>
          <w:szCs w:val="22"/>
        </w:rPr>
        <w:t xml:space="preserve"> </w:t>
      </w:r>
      <w:r>
        <w:rPr>
          <w:sz w:val="22"/>
          <w:szCs w:val="22"/>
        </w:rPr>
        <w:t xml:space="preserve">In addition, country groups are easily created if existing ones do not suffice. </w:t>
      </w:r>
      <w:r w:rsidR="00AA4049">
        <w:rPr>
          <w:sz w:val="22"/>
          <w:szCs w:val="22"/>
        </w:rPr>
        <w:t xml:space="preserve">The </w:t>
      </w:r>
      <w:r>
        <w:rPr>
          <w:sz w:val="22"/>
          <w:szCs w:val="22"/>
        </w:rPr>
        <w:t>Trade Map is freely available to developing economies, with data disaggregated up to the eight-digit HS level.</w:t>
      </w:r>
      <w:r w:rsidR="001B10E6">
        <w:rPr>
          <w:sz w:val="22"/>
          <w:szCs w:val="22"/>
        </w:rPr>
        <w:t xml:space="preserve"> </w:t>
      </w:r>
      <w:r>
        <w:rPr>
          <w:sz w:val="22"/>
          <w:szCs w:val="22"/>
        </w:rPr>
        <w:t>The Trade Map data are originally derived from the UN Comtrade Database.</w:t>
      </w:r>
      <w:r w:rsidR="001B10E6">
        <w:rPr>
          <w:sz w:val="22"/>
          <w:szCs w:val="22"/>
        </w:rPr>
        <w:t xml:space="preserve"> </w:t>
      </w:r>
      <w:r>
        <w:rPr>
          <w:sz w:val="22"/>
          <w:szCs w:val="22"/>
        </w:rPr>
        <w:t>In the present study, the Trade Map data are supplemented where necessary with data procured directly from UN Comtrade (2021).</w:t>
      </w:r>
    </w:p>
    <w:p w14:paraId="0000017B" w14:textId="0E1CE29F" w:rsidR="00294ABB" w:rsidRDefault="00420BFB" w:rsidP="00835B56">
      <w:pPr>
        <w:spacing w:line="259" w:lineRule="auto"/>
        <w:rPr>
          <w:sz w:val="22"/>
          <w:szCs w:val="22"/>
        </w:rPr>
      </w:pPr>
      <w:r>
        <w:rPr>
          <w:sz w:val="22"/>
          <w:szCs w:val="22"/>
        </w:rPr>
        <w:t xml:space="preserve">In the case of South Africa’s cultural services trade, data is not yet available at the level of disaggregation depicted in Table </w:t>
      </w:r>
      <w:r w:rsidR="0058364B">
        <w:rPr>
          <w:sz w:val="22"/>
          <w:szCs w:val="22"/>
        </w:rPr>
        <w:t>3</w:t>
      </w:r>
      <w:r>
        <w:rPr>
          <w:sz w:val="22"/>
          <w:szCs w:val="22"/>
        </w:rPr>
        <w:t xml:space="preserve"> above. However, data from the South African Reserve Bank (SARB) can be obtained for the broad Categories 8, 9 and 11 (Charges for the use of intellectual property n.i.e.; Telecommunications, computer and information services; and Personal, cultural and recreational services respectively). Categories 8 and 9 contain some core cultural services and some services related to equipment and materials (see Table </w:t>
      </w:r>
      <w:r w:rsidR="0058364B">
        <w:rPr>
          <w:sz w:val="22"/>
          <w:szCs w:val="22"/>
        </w:rPr>
        <w:t>3</w:t>
      </w:r>
      <w:r>
        <w:rPr>
          <w:sz w:val="22"/>
          <w:szCs w:val="22"/>
        </w:rPr>
        <w:t>).</w:t>
      </w:r>
      <w:r w:rsidR="001B10E6">
        <w:rPr>
          <w:sz w:val="22"/>
          <w:szCs w:val="22"/>
        </w:rPr>
        <w:t xml:space="preserve"> </w:t>
      </w:r>
      <w:r>
        <w:rPr>
          <w:sz w:val="22"/>
          <w:szCs w:val="22"/>
        </w:rPr>
        <w:t>In addition, SARB data are available for 10.2.2 Advertising and market research services, as well as 10.3.1 Architectural, engineering and other</w:t>
      </w:r>
      <w:r>
        <w:rPr>
          <w:sz w:val="22"/>
          <w:szCs w:val="22"/>
        </w:rPr>
        <w:tab/>
        <w:t>technical services (which contains 10.3.1.1 Architectural services).</w:t>
      </w:r>
      <w:r w:rsidR="001B10E6">
        <w:rPr>
          <w:sz w:val="22"/>
          <w:szCs w:val="22"/>
        </w:rPr>
        <w:t xml:space="preserve"> </w:t>
      </w:r>
      <w:r>
        <w:rPr>
          <w:sz w:val="22"/>
          <w:szCs w:val="22"/>
        </w:rPr>
        <w:t>Category 4.2 (Personal travel services) is also available. Note, however, that Category 4.2 (Personal travel) includes 4.2.1 Health- and 4.2.2 Educational-related travel as well as the sub-category of interest for cultural trade 4.2.3 Other personal travel services.</w:t>
      </w:r>
    </w:p>
    <w:p w14:paraId="0000017C" w14:textId="118A3B1A" w:rsidR="00294ABB" w:rsidRDefault="00420BFB" w:rsidP="00835B56">
      <w:pPr>
        <w:spacing w:line="259" w:lineRule="auto"/>
        <w:rPr>
          <w:sz w:val="22"/>
          <w:szCs w:val="22"/>
        </w:rPr>
      </w:pPr>
      <w:r>
        <w:rPr>
          <w:sz w:val="22"/>
          <w:szCs w:val="22"/>
        </w:rPr>
        <w:t>Interestingly, unlike the SARB Online Database, the ITC-</w:t>
      </w:r>
      <w:r w:rsidR="0058364B">
        <w:rPr>
          <w:sz w:val="22"/>
          <w:szCs w:val="22"/>
        </w:rPr>
        <w:t>UNCTAD-</w:t>
      </w:r>
      <w:r>
        <w:rPr>
          <w:sz w:val="22"/>
          <w:szCs w:val="22"/>
        </w:rPr>
        <w:t>WTO-</w:t>
      </w:r>
      <w:r w:rsidR="0058364B">
        <w:rPr>
          <w:sz w:val="22"/>
          <w:szCs w:val="22"/>
        </w:rPr>
        <w:t xml:space="preserve"> </w:t>
      </w:r>
      <w:r>
        <w:rPr>
          <w:sz w:val="22"/>
          <w:szCs w:val="22"/>
        </w:rPr>
        <w:t>Trade in Services Database has data for South Africa’s trade in two relevant sub-categories of the broad Category 11 (Personal, cultural and recreational services) listed separately.</w:t>
      </w:r>
      <w:r w:rsidR="001B10E6">
        <w:rPr>
          <w:sz w:val="22"/>
          <w:szCs w:val="22"/>
        </w:rPr>
        <w:t xml:space="preserve"> </w:t>
      </w:r>
      <w:r>
        <w:rPr>
          <w:sz w:val="22"/>
          <w:szCs w:val="22"/>
        </w:rPr>
        <w:t>These are 11.1 Audio-visual and related services and 11.2 Other personal, cultural, and recreational services.</w:t>
      </w:r>
      <w:r w:rsidR="001B10E6">
        <w:rPr>
          <w:sz w:val="22"/>
          <w:szCs w:val="22"/>
        </w:rPr>
        <w:t xml:space="preserve"> </w:t>
      </w:r>
      <w:r>
        <w:rPr>
          <w:sz w:val="22"/>
          <w:szCs w:val="22"/>
        </w:rPr>
        <w:t xml:space="preserve">11.1 is a “pure” core cultural services category while 11.2 contains Sub-category 11.2.3 Heritage and recreational services from Table </w:t>
      </w:r>
      <w:r w:rsidR="0058364B">
        <w:rPr>
          <w:sz w:val="22"/>
          <w:szCs w:val="22"/>
        </w:rPr>
        <w:t>3</w:t>
      </w:r>
      <w:r>
        <w:rPr>
          <w:sz w:val="22"/>
          <w:szCs w:val="22"/>
        </w:rPr>
        <w:t>. This provides a useful supplement to the data obtainable directly from the SARB Database.</w:t>
      </w:r>
    </w:p>
    <w:p w14:paraId="0000017E" w14:textId="77777777" w:rsidR="00294ABB" w:rsidRDefault="00420BFB" w:rsidP="00835B56">
      <w:pPr>
        <w:pStyle w:val="Heading2"/>
        <w:spacing w:line="240" w:lineRule="auto"/>
        <w:ind w:left="578" w:hanging="578"/>
      </w:pPr>
      <w:bookmarkStart w:id="25" w:name="_Toc92623039"/>
      <w:r>
        <w:t>Analysing the growth and structure of South Africa’s cultural goods trade and the impact of the COVID-19 pandemic</w:t>
      </w:r>
      <w:bookmarkEnd w:id="25"/>
    </w:p>
    <w:p w14:paraId="0000017F" w14:textId="77777777" w:rsidR="00294ABB" w:rsidRDefault="00294ABB">
      <w:pPr>
        <w:spacing w:after="0"/>
        <w:rPr>
          <w:sz w:val="22"/>
          <w:szCs w:val="22"/>
        </w:rPr>
      </w:pPr>
    </w:p>
    <w:p w14:paraId="00000180" w14:textId="2A7410BB" w:rsidR="00294ABB" w:rsidRDefault="00420BFB" w:rsidP="00835B56">
      <w:pPr>
        <w:spacing w:line="259" w:lineRule="auto"/>
        <w:rPr>
          <w:sz w:val="22"/>
          <w:szCs w:val="22"/>
        </w:rPr>
      </w:pPr>
      <w:r>
        <w:rPr>
          <w:sz w:val="22"/>
          <w:szCs w:val="22"/>
        </w:rPr>
        <w:t>In this report, the growth performance of South Africa’s cultural goods trade in the aggregate is examined using average annual growth rates with a focus on the 2009 to 2020 period, while a more detailed graphical analysis of the impact of the COVID-19 pandemic uses quarterly data from 2017Q1 to 2021Q3.</w:t>
      </w:r>
      <w:r w:rsidR="001B10E6">
        <w:rPr>
          <w:sz w:val="22"/>
          <w:szCs w:val="22"/>
        </w:rPr>
        <w:t xml:space="preserve"> </w:t>
      </w:r>
      <w:r>
        <w:rPr>
          <w:sz w:val="22"/>
          <w:szCs w:val="22"/>
        </w:rPr>
        <w:t>The share of cultural goods trade in total commodity trade is also discussed. Cultural goods trade by domain is then examined graphically, with a comparison between the 2016</w:t>
      </w:r>
      <w:r w:rsidR="004B123F">
        <w:rPr>
          <w:sz w:val="22"/>
          <w:szCs w:val="22"/>
        </w:rPr>
        <w:t>–</w:t>
      </w:r>
      <w:r>
        <w:rPr>
          <w:sz w:val="22"/>
          <w:szCs w:val="22"/>
        </w:rPr>
        <w:t>2018 and 2019</w:t>
      </w:r>
      <w:r w:rsidR="004B123F">
        <w:rPr>
          <w:sz w:val="22"/>
          <w:szCs w:val="22"/>
        </w:rPr>
        <w:t>–</w:t>
      </w:r>
      <w:r>
        <w:rPr>
          <w:sz w:val="22"/>
          <w:szCs w:val="22"/>
        </w:rPr>
        <w:t>2020 periods and a particular focus on the domains most affected by the pandemic.</w:t>
      </w:r>
      <w:r w:rsidR="001B10E6">
        <w:rPr>
          <w:sz w:val="22"/>
          <w:szCs w:val="22"/>
        </w:rPr>
        <w:t xml:space="preserve"> </w:t>
      </w:r>
      <w:r>
        <w:rPr>
          <w:sz w:val="22"/>
          <w:szCs w:val="22"/>
        </w:rPr>
        <w:t>Note that Chapter 5 of the mapping study contains a longer time series perspective on South Africa’s cultural goods trade in the aggregate and by domain, covering the period 2001</w:t>
      </w:r>
      <w:r w:rsidR="004B123F">
        <w:rPr>
          <w:sz w:val="22"/>
          <w:szCs w:val="22"/>
        </w:rPr>
        <w:t>–</w:t>
      </w:r>
      <w:r>
        <w:rPr>
          <w:sz w:val="22"/>
          <w:szCs w:val="22"/>
        </w:rPr>
        <w:t>2020.</w:t>
      </w:r>
    </w:p>
    <w:p w14:paraId="00000181" w14:textId="41B29C84" w:rsidR="00294ABB" w:rsidRDefault="00420BFB" w:rsidP="00835B56">
      <w:pPr>
        <w:spacing w:line="259" w:lineRule="auto"/>
        <w:rPr>
          <w:sz w:val="22"/>
          <w:szCs w:val="22"/>
        </w:rPr>
      </w:pPr>
      <w:r>
        <w:rPr>
          <w:sz w:val="22"/>
          <w:szCs w:val="22"/>
        </w:rPr>
        <w:lastRenderedPageBreak/>
        <w:t>The section in the present report on South Africa’s cultural goods trade in the aggregate and by domain is followed by a share analysis of the origin and destination of South Africa’s cultural goods exports and imports by region for 2019.</w:t>
      </w:r>
      <w:r w:rsidR="001B10E6">
        <w:rPr>
          <w:sz w:val="22"/>
          <w:szCs w:val="22"/>
        </w:rPr>
        <w:t xml:space="preserve"> </w:t>
      </w:r>
      <w:r>
        <w:rPr>
          <w:sz w:val="22"/>
          <w:szCs w:val="22"/>
        </w:rPr>
        <w:t>The results of this analysis are compared to the 2018 regional findings on South Africa’s cultural goods trade reported in Cattaneo and Snowball (2020: 22</w:t>
      </w:r>
      <w:r w:rsidR="004B123F">
        <w:rPr>
          <w:sz w:val="22"/>
          <w:szCs w:val="22"/>
        </w:rPr>
        <w:t>–</w:t>
      </w:r>
      <w:r>
        <w:rPr>
          <w:sz w:val="22"/>
          <w:szCs w:val="22"/>
        </w:rPr>
        <w:t>23).</w:t>
      </w:r>
      <w:r w:rsidR="001B10E6">
        <w:rPr>
          <w:sz w:val="22"/>
          <w:szCs w:val="22"/>
        </w:rPr>
        <w:t xml:space="preserve"> </w:t>
      </w:r>
      <w:r>
        <w:rPr>
          <w:sz w:val="22"/>
          <w:szCs w:val="22"/>
        </w:rPr>
        <w:t xml:space="preserve">The regional perspective in the present chapter is complemented by a detailed share analysis in Chapter 5 of changes in the composition of South Africa’s top twenty </w:t>
      </w:r>
      <w:r>
        <w:rPr>
          <w:i/>
          <w:sz w:val="22"/>
          <w:szCs w:val="22"/>
        </w:rPr>
        <w:t>individual</w:t>
      </w:r>
      <w:r>
        <w:rPr>
          <w:sz w:val="22"/>
          <w:szCs w:val="22"/>
        </w:rPr>
        <w:t xml:space="preserve"> cultural good trading partners over time for selected years since 2001.</w:t>
      </w:r>
    </w:p>
    <w:p w14:paraId="00000182" w14:textId="7C2B51D6" w:rsidR="00294ABB" w:rsidRDefault="00420BFB" w:rsidP="00835B56">
      <w:pPr>
        <w:spacing w:line="259" w:lineRule="auto"/>
        <w:rPr>
          <w:sz w:val="22"/>
          <w:szCs w:val="22"/>
        </w:rPr>
      </w:pPr>
      <w:r>
        <w:rPr>
          <w:sz w:val="22"/>
          <w:szCs w:val="22"/>
        </w:rPr>
        <w:t>Next, the growth and structure of South Africa’s cultural goods trade with two specific regional blocs, USMCA and SADC, are examined in more detail.</w:t>
      </w:r>
      <w:r w:rsidR="001B10E6">
        <w:rPr>
          <w:sz w:val="22"/>
          <w:szCs w:val="22"/>
        </w:rPr>
        <w:t xml:space="preserve"> </w:t>
      </w:r>
      <w:r>
        <w:rPr>
          <w:sz w:val="22"/>
          <w:szCs w:val="22"/>
        </w:rPr>
        <w:t>Trade with USMCA and SADC is graphed separately over time for the period 2001</w:t>
      </w:r>
      <w:r w:rsidR="00B6300F">
        <w:rPr>
          <w:sz w:val="22"/>
          <w:szCs w:val="22"/>
        </w:rPr>
        <w:t>–</w:t>
      </w:r>
      <w:r>
        <w:rPr>
          <w:sz w:val="22"/>
          <w:szCs w:val="22"/>
        </w:rPr>
        <w:t>2020 and trends in the trade balance with each bloc are discussed.</w:t>
      </w:r>
      <w:r w:rsidR="001B10E6">
        <w:rPr>
          <w:sz w:val="22"/>
          <w:szCs w:val="22"/>
        </w:rPr>
        <w:t xml:space="preserve"> </w:t>
      </w:r>
      <w:r>
        <w:rPr>
          <w:sz w:val="22"/>
          <w:szCs w:val="22"/>
        </w:rPr>
        <w:t xml:space="preserve">This is followed by an investigation of trade with each regional bloc by cultural domain for 2019 and 2020, with a focus on the differential impact of the pandemic on bilateral trade in each domain. </w:t>
      </w:r>
    </w:p>
    <w:p w14:paraId="00000183" w14:textId="77777777" w:rsidR="00294ABB" w:rsidRDefault="00420BFB" w:rsidP="00835B56">
      <w:pPr>
        <w:pStyle w:val="Heading2"/>
        <w:ind w:left="578" w:hanging="578"/>
      </w:pPr>
      <w:bookmarkStart w:id="26" w:name="_Toc92623040"/>
      <w:r>
        <w:t>Measuring intra-industry trade in cultural products</w:t>
      </w:r>
      <w:bookmarkEnd w:id="26"/>
    </w:p>
    <w:p w14:paraId="00000184" w14:textId="7BE2BCF0" w:rsidR="00294ABB" w:rsidRDefault="00420BFB" w:rsidP="00D859D0">
      <w:pPr>
        <w:spacing w:line="259" w:lineRule="auto"/>
        <w:rPr>
          <w:sz w:val="22"/>
          <w:szCs w:val="22"/>
        </w:rPr>
      </w:pPr>
      <w:r>
        <w:rPr>
          <w:sz w:val="22"/>
          <w:szCs w:val="22"/>
        </w:rPr>
        <w:t>Intra-industry trade (IIT) refers to trade in products that are classified within the same sub-sector, sector or industry (depending on the level of aggregation of the data), while inter-industry trade refers to trade in products from two different sub-sectors, sectors or industries.</w:t>
      </w:r>
      <w:r>
        <w:rPr>
          <w:sz w:val="22"/>
          <w:szCs w:val="22"/>
          <w:vertAlign w:val="superscript"/>
        </w:rPr>
        <w:footnoteReference w:id="6"/>
      </w:r>
      <w:r w:rsidR="001B10E6">
        <w:rPr>
          <w:sz w:val="22"/>
          <w:szCs w:val="22"/>
        </w:rPr>
        <w:t xml:space="preserve"> </w:t>
      </w:r>
      <w:r>
        <w:rPr>
          <w:sz w:val="22"/>
          <w:szCs w:val="22"/>
        </w:rPr>
        <w:t>Intra-industry specialisation and trade is associated with lower adjustment costs to trade expansion as well as higher-value manufacturing production and trade (Cattaneo and Fryer, 2002).</w:t>
      </w:r>
      <w:r w:rsidR="001B10E6">
        <w:rPr>
          <w:sz w:val="22"/>
          <w:szCs w:val="22"/>
        </w:rPr>
        <w:t xml:space="preserve"> </w:t>
      </w:r>
      <w:r>
        <w:rPr>
          <w:sz w:val="22"/>
          <w:szCs w:val="22"/>
        </w:rPr>
        <w:t>This suggests that promotion of intra-industry specialisation and trade could be a useful component of an industrial strategy for the CCIs for sub-sectors or product categories where scale economies and product differentiation are important.</w:t>
      </w:r>
    </w:p>
    <w:p w14:paraId="00000185" w14:textId="27E88E87" w:rsidR="00294ABB" w:rsidRDefault="00420BFB" w:rsidP="00D859D0">
      <w:pPr>
        <w:spacing w:line="259" w:lineRule="auto"/>
        <w:rPr>
          <w:sz w:val="22"/>
          <w:szCs w:val="22"/>
        </w:rPr>
      </w:pPr>
      <w:r>
        <w:rPr>
          <w:sz w:val="22"/>
          <w:szCs w:val="22"/>
        </w:rPr>
        <w:t>This report investigates IIT between South Africa, the rest of SADC and the USMCA bloc using the trade-weighted Grubel-Lloyd IIT index.</w:t>
      </w:r>
      <w:r w:rsidR="001B10E6">
        <w:rPr>
          <w:sz w:val="22"/>
          <w:szCs w:val="22"/>
        </w:rPr>
        <w:t xml:space="preserve"> </w:t>
      </w:r>
      <w:r>
        <w:rPr>
          <w:sz w:val="22"/>
          <w:szCs w:val="22"/>
        </w:rPr>
        <w:t>This measure is preferable to the simple Grubel-Lloyd index since it considers the relative importance of each sub-sector within the domain or sector under study (UNCTAD and WTO, 2012: 44).</w:t>
      </w:r>
      <w:r w:rsidR="001B10E6">
        <w:rPr>
          <w:sz w:val="22"/>
          <w:szCs w:val="22"/>
        </w:rPr>
        <w:t xml:space="preserve"> </w:t>
      </w:r>
      <w:r>
        <w:rPr>
          <w:sz w:val="22"/>
          <w:szCs w:val="22"/>
        </w:rPr>
        <w:t>This is particularly useful in the case of South Africa’s CCI trade where in some domains just a few sub-sectors dominate trade flows.</w:t>
      </w:r>
    </w:p>
    <w:p w14:paraId="00000186" w14:textId="548D74D2" w:rsidR="00294ABB" w:rsidRDefault="00420BFB" w:rsidP="00D859D0">
      <w:pPr>
        <w:spacing w:line="259" w:lineRule="auto"/>
        <w:rPr>
          <w:sz w:val="22"/>
          <w:szCs w:val="22"/>
        </w:rPr>
      </w:pPr>
      <w:r>
        <w:rPr>
          <w:sz w:val="22"/>
          <w:szCs w:val="22"/>
        </w:rPr>
        <w:t>The IIT index has a value between 0 and 100 percent, where a higher percentage reflects greater two-way (matching) trade in that category. The trade-weighted IIT index for a particular cultural domain is computed by aggregating the IIT indices for each six-digit HS product code with the trade share of that product code within the domain serving as the weighting (Cattaneo and Snowball, 2020: 16).</w:t>
      </w:r>
      <w:r>
        <w:rPr>
          <w:sz w:val="22"/>
          <w:szCs w:val="22"/>
          <w:vertAlign w:val="superscript"/>
        </w:rPr>
        <w:footnoteReference w:id="7"/>
      </w:r>
      <w:r w:rsidR="001B10E6">
        <w:rPr>
          <w:sz w:val="22"/>
          <w:szCs w:val="22"/>
        </w:rPr>
        <w:t xml:space="preserve"> </w:t>
      </w:r>
      <w:r>
        <w:rPr>
          <w:sz w:val="22"/>
          <w:szCs w:val="22"/>
        </w:rPr>
        <w:t>The indices for South Africa’s IIT with the USMCA and SADC are computed for 2019 and compared to those obtained with the EU, BRICS and the rest of Africa for 2018, as well as South Africa’s total IIT.</w:t>
      </w:r>
      <w:r>
        <w:rPr>
          <w:sz w:val="22"/>
          <w:szCs w:val="22"/>
          <w:vertAlign w:val="superscript"/>
        </w:rPr>
        <w:footnoteReference w:id="8"/>
      </w:r>
    </w:p>
    <w:p w14:paraId="00000187" w14:textId="77777777" w:rsidR="00294ABB" w:rsidRDefault="00420BFB" w:rsidP="00835B56">
      <w:pPr>
        <w:pStyle w:val="Heading2"/>
        <w:spacing w:line="240" w:lineRule="auto"/>
        <w:ind w:left="578" w:hanging="578"/>
      </w:pPr>
      <w:bookmarkStart w:id="27" w:name="_Toc92623041"/>
      <w:r>
        <w:t>Measuring cultural goods trade complementarity with selected regional partners</w:t>
      </w:r>
      <w:bookmarkEnd w:id="27"/>
    </w:p>
    <w:p w14:paraId="00000188" w14:textId="77777777" w:rsidR="00294ABB" w:rsidRDefault="00294ABB">
      <w:pPr>
        <w:spacing w:after="0"/>
        <w:rPr>
          <w:sz w:val="22"/>
          <w:szCs w:val="22"/>
        </w:rPr>
      </w:pPr>
    </w:p>
    <w:p w14:paraId="00000189" w14:textId="27FBFA5F" w:rsidR="00294ABB" w:rsidRDefault="00420BFB" w:rsidP="00835B56">
      <w:pPr>
        <w:spacing w:line="259" w:lineRule="auto"/>
        <w:rPr>
          <w:sz w:val="22"/>
          <w:szCs w:val="22"/>
        </w:rPr>
      </w:pPr>
      <w:r>
        <w:rPr>
          <w:sz w:val="22"/>
          <w:szCs w:val="22"/>
        </w:rPr>
        <w:t xml:space="preserve">Trade complementarity indices (TCIs) can be used to assess the potential for trade expansion between two countries or regions by measuring the similarity between the structure of one partner’s exports to the world and the structure of another partner’s imports from the world, </w:t>
      </w:r>
      <w:r>
        <w:rPr>
          <w:sz w:val="22"/>
          <w:szCs w:val="22"/>
        </w:rPr>
        <w:lastRenderedPageBreak/>
        <w:t>and vice versa (Michaely, 1996; UNCTAD and WTO, 2012: 30</w:t>
      </w:r>
      <w:r w:rsidR="00F725C3">
        <w:rPr>
          <w:sz w:val="22"/>
          <w:szCs w:val="22"/>
        </w:rPr>
        <w:t>–</w:t>
      </w:r>
      <w:r>
        <w:rPr>
          <w:sz w:val="22"/>
          <w:szCs w:val="22"/>
        </w:rPr>
        <w:t>31).</w:t>
      </w:r>
      <w:r w:rsidR="001B10E6">
        <w:rPr>
          <w:sz w:val="22"/>
          <w:szCs w:val="22"/>
        </w:rPr>
        <w:t xml:space="preserve"> </w:t>
      </w:r>
      <w:r>
        <w:rPr>
          <w:sz w:val="22"/>
          <w:szCs w:val="22"/>
        </w:rPr>
        <w:t>For each bilateral relationship, two TCIs are therefore computed: one on the export side and one on the import side. The advantage of this measure is that it does not require bilateral trade flows between the partners to be known.</w:t>
      </w:r>
    </w:p>
    <w:p w14:paraId="0000018A" w14:textId="54C34C96" w:rsidR="00294ABB" w:rsidRDefault="00420BFB" w:rsidP="00835B56">
      <w:pPr>
        <w:spacing w:line="259" w:lineRule="auto"/>
        <w:rPr>
          <w:sz w:val="22"/>
          <w:szCs w:val="22"/>
        </w:rPr>
      </w:pPr>
      <w:r>
        <w:rPr>
          <w:sz w:val="22"/>
          <w:szCs w:val="22"/>
        </w:rPr>
        <w:t>If South Africa’s cultural goods trade is considered, the Export TCI measures the overlap between the share of each sub-sector in the country’s cultural good exports to the world and the share of each sub-sector in the partner’s cultural good imports from the world. The Import TCI measures the overlap between the share of each sub-sector in South Africa’s cultural goods imports from the world and the share of each sub-sector in the partner’s cultural good exports to the world (Cattaneo and Snowball, 2018: 18).</w:t>
      </w:r>
      <w:r>
        <w:rPr>
          <w:sz w:val="22"/>
          <w:szCs w:val="22"/>
          <w:vertAlign w:val="superscript"/>
        </w:rPr>
        <w:footnoteReference w:id="9"/>
      </w:r>
      <w:r w:rsidR="001B10E6">
        <w:rPr>
          <w:sz w:val="22"/>
          <w:szCs w:val="22"/>
        </w:rPr>
        <w:t xml:space="preserve"> </w:t>
      </w:r>
      <w:r>
        <w:rPr>
          <w:sz w:val="22"/>
          <w:szCs w:val="22"/>
        </w:rPr>
        <w:t>In the present study, the TCIs are computed between South Africa, USMCA and SADC for the year 2019, as in the case of the IIT indices.</w:t>
      </w:r>
    </w:p>
    <w:p w14:paraId="0000018B" w14:textId="349B5709" w:rsidR="00294ABB" w:rsidRDefault="00420BFB" w:rsidP="00835B56">
      <w:pPr>
        <w:spacing w:line="259" w:lineRule="auto"/>
        <w:rPr>
          <w:sz w:val="22"/>
          <w:szCs w:val="22"/>
        </w:rPr>
      </w:pPr>
      <w:r>
        <w:rPr>
          <w:sz w:val="22"/>
          <w:szCs w:val="22"/>
        </w:rPr>
        <w:t>The measurement of both IIT indices and TCIs is very sensitive to the level of aggregation of the trade data.</w:t>
      </w:r>
      <w:r w:rsidR="001B10E6">
        <w:rPr>
          <w:sz w:val="22"/>
          <w:szCs w:val="22"/>
        </w:rPr>
        <w:t xml:space="preserve"> </w:t>
      </w:r>
      <w:r>
        <w:rPr>
          <w:sz w:val="22"/>
          <w:szCs w:val="22"/>
        </w:rPr>
        <w:t>The results are not very helpful if the data are too aggregated. On the other hand, data that are too highly disaggregated can define a concept like IIT out of existence, since all trade would be inter-industry.</w:t>
      </w:r>
      <w:r w:rsidR="001B10E6">
        <w:rPr>
          <w:sz w:val="22"/>
          <w:szCs w:val="22"/>
        </w:rPr>
        <w:t xml:space="preserve"> </w:t>
      </w:r>
      <w:r>
        <w:rPr>
          <w:sz w:val="22"/>
          <w:szCs w:val="22"/>
        </w:rPr>
        <w:t>In the present study, the six-digit level of the HS is used in the calculations to match the cultural product trade categories in the various domains of the UNESCO FCS.</w:t>
      </w:r>
      <w:r w:rsidR="001B10E6">
        <w:rPr>
          <w:sz w:val="22"/>
          <w:szCs w:val="22"/>
        </w:rPr>
        <w:t xml:space="preserve"> </w:t>
      </w:r>
      <w:r>
        <w:rPr>
          <w:sz w:val="22"/>
          <w:szCs w:val="22"/>
        </w:rPr>
        <w:t>This appears to be an appropriate level of disaggregation (Cattaneo and Snowball, 2018: 18).</w:t>
      </w:r>
    </w:p>
    <w:p w14:paraId="0000018C" w14:textId="77777777" w:rsidR="00294ABB" w:rsidRDefault="00420BFB" w:rsidP="00835B56">
      <w:pPr>
        <w:pStyle w:val="Heading2"/>
        <w:ind w:left="578" w:hanging="578"/>
      </w:pPr>
      <w:bookmarkStart w:id="28" w:name="_Toc92623042"/>
      <w:r>
        <w:t>Assessing trends in cultural services trade</w:t>
      </w:r>
      <w:bookmarkEnd w:id="28"/>
    </w:p>
    <w:p w14:paraId="0000018D" w14:textId="3D4D1207" w:rsidR="00294ABB" w:rsidRDefault="00420BFB" w:rsidP="00835B56">
      <w:pPr>
        <w:spacing w:line="259" w:lineRule="auto"/>
        <w:rPr>
          <w:sz w:val="22"/>
          <w:szCs w:val="22"/>
        </w:rPr>
      </w:pPr>
      <w:r>
        <w:rPr>
          <w:sz w:val="22"/>
          <w:szCs w:val="22"/>
        </w:rPr>
        <w:t>Trend analysis is used to examine South Africa’s services trade categories that are relevant for cultural services trade for those EBOPS sectors for which data are available, as discussed in Section 3.1.</w:t>
      </w:r>
      <w:r w:rsidR="001B10E6">
        <w:rPr>
          <w:sz w:val="22"/>
          <w:szCs w:val="22"/>
        </w:rPr>
        <w:t xml:space="preserve"> </w:t>
      </w:r>
      <w:r>
        <w:rPr>
          <w:sz w:val="22"/>
          <w:szCs w:val="22"/>
        </w:rPr>
        <w:t>Given the lack of bilateral services trade data, the discussion will focus on services trade to all partners for the period 2018 to 2020.</w:t>
      </w:r>
      <w:r w:rsidR="001B10E6">
        <w:rPr>
          <w:sz w:val="22"/>
          <w:szCs w:val="22"/>
        </w:rPr>
        <w:t xml:space="preserve"> </w:t>
      </w:r>
      <w:r>
        <w:rPr>
          <w:sz w:val="22"/>
          <w:szCs w:val="22"/>
        </w:rPr>
        <w:t>This will provide continuity with the services trade analysis in a recent SACO trade report that covered the period 2007 to 2018 (Cattaneo and Snowball, 2020: 35</w:t>
      </w:r>
      <w:r w:rsidR="0035676F">
        <w:rPr>
          <w:sz w:val="22"/>
          <w:szCs w:val="22"/>
        </w:rPr>
        <w:t>–</w:t>
      </w:r>
      <w:r>
        <w:rPr>
          <w:sz w:val="22"/>
          <w:szCs w:val="22"/>
        </w:rPr>
        <w:t>41) and allow for a focus on the impact of the COVID-19 pandemic.</w:t>
      </w:r>
      <w:r w:rsidR="001B10E6">
        <w:rPr>
          <w:sz w:val="22"/>
          <w:szCs w:val="22"/>
        </w:rPr>
        <w:t xml:space="preserve"> </w:t>
      </w:r>
      <w:r>
        <w:rPr>
          <w:sz w:val="22"/>
          <w:szCs w:val="22"/>
        </w:rPr>
        <w:t>In the services trade case, quarterly data for 2021 was not available at the time of writing to assess the most recent trends in the context of the pandemic.</w:t>
      </w:r>
    </w:p>
    <w:p w14:paraId="0000018F" w14:textId="77777777" w:rsidR="00294ABB" w:rsidRDefault="00420BFB">
      <w:pPr>
        <w:pStyle w:val="Heading1"/>
      </w:pPr>
      <w:bookmarkStart w:id="29" w:name="_Toc92623043"/>
      <w:r>
        <w:t>Results and Discussion</w:t>
      </w:r>
      <w:bookmarkEnd w:id="29"/>
    </w:p>
    <w:p w14:paraId="00000190" w14:textId="08E79A73" w:rsidR="00294ABB" w:rsidRDefault="00420BFB" w:rsidP="00835B56">
      <w:pPr>
        <w:spacing w:after="0" w:line="259" w:lineRule="auto"/>
        <w:rPr>
          <w:sz w:val="22"/>
          <w:szCs w:val="22"/>
        </w:rPr>
      </w:pPr>
      <w:r>
        <w:rPr>
          <w:sz w:val="22"/>
          <w:szCs w:val="22"/>
        </w:rPr>
        <w:t>The discussion of the results and findings in the report is divided into five sub-sections.</w:t>
      </w:r>
      <w:r w:rsidR="001B10E6">
        <w:rPr>
          <w:sz w:val="22"/>
          <w:szCs w:val="22"/>
        </w:rPr>
        <w:t xml:space="preserve"> </w:t>
      </w:r>
      <w:r>
        <w:rPr>
          <w:sz w:val="22"/>
          <w:szCs w:val="22"/>
        </w:rPr>
        <w:t>Section 4.1 analyses the growth and structure of South Africa’s cultural goods trade with a focus on the impact of the COVID-19 pandemic in recent quarters.</w:t>
      </w:r>
      <w:r w:rsidR="001B10E6">
        <w:rPr>
          <w:sz w:val="22"/>
          <w:szCs w:val="22"/>
        </w:rPr>
        <w:t xml:space="preserve"> </w:t>
      </w:r>
      <w:r>
        <w:rPr>
          <w:sz w:val="22"/>
          <w:szCs w:val="22"/>
        </w:rPr>
        <w:t>This section also considers whether the effect on cultural goods trade differed noticeably across the various cultural domains.</w:t>
      </w:r>
      <w:r w:rsidR="001B10E6">
        <w:rPr>
          <w:sz w:val="22"/>
          <w:szCs w:val="22"/>
        </w:rPr>
        <w:t xml:space="preserve"> </w:t>
      </w:r>
      <w:r>
        <w:rPr>
          <w:sz w:val="22"/>
          <w:szCs w:val="22"/>
        </w:rPr>
        <w:t>Section 4.2 examines South Africa’s cultural goods trade by region, with a focus on the USMCA bloc and SADC in a comparative regional context.</w:t>
      </w:r>
      <w:r w:rsidR="001B10E6">
        <w:rPr>
          <w:sz w:val="22"/>
          <w:szCs w:val="22"/>
        </w:rPr>
        <w:t xml:space="preserve"> </w:t>
      </w:r>
      <w:r>
        <w:rPr>
          <w:sz w:val="22"/>
          <w:szCs w:val="22"/>
        </w:rPr>
        <w:t>As part of the discussion, the trade agreements affecting South Africa’s trade with USMCA and SADC are highlighted.</w:t>
      </w:r>
    </w:p>
    <w:p w14:paraId="00000191" w14:textId="77777777" w:rsidR="00294ABB" w:rsidRDefault="00294ABB" w:rsidP="00835B56">
      <w:pPr>
        <w:spacing w:after="0" w:line="259" w:lineRule="auto"/>
        <w:rPr>
          <w:sz w:val="22"/>
          <w:szCs w:val="22"/>
        </w:rPr>
      </w:pPr>
    </w:p>
    <w:p w14:paraId="00000192" w14:textId="303A8D4D" w:rsidR="00294ABB" w:rsidRDefault="00420BFB" w:rsidP="00835B56">
      <w:pPr>
        <w:spacing w:after="0" w:line="259" w:lineRule="auto"/>
        <w:rPr>
          <w:sz w:val="22"/>
          <w:szCs w:val="22"/>
        </w:rPr>
      </w:pPr>
      <w:r>
        <w:rPr>
          <w:sz w:val="22"/>
          <w:szCs w:val="22"/>
        </w:rPr>
        <w:t>Section 4.3 measures and analyses South Africa’s intra-industry trade (IIT) with USMCA and SADC, and compares it to the country’s IIT with regions such as the EU and BRICS, investigated in recent SACO trade reports.</w:t>
      </w:r>
      <w:r w:rsidR="001B10E6">
        <w:rPr>
          <w:sz w:val="22"/>
          <w:szCs w:val="22"/>
        </w:rPr>
        <w:t xml:space="preserve"> </w:t>
      </w:r>
      <w:r>
        <w:rPr>
          <w:sz w:val="22"/>
          <w:szCs w:val="22"/>
        </w:rPr>
        <w:t>Section 4.4 assesses trade complementarity in cultural goods trade between South Africa and the USMCA bloc on the one hand, and South Africa and the rest of SADC on the other, using trade complementarity indices (TCIs).</w:t>
      </w:r>
      <w:r w:rsidR="001B10E6">
        <w:rPr>
          <w:sz w:val="22"/>
          <w:szCs w:val="22"/>
        </w:rPr>
        <w:t xml:space="preserve"> </w:t>
      </w:r>
      <w:r>
        <w:rPr>
          <w:sz w:val="22"/>
          <w:szCs w:val="22"/>
        </w:rPr>
        <w:t>Finally, Section 4.5 updates the view of South Africa’s cultural services trade presented in Cattaneo and Snowball (2020: 35</w:t>
      </w:r>
      <w:r w:rsidR="0035676F">
        <w:rPr>
          <w:sz w:val="22"/>
          <w:szCs w:val="22"/>
        </w:rPr>
        <w:t>–</w:t>
      </w:r>
      <w:r>
        <w:rPr>
          <w:sz w:val="22"/>
          <w:szCs w:val="22"/>
        </w:rPr>
        <w:t>41) with a particular focus on the impact of the COVID-19 pandemic on services trade categories that are important for cultural services trade flows.</w:t>
      </w:r>
    </w:p>
    <w:p w14:paraId="00000193" w14:textId="77777777" w:rsidR="00294ABB" w:rsidRDefault="00294ABB">
      <w:pPr>
        <w:spacing w:after="0"/>
        <w:rPr>
          <w:sz w:val="22"/>
          <w:szCs w:val="22"/>
        </w:rPr>
      </w:pPr>
    </w:p>
    <w:p w14:paraId="00000194" w14:textId="77777777" w:rsidR="00294ABB" w:rsidRDefault="00420BFB" w:rsidP="00835B56">
      <w:pPr>
        <w:pStyle w:val="Heading2"/>
        <w:spacing w:before="0" w:line="240" w:lineRule="auto"/>
        <w:ind w:left="578" w:hanging="578"/>
      </w:pPr>
      <w:bookmarkStart w:id="30" w:name="_Toc92623044"/>
      <w:r>
        <w:t>South Africa’s cultural goods trade and the impact of the COVID-19 pandemic</w:t>
      </w:r>
      <w:bookmarkEnd w:id="30"/>
    </w:p>
    <w:p w14:paraId="00000195" w14:textId="77777777" w:rsidR="00294ABB" w:rsidRDefault="00294ABB">
      <w:pPr>
        <w:spacing w:after="0" w:line="259" w:lineRule="auto"/>
        <w:jc w:val="left"/>
        <w:rPr>
          <w:sz w:val="22"/>
          <w:szCs w:val="22"/>
        </w:rPr>
      </w:pPr>
    </w:p>
    <w:p w14:paraId="00000196" w14:textId="45D6B03C" w:rsidR="00294ABB" w:rsidRDefault="00420BFB" w:rsidP="00835B56">
      <w:pPr>
        <w:spacing w:line="259" w:lineRule="auto"/>
        <w:rPr>
          <w:i/>
        </w:rPr>
      </w:pPr>
      <w:r>
        <w:rPr>
          <w:sz w:val="22"/>
          <w:szCs w:val="22"/>
        </w:rPr>
        <w:t>Table 4 below presents data on South Africa’s cultural goods exports, imports and trade balance in US$ millions for selected years from 2012 to 2020, based on nominal trade values from ITC (2021) and UN Comtrade (2021).</w:t>
      </w:r>
      <w:r w:rsidR="001B10E6">
        <w:rPr>
          <w:sz w:val="22"/>
          <w:szCs w:val="22"/>
        </w:rPr>
        <w:t xml:space="preserve"> </w:t>
      </w:r>
      <w:r>
        <w:rPr>
          <w:sz w:val="22"/>
          <w:szCs w:val="22"/>
        </w:rPr>
        <w:t>The percentage shares of cultural goods exports and imports in total commodity exports and imports are provided for the same years.</w:t>
      </w:r>
      <w:r>
        <w:rPr>
          <w:sz w:val="22"/>
          <w:szCs w:val="22"/>
          <w:vertAlign w:val="superscript"/>
        </w:rPr>
        <w:footnoteReference w:id="10"/>
      </w:r>
      <w:r w:rsidR="001B10E6">
        <w:rPr>
          <w:sz w:val="22"/>
          <w:szCs w:val="22"/>
        </w:rPr>
        <w:t xml:space="preserve"> </w:t>
      </w:r>
      <w:r>
        <w:rPr>
          <w:sz w:val="22"/>
          <w:szCs w:val="22"/>
        </w:rPr>
        <w:t>The lower part of the table indicates the average annual growth rates of cultural goods trade relative to total commodity trade for selected periods from 2009 to 2020.</w:t>
      </w:r>
    </w:p>
    <w:p w14:paraId="00000197" w14:textId="5A8CC319" w:rsidR="00294ABB" w:rsidRPr="00835B56" w:rsidRDefault="008B6A61" w:rsidP="008B6A61">
      <w:pPr>
        <w:pStyle w:val="Caption"/>
        <w:rPr>
          <w:color w:val="44546A"/>
          <w:sz w:val="24"/>
          <w:szCs w:val="24"/>
        </w:rPr>
      </w:pPr>
      <w:bookmarkStart w:id="31" w:name="_heading=h.3whwml4" w:colFirst="0" w:colLast="0"/>
      <w:bookmarkStart w:id="32" w:name="_Toc92623704"/>
      <w:bookmarkEnd w:id="31"/>
      <w:r w:rsidRPr="00835B56">
        <w:rPr>
          <w:sz w:val="20"/>
          <w:szCs w:val="20"/>
        </w:rPr>
        <w:t xml:space="preserve">Table </w:t>
      </w:r>
      <w:r w:rsidR="00A75DC7" w:rsidRPr="00835B56">
        <w:rPr>
          <w:sz w:val="20"/>
          <w:szCs w:val="20"/>
        </w:rPr>
        <w:fldChar w:fldCharType="begin"/>
      </w:r>
      <w:r w:rsidR="00A75DC7" w:rsidRPr="00835B56">
        <w:rPr>
          <w:sz w:val="20"/>
          <w:szCs w:val="20"/>
        </w:rPr>
        <w:instrText xml:space="preserve"> SEQ Table \* ARABIC </w:instrText>
      </w:r>
      <w:r w:rsidR="00A75DC7" w:rsidRPr="00835B56">
        <w:rPr>
          <w:sz w:val="20"/>
          <w:szCs w:val="20"/>
        </w:rPr>
        <w:fldChar w:fldCharType="separate"/>
      </w:r>
      <w:r w:rsidR="00682412">
        <w:rPr>
          <w:noProof/>
          <w:sz w:val="20"/>
          <w:szCs w:val="20"/>
        </w:rPr>
        <w:t>4</w:t>
      </w:r>
      <w:r w:rsidR="00A75DC7" w:rsidRPr="00835B56">
        <w:rPr>
          <w:noProof/>
          <w:sz w:val="20"/>
          <w:szCs w:val="20"/>
        </w:rPr>
        <w:fldChar w:fldCharType="end"/>
      </w:r>
      <w:r w:rsidR="00F3268B" w:rsidRPr="00835B56">
        <w:rPr>
          <w:noProof/>
          <w:sz w:val="20"/>
          <w:szCs w:val="20"/>
        </w:rPr>
        <w:t xml:space="preserve">: </w:t>
      </w:r>
      <w:r w:rsidR="00420BFB" w:rsidRPr="00835B56">
        <w:rPr>
          <w:color w:val="44546A"/>
          <w:sz w:val="20"/>
          <w:szCs w:val="20"/>
        </w:rPr>
        <w:t>South Africa’s cultural goods trade: US$ millions, percentage shares and average annual growth rates relative to total commodity trade</w:t>
      </w:r>
      <w:bookmarkEnd w:id="32"/>
    </w:p>
    <w:tbl>
      <w:tblPr>
        <w:tblStyle w:val="a2"/>
        <w:tblW w:w="8505" w:type="dxa"/>
        <w:jc w:val="center"/>
        <w:tblLayout w:type="fixed"/>
        <w:tblLook w:val="0400" w:firstRow="0" w:lastRow="0" w:firstColumn="0" w:lastColumn="0" w:noHBand="0" w:noVBand="1"/>
      </w:tblPr>
      <w:tblGrid>
        <w:gridCol w:w="3852"/>
        <w:gridCol w:w="1163"/>
        <w:gridCol w:w="1163"/>
        <w:gridCol w:w="1163"/>
        <w:gridCol w:w="1164"/>
      </w:tblGrid>
      <w:tr w:rsidR="00294ABB" w:rsidRPr="0035676F" w14:paraId="64CC6437" w14:textId="77777777" w:rsidTr="00835B56">
        <w:trPr>
          <w:trHeight w:val="290"/>
          <w:jc w:val="center"/>
        </w:trPr>
        <w:tc>
          <w:tcPr>
            <w:tcW w:w="3852" w:type="dxa"/>
            <w:tcBorders>
              <w:top w:val="single" w:sz="8" w:space="0" w:color="000000"/>
              <w:left w:val="single" w:sz="8" w:space="0" w:color="000000"/>
              <w:bottom w:val="single" w:sz="4" w:space="0" w:color="000000"/>
              <w:right w:val="single" w:sz="4" w:space="0" w:color="000000"/>
            </w:tcBorders>
            <w:shd w:val="clear" w:color="auto" w:fill="auto"/>
            <w:vAlign w:val="center"/>
          </w:tcPr>
          <w:p w14:paraId="00000198" w14:textId="77777777" w:rsidR="00294ABB" w:rsidRPr="0035676F" w:rsidRDefault="00420BFB" w:rsidP="00835B56">
            <w:pPr>
              <w:spacing w:before="60" w:after="60"/>
              <w:jc w:val="left"/>
              <w:rPr>
                <w:b/>
                <w:color w:val="000000"/>
                <w:sz w:val="18"/>
                <w:szCs w:val="18"/>
              </w:rPr>
            </w:pPr>
            <w:r w:rsidRPr="0035676F">
              <w:rPr>
                <w:b/>
                <w:color w:val="000000"/>
                <w:sz w:val="18"/>
                <w:szCs w:val="18"/>
              </w:rPr>
              <w:t>Cultural goods</w:t>
            </w:r>
          </w:p>
        </w:tc>
        <w:tc>
          <w:tcPr>
            <w:tcW w:w="1163" w:type="dxa"/>
            <w:tcBorders>
              <w:top w:val="single" w:sz="8" w:space="0" w:color="000000"/>
              <w:left w:val="nil"/>
              <w:bottom w:val="single" w:sz="4" w:space="0" w:color="000000"/>
              <w:right w:val="single" w:sz="4" w:space="0" w:color="000000"/>
            </w:tcBorders>
            <w:shd w:val="clear" w:color="auto" w:fill="auto"/>
            <w:vAlign w:val="center"/>
          </w:tcPr>
          <w:p w14:paraId="00000199" w14:textId="77777777" w:rsidR="00294ABB" w:rsidRPr="0035676F" w:rsidRDefault="00420BFB" w:rsidP="00835B56">
            <w:pPr>
              <w:spacing w:before="60" w:after="60"/>
              <w:jc w:val="center"/>
              <w:rPr>
                <w:b/>
                <w:color w:val="000000"/>
                <w:sz w:val="18"/>
                <w:szCs w:val="18"/>
              </w:rPr>
            </w:pPr>
            <w:r w:rsidRPr="0035676F">
              <w:rPr>
                <w:b/>
                <w:color w:val="000000"/>
                <w:sz w:val="18"/>
                <w:szCs w:val="18"/>
              </w:rPr>
              <w:t>2012</w:t>
            </w:r>
          </w:p>
        </w:tc>
        <w:tc>
          <w:tcPr>
            <w:tcW w:w="1163" w:type="dxa"/>
            <w:tcBorders>
              <w:top w:val="single" w:sz="8" w:space="0" w:color="000000"/>
              <w:left w:val="nil"/>
              <w:bottom w:val="single" w:sz="4" w:space="0" w:color="000000"/>
              <w:right w:val="single" w:sz="4" w:space="0" w:color="000000"/>
            </w:tcBorders>
            <w:shd w:val="clear" w:color="auto" w:fill="auto"/>
            <w:vAlign w:val="center"/>
          </w:tcPr>
          <w:p w14:paraId="0000019A" w14:textId="77777777" w:rsidR="00294ABB" w:rsidRPr="0035676F" w:rsidRDefault="00420BFB" w:rsidP="00835B56">
            <w:pPr>
              <w:spacing w:before="60" w:after="60"/>
              <w:jc w:val="center"/>
              <w:rPr>
                <w:b/>
                <w:color w:val="000000"/>
                <w:sz w:val="18"/>
                <w:szCs w:val="18"/>
              </w:rPr>
            </w:pPr>
            <w:r w:rsidRPr="0035676F">
              <w:rPr>
                <w:b/>
                <w:color w:val="000000"/>
                <w:sz w:val="18"/>
                <w:szCs w:val="18"/>
              </w:rPr>
              <w:t>2015</w:t>
            </w:r>
          </w:p>
        </w:tc>
        <w:tc>
          <w:tcPr>
            <w:tcW w:w="1163" w:type="dxa"/>
            <w:tcBorders>
              <w:top w:val="single" w:sz="8" w:space="0" w:color="000000"/>
              <w:left w:val="nil"/>
              <w:bottom w:val="single" w:sz="4" w:space="0" w:color="000000"/>
              <w:right w:val="single" w:sz="4" w:space="0" w:color="000000"/>
            </w:tcBorders>
            <w:shd w:val="clear" w:color="auto" w:fill="auto"/>
            <w:vAlign w:val="center"/>
          </w:tcPr>
          <w:p w14:paraId="0000019B" w14:textId="77777777" w:rsidR="00294ABB" w:rsidRPr="0035676F" w:rsidRDefault="00420BFB" w:rsidP="00835B56">
            <w:pPr>
              <w:spacing w:before="60" w:after="60"/>
              <w:jc w:val="center"/>
              <w:rPr>
                <w:b/>
                <w:color w:val="000000"/>
                <w:sz w:val="18"/>
                <w:szCs w:val="18"/>
              </w:rPr>
            </w:pPr>
            <w:r w:rsidRPr="0035676F">
              <w:rPr>
                <w:b/>
                <w:color w:val="000000"/>
                <w:sz w:val="18"/>
                <w:szCs w:val="18"/>
              </w:rPr>
              <w:t>2018</w:t>
            </w:r>
          </w:p>
        </w:tc>
        <w:tc>
          <w:tcPr>
            <w:tcW w:w="1164" w:type="dxa"/>
            <w:tcBorders>
              <w:top w:val="single" w:sz="8" w:space="0" w:color="000000"/>
              <w:left w:val="nil"/>
              <w:bottom w:val="single" w:sz="4" w:space="0" w:color="000000"/>
              <w:right w:val="single" w:sz="8" w:space="0" w:color="000000"/>
            </w:tcBorders>
            <w:shd w:val="clear" w:color="auto" w:fill="auto"/>
            <w:vAlign w:val="center"/>
          </w:tcPr>
          <w:p w14:paraId="0000019C" w14:textId="77777777" w:rsidR="00294ABB" w:rsidRPr="0035676F" w:rsidRDefault="00420BFB" w:rsidP="00835B56">
            <w:pPr>
              <w:spacing w:before="60" w:after="60"/>
              <w:jc w:val="center"/>
              <w:rPr>
                <w:b/>
                <w:color w:val="000000"/>
                <w:sz w:val="18"/>
                <w:szCs w:val="18"/>
              </w:rPr>
            </w:pPr>
            <w:r w:rsidRPr="0035676F">
              <w:rPr>
                <w:b/>
                <w:color w:val="000000"/>
                <w:sz w:val="18"/>
                <w:szCs w:val="18"/>
              </w:rPr>
              <w:t>2020</w:t>
            </w:r>
          </w:p>
        </w:tc>
      </w:tr>
      <w:tr w:rsidR="00294ABB" w:rsidRPr="0035676F" w14:paraId="102D763D" w14:textId="77777777" w:rsidTr="00835B56">
        <w:trPr>
          <w:trHeight w:val="290"/>
          <w:jc w:val="center"/>
        </w:trPr>
        <w:tc>
          <w:tcPr>
            <w:tcW w:w="3852" w:type="dxa"/>
            <w:tcBorders>
              <w:top w:val="nil"/>
              <w:left w:val="single" w:sz="8" w:space="0" w:color="000000"/>
              <w:bottom w:val="single" w:sz="4" w:space="0" w:color="000000"/>
              <w:right w:val="single" w:sz="4" w:space="0" w:color="000000"/>
            </w:tcBorders>
            <w:shd w:val="clear" w:color="auto" w:fill="auto"/>
            <w:vAlign w:val="center"/>
          </w:tcPr>
          <w:p w14:paraId="0000019D" w14:textId="77777777" w:rsidR="00294ABB" w:rsidRPr="0035676F" w:rsidRDefault="00420BFB" w:rsidP="00835B56">
            <w:pPr>
              <w:spacing w:before="60" w:after="60"/>
              <w:jc w:val="left"/>
              <w:rPr>
                <w:color w:val="000000"/>
                <w:sz w:val="18"/>
                <w:szCs w:val="18"/>
              </w:rPr>
            </w:pPr>
            <w:r w:rsidRPr="0035676F">
              <w:rPr>
                <w:color w:val="000000"/>
                <w:sz w:val="18"/>
                <w:szCs w:val="18"/>
              </w:rPr>
              <w:t>Exports (US$ millions)</w:t>
            </w:r>
          </w:p>
        </w:tc>
        <w:tc>
          <w:tcPr>
            <w:tcW w:w="1163" w:type="dxa"/>
            <w:tcBorders>
              <w:top w:val="nil"/>
              <w:left w:val="nil"/>
              <w:bottom w:val="single" w:sz="4" w:space="0" w:color="000000"/>
              <w:right w:val="single" w:sz="4" w:space="0" w:color="000000"/>
            </w:tcBorders>
            <w:shd w:val="clear" w:color="auto" w:fill="auto"/>
            <w:tcMar>
              <w:right w:w="284" w:type="dxa"/>
            </w:tcMar>
            <w:vAlign w:val="center"/>
          </w:tcPr>
          <w:p w14:paraId="0000019E" w14:textId="77777777" w:rsidR="00294ABB" w:rsidRPr="0035676F" w:rsidRDefault="00420BFB" w:rsidP="00835B56">
            <w:pPr>
              <w:spacing w:before="60" w:after="60"/>
              <w:jc w:val="right"/>
              <w:rPr>
                <w:color w:val="000000"/>
                <w:sz w:val="18"/>
                <w:szCs w:val="18"/>
              </w:rPr>
            </w:pPr>
            <w:r w:rsidRPr="0035676F">
              <w:rPr>
                <w:color w:val="000000"/>
                <w:sz w:val="18"/>
                <w:szCs w:val="18"/>
              </w:rPr>
              <w:t>250.17</w:t>
            </w:r>
          </w:p>
        </w:tc>
        <w:tc>
          <w:tcPr>
            <w:tcW w:w="1163" w:type="dxa"/>
            <w:tcBorders>
              <w:top w:val="nil"/>
              <w:left w:val="nil"/>
              <w:bottom w:val="single" w:sz="4" w:space="0" w:color="000000"/>
              <w:right w:val="single" w:sz="4" w:space="0" w:color="000000"/>
            </w:tcBorders>
            <w:shd w:val="clear" w:color="auto" w:fill="auto"/>
            <w:tcMar>
              <w:right w:w="284" w:type="dxa"/>
            </w:tcMar>
            <w:vAlign w:val="center"/>
          </w:tcPr>
          <w:p w14:paraId="0000019F" w14:textId="77777777" w:rsidR="00294ABB" w:rsidRPr="0035676F" w:rsidRDefault="00420BFB" w:rsidP="00835B56">
            <w:pPr>
              <w:spacing w:before="60" w:after="60"/>
              <w:jc w:val="right"/>
              <w:rPr>
                <w:color w:val="000000"/>
                <w:sz w:val="18"/>
                <w:szCs w:val="18"/>
              </w:rPr>
            </w:pPr>
            <w:r w:rsidRPr="0035676F">
              <w:rPr>
                <w:color w:val="000000"/>
                <w:sz w:val="18"/>
                <w:szCs w:val="18"/>
              </w:rPr>
              <w:t>297.94</w:t>
            </w:r>
          </w:p>
        </w:tc>
        <w:tc>
          <w:tcPr>
            <w:tcW w:w="1163" w:type="dxa"/>
            <w:tcBorders>
              <w:top w:val="nil"/>
              <w:left w:val="nil"/>
              <w:bottom w:val="single" w:sz="4" w:space="0" w:color="000000"/>
              <w:right w:val="single" w:sz="4" w:space="0" w:color="000000"/>
            </w:tcBorders>
            <w:shd w:val="clear" w:color="auto" w:fill="auto"/>
            <w:tcMar>
              <w:right w:w="284" w:type="dxa"/>
            </w:tcMar>
            <w:vAlign w:val="center"/>
          </w:tcPr>
          <w:p w14:paraId="000001A0" w14:textId="77777777" w:rsidR="00294ABB" w:rsidRPr="0035676F" w:rsidRDefault="00420BFB" w:rsidP="00835B56">
            <w:pPr>
              <w:spacing w:before="60" w:after="60"/>
              <w:jc w:val="right"/>
              <w:rPr>
                <w:color w:val="000000"/>
                <w:sz w:val="18"/>
                <w:szCs w:val="18"/>
              </w:rPr>
            </w:pPr>
            <w:r w:rsidRPr="0035676F">
              <w:rPr>
                <w:color w:val="000000"/>
                <w:sz w:val="18"/>
                <w:szCs w:val="18"/>
              </w:rPr>
              <w:t>448.86</w:t>
            </w:r>
          </w:p>
        </w:tc>
        <w:tc>
          <w:tcPr>
            <w:tcW w:w="1164" w:type="dxa"/>
            <w:tcBorders>
              <w:top w:val="nil"/>
              <w:left w:val="nil"/>
              <w:bottom w:val="single" w:sz="4" w:space="0" w:color="000000"/>
              <w:right w:val="single" w:sz="8" w:space="0" w:color="000000"/>
            </w:tcBorders>
            <w:shd w:val="clear" w:color="auto" w:fill="auto"/>
            <w:tcMar>
              <w:right w:w="284" w:type="dxa"/>
            </w:tcMar>
            <w:vAlign w:val="center"/>
          </w:tcPr>
          <w:p w14:paraId="000001A1" w14:textId="77777777" w:rsidR="00294ABB" w:rsidRPr="0035676F" w:rsidRDefault="00420BFB" w:rsidP="00835B56">
            <w:pPr>
              <w:spacing w:before="60" w:after="60"/>
              <w:jc w:val="right"/>
              <w:rPr>
                <w:color w:val="000000"/>
                <w:sz w:val="18"/>
                <w:szCs w:val="18"/>
              </w:rPr>
            </w:pPr>
            <w:r w:rsidRPr="0035676F">
              <w:rPr>
                <w:color w:val="000000"/>
                <w:sz w:val="18"/>
                <w:szCs w:val="18"/>
              </w:rPr>
              <w:t>316.46</w:t>
            </w:r>
          </w:p>
        </w:tc>
      </w:tr>
      <w:tr w:rsidR="00294ABB" w:rsidRPr="0035676F" w14:paraId="3B1DB6FC" w14:textId="77777777" w:rsidTr="00835B56">
        <w:trPr>
          <w:trHeight w:val="290"/>
          <w:jc w:val="center"/>
        </w:trPr>
        <w:tc>
          <w:tcPr>
            <w:tcW w:w="3852" w:type="dxa"/>
            <w:tcBorders>
              <w:top w:val="nil"/>
              <w:left w:val="single" w:sz="8" w:space="0" w:color="000000"/>
              <w:bottom w:val="single" w:sz="4" w:space="0" w:color="000000"/>
              <w:right w:val="single" w:sz="4" w:space="0" w:color="000000"/>
            </w:tcBorders>
            <w:shd w:val="clear" w:color="auto" w:fill="auto"/>
            <w:vAlign w:val="center"/>
          </w:tcPr>
          <w:p w14:paraId="000001A2" w14:textId="77777777" w:rsidR="00294ABB" w:rsidRPr="0035676F" w:rsidRDefault="00420BFB" w:rsidP="00835B56">
            <w:pPr>
              <w:spacing w:before="60" w:after="60"/>
              <w:jc w:val="left"/>
              <w:rPr>
                <w:color w:val="000000"/>
                <w:sz w:val="18"/>
                <w:szCs w:val="18"/>
              </w:rPr>
            </w:pPr>
            <w:r w:rsidRPr="0035676F">
              <w:rPr>
                <w:color w:val="000000"/>
                <w:sz w:val="18"/>
                <w:szCs w:val="18"/>
              </w:rPr>
              <w:t>Imports (US$ millions)</w:t>
            </w:r>
          </w:p>
        </w:tc>
        <w:tc>
          <w:tcPr>
            <w:tcW w:w="1163" w:type="dxa"/>
            <w:tcBorders>
              <w:top w:val="nil"/>
              <w:left w:val="nil"/>
              <w:bottom w:val="single" w:sz="4" w:space="0" w:color="000000"/>
              <w:right w:val="single" w:sz="4" w:space="0" w:color="000000"/>
            </w:tcBorders>
            <w:shd w:val="clear" w:color="auto" w:fill="auto"/>
            <w:tcMar>
              <w:right w:w="284" w:type="dxa"/>
            </w:tcMar>
            <w:vAlign w:val="center"/>
          </w:tcPr>
          <w:p w14:paraId="000001A3" w14:textId="77777777" w:rsidR="00294ABB" w:rsidRPr="0035676F" w:rsidRDefault="00420BFB" w:rsidP="00835B56">
            <w:pPr>
              <w:spacing w:before="60" w:after="60"/>
              <w:jc w:val="right"/>
              <w:rPr>
                <w:color w:val="000000"/>
                <w:sz w:val="18"/>
                <w:szCs w:val="18"/>
              </w:rPr>
            </w:pPr>
            <w:r w:rsidRPr="0035676F">
              <w:rPr>
                <w:color w:val="000000"/>
                <w:sz w:val="18"/>
                <w:szCs w:val="18"/>
              </w:rPr>
              <w:t>673.44</w:t>
            </w:r>
          </w:p>
        </w:tc>
        <w:tc>
          <w:tcPr>
            <w:tcW w:w="1163" w:type="dxa"/>
            <w:tcBorders>
              <w:top w:val="nil"/>
              <w:left w:val="nil"/>
              <w:bottom w:val="single" w:sz="4" w:space="0" w:color="000000"/>
              <w:right w:val="single" w:sz="4" w:space="0" w:color="000000"/>
            </w:tcBorders>
            <w:shd w:val="clear" w:color="auto" w:fill="auto"/>
            <w:tcMar>
              <w:right w:w="284" w:type="dxa"/>
            </w:tcMar>
            <w:vAlign w:val="center"/>
          </w:tcPr>
          <w:p w14:paraId="000001A4" w14:textId="77777777" w:rsidR="00294ABB" w:rsidRPr="0035676F" w:rsidRDefault="00420BFB" w:rsidP="00835B56">
            <w:pPr>
              <w:spacing w:before="60" w:after="60"/>
              <w:jc w:val="right"/>
              <w:rPr>
                <w:color w:val="000000"/>
                <w:sz w:val="18"/>
                <w:szCs w:val="18"/>
              </w:rPr>
            </w:pPr>
            <w:r w:rsidRPr="0035676F">
              <w:rPr>
                <w:color w:val="000000"/>
                <w:sz w:val="18"/>
                <w:szCs w:val="18"/>
              </w:rPr>
              <w:t>519.13</w:t>
            </w:r>
          </w:p>
        </w:tc>
        <w:tc>
          <w:tcPr>
            <w:tcW w:w="1163" w:type="dxa"/>
            <w:tcBorders>
              <w:top w:val="nil"/>
              <w:left w:val="nil"/>
              <w:bottom w:val="single" w:sz="4" w:space="0" w:color="000000"/>
              <w:right w:val="single" w:sz="4" w:space="0" w:color="000000"/>
            </w:tcBorders>
            <w:shd w:val="clear" w:color="auto" w:fill="auto"/>
            <w:tcMar>
              <w:right w:w="284" w:type="dxa"/>
            </w:tcMar>
            <w:vAlign w:val="center"/>
          </w:tcPr>
          <w:p w14:paraId="000001A5" w14:textId="77777777" w:rsidR="00294ABB" w:rsidRPr="0035676F" w:rsidRDefault="00420BFB" w:rsidP="00835B56">
            <w:pPr>
              <w:spacing w:before="60" w:after="60"/>
              <w:jc w:val="right"/>
              <w:rPr>
                <w:color w:val="000000"/>
                <w:sz w:val="18"/>
                <w:szCs w:val="18"/>
              </w:rPr>
            </w:pPr>
            <w:r w:rsidRPr="0035676F">
              <w:rPr>
                <w:color w:val="000000"/>
                <w:sz w:val="18"/>
                <w:szCs w:val="18"/>
              </w:rPr>
              <w:t>473.23</w:t>
            </w:r>
          </w:p>
        </w:tc>
        <w:tc>
          <w:tcPr>
            <w:tcW w:w="1164" w:type="dxa"/>
            <w:tcBorders>
              <w:top w:val="nil"/>
              <w:left w:val="nil"/>
              <w:bottom w:val="single" w:sz="4" w:space="0" w:color="000000"/>
              <w:right w:val="single" w:sz="8" w:space="0" w:color="000000"/>
            </w:tcBorders>
            <w:shd w:val="clear" w:color="auto" w:fill="auto"/>
            <w:tcMar>
              <w:right w:w="284" w:type="dxa"/>
            </w:tcMar>
            <w:vAlign w:val="center"/>
          </w:tcPr>
          <w:p w14:paraId="000001A6" w14:textId="77777777" w:rsidR="00294ABB" w:rsidRPr="0035676F" w:rsidRDefault="00420BFB" w:rsidP="00835B56">
            <w:pPr>
              <w:spacing w:before="60" w:after="60"/>
              <w:jc w:val="right"/>
              <w:rPr>
                <w:color w:val="000000"/>
                <w:sz w:val="18"/>
                <w:szCs w:val="18"/>
              </w:rPr>
            </w:pPr>
            <w:r w:rsidRPr="0035676F">
              <w:rPr>
                <w:color w:val="000000"/>
                <w:sz w:val="18"/>
                <w:szCs w:val="18"/>
              </w:rPr>
              <w:t>257.80</w:t>
            </w:r>
          </w:p>
        </w:tc>
      </w:tr>
      <w:tr w:rsidR="00294ABB" w:rsidRPr="0035676F" w14:paraId="7E01BD8E" w14:textId="77777777" w:rsidTr="00835B56">
        <w:trPr>
          <w:trHeight w:val="290"/>
          <w:jc w:val="center"/>
        </w:trPr>
        <w:tc>
          <w:tcPr>
            <w:tcW w:w="3852" w:type="dxa"/>
            <w:tcBorders>
              <w:top w:val="nil"/>
              <w:left w:val="single" w:sz="8" w:space="0" w:color="000000"/>
              <w:bottom w:val="single" w:sz="4" w:space="0" w:color="000000"/>
              <w:right w:val="single" w:sz="4" w:space="0" w:color="000000"/>
            </w:tcBorders>
            <w:shd w:val="clear" w:color="auto" w:fill="auto"/>
            <w:vAlign w:val="center"/>
          </w:tcPr>
          <w:p w14:paraId="000001A7" w14:textId="77777777" w:rsidR="00294ABB" w:rsidRPr="0035676F" w:rsidRDefault="00420BFB" w:rsidP="00835B56">
            <w:pPr>
              <w:spacing w:before="60" w:after="60"/>
              <w:jc w:val="left"/>
              <w:rPr>
                <w:i/>
                <w:color w:val="000000"/>
                <w:sz w:val="18"/>
                <w:szCs w:val="18"/>
              </w:rPr>
            </w:pPr>
            <w:r w:rsidRPr="0035676F">
              <w:rPr>
                <w:i/>
                <w:color w:val="000000"/>
                <w:sz w:val="18"/>
                <w:szCs w:val="18"/>
              </w:rPr>
              <w:t>Trade balance (US$ millions)</w:t>
            </w:r>
          </w:p>
        </w:tc>
        <w:tc>
          <w:tcPr>
            <w:tcW w:w="1163" w:type="dxa"/>
            <w:tcBorders>
              <w:top w:val="nil"/>
              <w:left w:val="nil"/>
              <w:bottom w:val="single" w:sz="4" w:space="0" w:color="000000"/>
              <w:right w:val="single" w:sz="4" w:space="0" w:color="000000"/>
            </w:tcBorders>
            <w:shd w:val="clear" w:color="auto" w:fill="auto"/>
            <w:tcMar>
              <w:right w:w="284" w:type="dxa"/>
            </w:tcMar>
            <w:vAlign w:val="center"/>
          </w:tcPr>
          <w:p w14:paraId="000001A8" w14:textId="77777777" w:rsidR="00294ABB" w:rsidRPr="0035676F" w:rsidRDefault="00420BFB" w:rsidP="00835B56">
            <w:pPr>
              <w:spacing w:before="60" w:after="60"/>
              <w:jc w:val="right"/>
              <w:rPr>
                <w:i/>
                <w:color w:val="000000"/>
                <w:sz w:val="18"/>
                <w:szCs w:val="18"/>
              </w:rPr>
            </w:pPr>
            <w:r w:rsidRPr="0035676F">
              <w:rPr>
                <w:i/>
                <w:color w:val="000000"/>
                <w:sz w:val="18"/>
                <w:szCs w:val="18"/>
              </w:rPr>
              <w:t>-423.26</w:t>
            </w:r>
          </w:p>
        </w:tc>
        <w:tc>
          <w:tcPr>
            <w:tcW w:w="1163" w:type="dxa"/>
            <w:tcBorders>
              <w:top w:val="nil"/>
              <w:left w:val="nil"/>
              <w:bottom w:val="single" w:sz="4" w:space="0" w:color="000000"/>
              <w:right w:val="single" w:sz="4" w:space="0" w:color="000000"/>
            </w:tcBorders>
            <w:shd w:val="clear" w:color="auto" w:fill="auto"/>
            <w:tcMar>
              <w:right w:w="284" w:type="dxa"/>
            </w:tcMar>
            <w:vAlign w:val="center"/>
          </w:tcPr>
          <w:p w14:paraId="000001A9" w14:textId="77777777" w:rsidR="00294ABB" w:rsidRPr="0035676F" w:rsidRDefault="00420BFB" w:rsidP="00835B56">
            <w:pPr>
              <w:spacing w:before="60" w:after="60"/>
              <w:jc w:val="right"/>
              <w:rPr>
                <w:i/>
                <w:color w:val="000000"/>
                <w:sz w:val="18"/>
                <w:szCs w:val="18"/>
              </w:rPr>
            </w:pPr>
            <w:r w:rsidRPr="0035676F">
              <w:rPr>
                <w:i/>
                <w:color w:val="000000"/>
                <w:sz w:val="18"/>
                <w:szCs w:val="18"/>
              </w:rPr>
              <w:t>-221.19</w:t>
            </w:r>
          </w:p>
        </w:tc>
        <w:tc>
          <w:tcPr>
            <w:tcW w:w="1163" w:type="dxa"/>
            <w:tcBorders>
              <w:top w:val="nil"/>
              <w:left w:val="nil"/>
              <w:bottom w:val="single" w:sz="4" w:space="0" w:color="000000"/>
              <w:right w:val="single" w:sz="4" w:space="0" w:color="000000"/>
            </w:tcBorders>
            <w:shd w:val="clear" w:color="auto" w:fill="auto"/>
            <w:tcMar>
              <w:right w:w="284" w:type="dxa"/>
            </w:tcMar>
            <w:vAlign w:val="center"/>
          </w:tcPr>
          <w:p w14:paraId="000001AA" w14:textId="77777777" w:rsidR="00294ABB" w:rsidRPr="0035676F" w:rsidRDefault="00420BFB" w:rsidP="00835B56">
            <w:pPr>
              <w:spacing w:before="60" w:after="60"/>
              <w:jc w:val="right"/>
              <w:rPr>
                <w:i/>
                <w:color w:val="000000"/>
                <w:sz w:val="18"/>
                <w:szCs w:val="18"/>
              </w:rPr>
            </w:pPr>
            <w:r w:rsidRPr="0035676F">
              <w:rPr>
                <w:i/>
                <w:color w:val="000000"/>
                <w:sz w:val="18"/>
                <w:szCs w:val="18"/>
              </w:rPr>
              <w:t>-24.38</w:t>
            </w:r>
          </w:p>
        </w:tc>
        <w:tc>
          <w:tcPr>
            <w:tcW w:w="1164" w:type="dxa"/>
            <w:tcBorders>
              <w:top w:val="nil"/>
              <w:left w:val="nil"/>
              <w:bottom w:val="single" w:sz="4" w:space="0" w:color="000000"/>
              <w:right w:val="single" w:sz="8" w:space="0" w:color="000000"/>
            </w:tcBorders>
            <w:shd w:val="clear" w:color="auto" w:fill="auto"/>
            <w:tcMar>
              <w:right w:w="284" w:type="dxa"/>
            </w:tcMar>
            <w:vAlign w:val="center"/>
          </w:tcPr>
          <w:p w14:paraId="000001AB" w14:textId="77777777" w:rsidR="00294ABB" w:rsidRPr="0035676F" w:rsidRDefault="00420BFB" w:rsidP="00835B56">
            <w:pPr>
              <w:spacing w:before="60" w:after="60"/>
              <w:jc w:val="right"/>
              <w:rPr>
                <w:i/>
                <w:color w:val="000000"/>
                <w:sz w:val="18"/>
                <w:szCs w:val="18"/>
              </w:rPr>
            </w:pPr>
            <w:r w:rsidRPr="0035676F">
              <w:rPr>
                <w:i/>
                <w:color w:val="000000"/>
                <w:sz w:val="18"/>
                <w:szCs w:val="18"/>
              </w:rPr>
              <w:t>58.65</w:t>
            </w:r>
          </w:p>
        </w:tc>
      </w:tr>
      <w:tr w:rsidR="00294ABB" w:rsidRPr="0035676F" w14:paraId="23D1F2E3" w14:textId="77777777" w:rsidTr="00835B56">
        <w:trPr>
          <w:trHeight w:hRule="exact" w:val="113"/>
          <w:jc w:val="center"/>
        </w:trPr>
        <w:tc>
          <w:tcPr>
            <w:tcW w:w="3852" w:type="dxa"/>
            <w:tcBorders>
              <w:top w:val="nil"/>
              <w:left w:val="single" w:sz="8" w:space="0" w:color="000000"/>
              <w:bottom w:val="single" w:sz="4" w:space="0" w:color="000000"/>
              <w:right w:val="single" w:sz="4" w:space="0" w:color="000000"/>
            </w:tcBorders>
            <w:shd w:val="clear" w:color="auto" w:fill="auto"/>
            <w:vAlign w:val="center"/>
          </w:tcPr>
          <w:p w14:paraId="000001AC" w14:textId="77777777" w:rsidR="00294ABB" w:rsidRPr="0035676F" w:rsidRDefault="00420BFB" w:rsidP="00835B56">
            <w:pPr>
              <w:spacing w:before="60" w:after="60"/>
              <w:jc w:val="left"/>
              <w:rPr>
                <w:color w:val="000000"/>
                <w:sz w:val="18"/>
                <w:szCs w:val="18"/>
              </w:rPr>
            </w:pPr>
            <w:r w:rsidRPr="0035676F">
              <w:rPr>
                <w:color w:val="000000"/>
                <w:sz w:val="18"/>
                <w:szCs w:val="18"/>
              </w:rPr>
              <w:t> </w:t>
            </w:r>
          </w:p>
        </w:tc>
        <w:tc>
          <w:tcPr>
            <w:tcW w:w="1163" w:type="dxa"/>
            <w:tcBorders>
              <w:top w:val="nil"/>
              <w:left w:val="nil"/>
              <w:bottom w:val="single" w:sz="4" w:space="0" w:color="000000"/>
              <w:right w:val="single" w:sz="4" w:space="0" w:color="000000"/>
            </w:tcBorders>
            <w:shd w:val="clear" w:color="auto" w:fill="auto"/>
            <w:tcMar>
              <w:right w:w="284" w:type="dxa"/>
            </w:tcMar>
            <w:vAlign w:val="center"/>
          </w:tcPr>
          <w:p w14:paraId="000001AD" w14:textId="77777777" w:rsidR="00294ABB" w:rsidRPr="0035676F" w:rsidRDefault="00420BFB" w:rsidP="00835B56">
            <w:pPr>
              <w:spacing w:before="60" w:after="60"/>
              <w:jc w:val="right"/>
              <w:rPr>
                <w:color w:val="000000"/>
                <w:sz w:val="18"/>
                <w:szCs w:val="18"/>
              </w:rPr>
            </w:pPr>
            <w:r w:rsidRPr="0035676F">
              <w:rPr>
                <w:color w:val="000000"/>
                <w:sz w:val="18"/>
                <w:szCs w:val="18"/>
              </w:rPr>
              <w:t> </w:t>
            </w:r>
          </w:p>
        </w:tc>
        <w:tc>
          <w:tcPr>
            <w:tcW w:w="1163" w:type="dxa"/>
            <w:tcBorders>
              <w:top w:val="nil"/>
              <w:left w:val="nil"/>
              <w:bottom w:val="single" w:sz="4" w:space="0" w:color="000000"/>
              <w:right w:val="single" w:sz="4" w:space="0" w:color="000000"/>
            </w:tcBorders>
            <w:shd w:val="clear" w:color="auto" w:fill="auto"/>
            <w:tcMar>
              <w:right w:w="284" w:type="dxa"/>
            </w:tcMar>
            <w:vAlign w:val="center"/>
          </w:tcPr>
          <w:p w14:paraId="000001AE" w14:textId="77777777" w:rsidR="00294ABB" w:rsidRPr="0035676F" w:rsidRDefault="00420BFB" w:rsidP="00835B56">
            <w:pPr>
              <w:spacing w:before="60" w:after="60"/>
              <w:jc w:val="right"/>
              <w:rPr>
                <w:color w:val="000000"/>
                <w:sz w:val="18"/>
                <w:szCs w:val="18"/>
              </w:rPr>
            </w:pPr>
            <w:r w:rsidRPr="0035676F">
              <w:rPr>
                <w:color w:val="000000"/>
                <w:sz w:val="18"/>
                <w:szCs w:val="18"/>
              </w:rPr>
              <w:t> </w:t>
            </w:r>
          </w:p>
        </w:tc>
        <w:tc>
          <w:tcPr>
            <w:tcW w:w="1163" w:type="dxa"/>
            <w:tcBorders>
              <w:top w:val="nil"/>
              <w:left w:val="nil"/>
              <w:bottom w:val="single" w:sz="4" w:space="0" w:color="000000"/>
              <w:right w:val="single" w:sz="4" w:space="0" w:color="000000"/>
            </w:tcBorders>
            <w:shd w:val="clear" w:color="auto" w:fill="auto"/>
            <w:tcMar>
              <w:right w:w="284" w:type="dxa"/>
            </w:tcMar>
            <w:vAlign w:val="center"/>
          </w:tcPr>
          <w:p w14:paraId="000001AF" w14:textId="77777777" w:rsidR="00294ABB" w:rsidRPr="0035676F" w:rsidRDefault="00420BFB" w:rsidP="00835B56">
            <w:pPr>
              <w:spacing w:before="60" w:after="60"/>
              <w:jc w:val="right"/>
              <w:rPr>
                <w:color w:val="000000"/>
                <w:sz w:val="18"/>
                <w:szCs w:val="18"/>
              </w:rPr>
            </w:pPr>
            <w:r w:rsidRPr="0035676F">
              <w:rPr>
                <w:color w:val="000000"/>
                <w:sz w:val="18"/>
                <w:szCs w:val="18"/>
              </w:rPr>
              <w:t> </w:t>
            </w:r>
          </w:p>
        </w:tc>
        <w:tc>
          <w:tcPr>
            <w:tcW w:w="1164" w:type="dxa"/>
            <w:tcBorders>
              <w:top w:val="nil"/>
              <w:left w:val="nil"/>
              <w:bottom w:val="single" w:sz="4" w:space="0" w:color="000000"/>
              <w:right w:val="single" w:sz="8" w:space="0" w:color="000000"/>
            </w:tcBorders>
            <w:shd w:val="clear" w:color="auto" w:fill="auto"/>
            <w:tcMar>
              <w:right w:w="284" w:type="dxa"/>
            </w:tcMar>
            <w:vAlign w:val="center"/>
          </w:tcPr>
          <w:p w14:paraId="000001B0" w14:textId="77777777" w:rsidR="00294ABB" w:rsidRPr="0035676F" w:rsidRDefault="00420BFB" w:rsidP="00835B56">
            <w:pPr>
              <w:spacing w:before="60" w:after="60"/>
              <w:jc w:val="right"/>
              <w:rPr>
                <w:color w:val="000000"/>
                <w:sz w:val="18"/>
                <w:szCs w:val="18"/>
              </w:rPr>
            </w:pPr>
            <w:r w:rsidRPr="0035676F">
              <w:rPr>
                <w:color w:val="000000"/>
                <w:sz w:val="18"/>
                <w:szCs w:val="18"/>
              </w:rPr>
              <w:t> </w:t>
            </w:r>
          </w:p>
        </w:tc>
      </w:tr>
      <w:tr w:rsidR="00294ABB" w:rsidRPr="0035676F" w14:paraId="485FC382" w14:textId="77777777" w:rsidTr="00835B56">
        <w:trPr>
          <w:trHeight w:val="290"/>
          <w:jc w:val="center"/>
        </w:trPr>
        <w:tc>
          <w:tcPr>
            <w:tcW w:w="3852" w:type="dxa"/>
            <w:tcBorders>
              <w:top w:val="nil"/>
              <w:left w:val="single" w:sz="8" w:space="0" w:color="000000"/>
              <w:bottom w:val="single" w:sz="4" w:space="0" w:color="000000"/>
              <w:right w:val="single" w:sz="4" w:space="0" w:color="000000"/>
            </w:tcBorders>
            <w:shd w:val="clear" w:color="auto" w:fill="auto"/>
            <w:vAlign w:val="center"/>
          </w:tcPr>
          <w:p w14:paraId="000001B1" w14:textId="77777777" w:rsidR="00294ABB" w:rsidRPr="0035676F" w:rsidRDefault="00420BFB" w:rsidP="00835B56">
            <w:pPr>
              <w:spacing w:before="60" w:after="60"/>
              <w:jc w:val="left"/>
              <w:rPr>
                <w:color w:val="000000"/>
                <w:sz w:val="18"/>
                <w:szCs w:val="18"/>
              </w:rPr>
            </w:pPr>
            <w:r w:rsidRPr="0035676F">
              <w:rPr>
                <w:color w:val="000000"/>
                <w:sz w:val="18"/>
                <w:szCs w:val="18"/>
              </w:rPr>
              <w:t>Exports (% share of commodity exports)</w:t>
            </w:r>
          </w:p>
        </w:tc>
        <w:tc>
          <w:tcPr>
            <w:tcW w:w="1163" w:type="dxa"/>
            <w:tcBorders>
              <w:top w:val="nil"/>
              <w:left w:val="nil"/>
              <w:bottom w:val="single" w:sz="4" w:space="0" w:color="000000"/>
              <w:right w:val="single" w:sz="4" w:space="0" w:color="000000"/>
            </w:tcBorders>
            <w:shd w:val="clear" w:color="auto" w:fill="auto"/>
            <w:tcMar>
              <w:right w:w="284" w:type="dxa"/>
            </w:tcMar>
            <w:vAlign w:val="center"/>
          </w:tcPr>
          <w:p w14:paraId="000001B2" w14:textId="77777777" w:rsidR="00294ABB" w:rsidRPr="0035676F" w:rsidRDefault="00420BFB" w:rsidP="00835B56">
            <w:pPr>
              <w:spacing w:before="60" w:after="60"/>
              <w:jc w:val="right"/>
              <w:rPr>
                <w:color w:val="000000"/>
                <w:sz w:val="18"/>
                <w:szCs w:val="18"/>
              </w:rPr>
            </w:pPr>
            <w:r w:rsidRPr="0035676F">
              <w:rPr>
                <w:color w:val="000000"/>
                <w:sz w:val="18"/>
                <w:szCs w:val="18"/>
              </w:rPr>
              <w:t>0.25</w:t>
            </w:r>
          </w:p>
        </w:tc>
        <w:tc>
          <w:tcPr>
            <w:tcW w:w="1163" w:type="dxa"/>
            <w:tcBorders>
              <w:top w:val="nil"/>
              <w:left w:val="nil"/>
              <w:bottom w:val="single" w:sz="4" w:space="0" w:color="000000"/>
              <w:right w:val="single" w:sz="4" w:space="0" w:color="000000"/>
            </w:tcBorders>
            <w:shd w:val="clear" w:color="auto" w:fill="auto"/>
            <w:tcMar>
              <w:right w:w="284" w:type="dxa"/>
            </w:tcMar>
            <w:vAlign w:val="center"/>
          </w:tcPr>
          <w:p w14:paraId="000001B3" w14:textId="77777777" w:rsidR="00294ABB" w:rsidRPr="0035676F" w:rsidRDefault="00420BFB" w:rsidP="00835B56">
            <w:pPr>
              <w:spacing w:before="60" w:after="60"/>
              <w:jc w:val="right"/>
              <w:rPr>
                <w:color w:val="000000"/>
                <w:sz w:val="18"/>
                <w:szCs w:val="18"/>
              </w:rPr>
            </w:pPr>
            <w:r w:rsidRPr="0035676F">
              <w:rPr>
                <w:color w:val="000000"/>
                <w:sz w:val="18"/>
                <w:szCs w:val="18"/>
              </w:rPr>
              <w:t>0.36</w:t>
            </w:r>
          </w:p>
        </w:tc>
        <w:tc>
          <w:tcPr>
            <w:tcW w:w="1163" w:type="dxa"/>
            <w:tcBorders>
              <w:top w:val="nil"/>
              <w:left w:val="nil"/>
              <w:bottom w:val="single" w:sz="4" w:space="0" w:color="000000"/>
              <w:right w:val="single" w:sz="4" w:space="0" w:color="000000"/>
            </w:tcBorders>
            <w:shd w:val="clear" w:color="auto" w:fill="auto"/>
            <w:tcMar>
              <w:right w:w="284" w:type="dxa"/>
            </w:tcMar>
            <w:vAlign w:val="center"/>
          </w:tcPr>
          <w:p w14:paraId="000001B4" w14:textId="77777777" w:rsidR="00294ABB" w:rsidRPr="0035676F" w:rsidRDefault="00420BFB" w:rsidP="00835B56">
            <w:pPr>
              <w:spacing w:before="60" w:after="60"/>
              <w:jc w:val="right"/>
              <w:rPr>
                <w:color w:val="000000"/>
                <w:sz w:val="18"/>
                <w:szCs w:val="18"/>
              </w:rPr>
            </w:pPr>
            <w:r w:rsidRPr="0035676F">
              <w:rPr>
                <w:color w:val="000000"/>
                <w:sz w:val="18"/>
                <w:szCs w:val="18"/>
              </w:rPr>
              <w:t>0.47</w:t>
            </w:r>
          </w:p>
        </w:tc>
        <w:tc>
          <w:tcPr>
            <w:tcW w:w="1164" w:type="dxa"/>
            <w:tcBorders>
              <w:top w:val="nil"/>
              <w:left w:val="nil"/>
              <w:bottom w:val="single" w:sz="4" w:space="0" w:color="000000"/>
              <w:right w:val="single" w:sz="8" w:space="0" w:color="000000"/>
            </w:tcBorders>
            <w:shd w:val="clear" w:color="auto" w:fill="auto"/>
            <w:tcMar>
              <w:right w:w="284" w:type="dxa"/>
            </w:tcMar>
            <w:vAlign w:val="center"/>
          </w:tcPr>
          <w:p w14:paraId="000001B5" w14:textId="77777777" w:rsidR="00294ABB" w:rsidRPr="0035676F" w:rsidRDefault="00420BFB" w:rsidP="00835B56">
            <w:pPr>
              <w:spacing w:before="60" w:after="60"/>
              <w:jc w:val="right"/>
              <w:rPr>
                <w:color w:val="000000"/>
                <w:sz w:val="18"/>
                <w:szCs w:val="18"/>
              </w:rPr>
            </w:pPr>
            <w:r w:rsidRPr="0035676F">
              <w:rPr>
                <w:color w:val="000000"/>
                <w:sz w:val="18"/>
                <w:szCs w:val="18"/>
              </w:rPr>
              <w:t>0.37</w:t>
            </w:r>
          </w:p>
        </w:tc>
      </w:tr>
      <w:tr w:rsidR="00294ABB" w:rsidRPr="0035676F" w14:paraId="1CDC3249" w14:textId="77777777" w:rsidTr="00835B56">
        <w:trPr>
          <w:trHeight w:val="300"/>
          <w:jc w:val="center"/>
        </w:trPr>
        <w:tc>
          <w:tcPr>
            <w:tcW w:w="3852" w:type="dxa"/>
            <w:tcBorders>
              <w:top w:val="nil"/>
              <w:left w:val="single" w:sz="8" w:space="0" w:color="000000"/>
              <w:bottom w:val="single" w:sz="8" w:space="0" w:color="000000"/>
              <w:right w:val="single" w:sz="4" w:space="0" w:color="000000"/>
            </w:tcBorders>
            <w:shd w:val="clear" w:color="auto" w:fill="auto"/>
            <w:vAlign w:val="center"/>
          </w:tcPr>
          <w:p w14:paraId="000001B6" w14:textId="77777777" w:rsidR="00294ABB" w:rsidRPr="0035676F" w:rsidRDefault="00420BFB" w:rsidP="00835B56">
            <w:pPr>
              <w:spacing w:before="60" w:after="60"/>
              <w:jc w:val="left"/>
              <w:rPr>
                <w:color w:val="000000"/>
                <w:sz w:val="18"/>
                <w:szCs w:val="18"/>
              </w:rPr>
            </w:pPr>
            <w:r w:rsidRPr="0035676F">
              <w:rPr>
                <w:color w:val="000000"/>
                <w:sz w:val="18"/>
                <w:szCs w:val="18"/>
              </w:rPr>
              <w:t>Imports (% share of commodity imports)</w:t>
            </w:r>
          </w:p>
        </w:tc>
        <w:tc>
          <w:tcPr>
            <w:tcW w:w="1163" w:type="dxa"/>
            <w:tcBorders>
              <w:top w:val="nil"/>
              <w:left w:val="nil"/>
              <w:bottom w:val="single" w:sz="8" w:space="0" w:color="000000"/>
              <w:right w:val="single" w:sz="4" w:space="0" w:color="000000"/>
            </w:tcBorders>
            <w:shd w:val="clear" w:color="auto" w:fill="auto"/>
            <w:tcMar>
              <w:right w:w="284" w:type="dxa"/>
            </w:tcMar>
            <w:vAlign w:val="center"/>
          </w:tcPr>
          <w:p w14:paraId="000001B7" w14:textId="77777777" w:rsidR="00294ABB" w:rsidRPr="0035676F" w:rsidRDefault="00420BFB" w:rsidP="00835B56">
            <w:pPr>
              <w:spacing w:before="60" w:after="60"/>
              <w:jc w:val="right"/>
              <w:rPr>
                <w:color w:val="000000"/>
                <w:sz w:val="18"/>
                <w:szCs w:val="18"/>
              </w:rPr>
            </w:pPr>
            <w:r w:rsidRPr="0035676F">
              <w:rPr>
                <w:color w:val="000000"/>
                <w:sz w:val="18"/>
                <w:szCs w:val="18"/>
              </w:rPr>
              <w:t>0.65</w:t>
            </w:r>
          </w:p>
        </w:tc>
        <w:tc>
          <w:tcPr>
            <w:tcW w:w="1163" w:type="dxa"/>
            <w:tcBorders>
              <w:top w:val="nil"/>
              <w:left w:val="nil"/>
              <w:bottom w:val="single" w:sz="8" w:space="0" w:color="000000"/>
              <w:right w:val="single" w:sz="4" w:space="0" w:color="000000"/>
            </w:tcBorders>
            <w:shd w:val="clear" w:color="auto" w:fill="auto"/>
            <w:tcMar>
              <w:right w:w="284" w:type="dxa"/>
            </w:tcMar>
            <w:vAlign w:val="center"/>
          </w:tcPr>
          <w:p w14:paraId="000001B8" w14:textId="77777777" w:rsidR="00294ABB" w:rsidRPr="0035676F" w:rsidRDefault="00420BFB" w:rsidP="00835B56">
            <w:pPr>
              <w:spacing w:before="60" w:after="60"/>
              <w:jc w:val="right"/>
              <w:rPr>
                <w:color w:val="000000"/>
                <w:sz w:val="18"/>
                <w:szCs w:val="18"/>
              </w:rPr>
            </w:pPr>
            <w:r w:rsidRPr="0035676F">
              <w:rPr>
                <w:color w:val="000000"/>
                <w:sz w:val="18"/>
                <w:szCs w:val="18"/>
              </w:rPr>
              <w:t>0.61</w:t>
            </w:r>
          </w:p>
        </w:tc>
        <w:tc>
          <w:tcPr>
            <w:tcW w:w="1163" w:type="dxa"/>
            <w:tcBorders>
              <w:top w:val="nil"/>
              <w:left w:val="nil"/>
              <w:bottom w:val="single" w:sz="8" w:space="0" w:color="000000"/>
              <w:right w:val="single" w:sz="4" w:space="0" w:color="000000"/>
            </w:tcBorders>
            <w:shd w:val="clear" w:color="auto" w:fill="auto"/>
            <w:tcMar>
              <w:right w:w="284" w:type="dxa"/>
            </w:tcMar>
            <w:vAlign w:val="center"/>
          </w:tcPr>
          <w:p w14:paraId="000001B9" w14:textId="77777777" w:rsidR="00294ABB" w:rsidRPr="0035676F" w:rsidRDefault="00420BFB" w:rsidP="00835B56">
            <w:pPr>
              <w:spacing w:before="60" w:after="60"/>
              <w:jc w:val="right"/>
              <w:rPr>
                <w:color w:val="000000"/>
                <w:sz w:val="18"/>
                <w:szCs w:val="18"/>
              </w:rPr>
            </w:pPr>
            <w:r w:rsidRPr="0035676F">
              <w:rPr>
                <w:color w:val="000000"/>
                <w:sz w:val="18"/>
                <w:szCs w:val="18"/>
              </w:rPr>
              <w:t>0.50</w:t>
            </w:r>
          </w:p>
        </w:tc>
        <w:tc>
          <w:tcPr>
            <w:tcW w:w="1164" w:type="dxa"/>
            <w:tcBorders>
              <w:top w:val="nil"/>
              <w:left w:val="nil"/>
              <w:bottom w:val="single" w:sz="8" w:space="0" w:color="000000"/>
              <w:right w:val="single" w:sz="8" w:space="0" w:color="000000"/>
            </w:tcBorders>
            <w:shd w:val="clear" w:color="auto" w:fill="auto"/>
            <w:tcMar>
              <w:right w:w="284" w:type="dxa"/>
            </w:tcMar>
            <w:vAlign w:val="center"/>
          </w:tcPr>
          <w:p w14:paraId="000001BA" w14:textId="77777777" w:rsidR="00294ABB" w:rsidRPr="0035676F" w:rsidRDefault="00420BFB" w:rsidP="00835B56">
            <w:pPr>
              <w:spacing w:before="60" w:after="60"/>
              <w:jc w:val="right"/>
              <w:rPr>
                <w:color w:val="000000"/>
                <w:sz w:val="18"/>
                <w:szCs w:val="18"/>
              </w:rPr>
            </w:pPr>
            <w:r w:rsidRPr="0035676F">
              <w:rPr>
                <w:color w:val="000000"/>
                <w:sz w:val="18"/>
                <w:szCs w:val="18"/>
              </w:rPr>
              <w:t>0.38</w:t>
            </w:r>
          </w:p>
        </w:tc>
      </w:tr>
      <w:tr w:rsidR="00294ABB" w:rsidRPr="0035676F" w14:paraId="4681EF1D" w14:textId="77777777" w:rsidTr="00835B56">
        <w:trPr>
          <w:trHeight w:hRule="exact" w:val="113"/>
          <w:jc w:val="center"/>
        </w:trPr>
        <w:tc>
          <w:tcPr>
            <w:tcW w:w="3852" w:type="dxa"/>
            <w:tcBorders>
              <w:top w:val="nil"/>
              <w:left w:val="single" w:sz="8" w:space="0" w:color="000000"/>
              <w:bottom w:val="nil"/>
              <w:right w:val="single" w:sz="4" w:space="0" w:color="000000"/>
            </w:tcBorders>
            <w:shd w:val="clear" w:color="auto" w:fill="auto"/>
            <w:vAlign w:val="center"/>
          </w:tcPr>
          <w:p w14:paraId="000001BB" w14:textId="77777777" w:rsidR="00294ABB" w:rsidRPr="0035676F" w:rsidRDefault="00420BFB" w:rsidP="00835B56">
            <w:pPr>
              <w:spacing w:before="60" w:after="60"/>
              <w:jc w:val="left"/>
              <w:rPr>
                <w:color w:val="000000"/>
                <w:sz w:val="18"/>
                <w:szCs w:val="18"/>
              </w:rPr>
            </w:pPr>
            <w:r w:rsidRPr="0035676F">
              <w:rPr>
                <w:color w:val="000000"/>
                <w:sz w:val="18"/>
                <w:szCs w:val="18"/>
              </w:rPr>
              <w:t> </w:t>
            </w:r>
          </w:p>
        </w:tc>
        <w:tc>
          <w:tcPr>
            <w:tcW w:w="1163" w:type="dxa"/>
            <w:tcBorders>
              <w:top w:val="nil"/>
              <w:left w:val="nil"/>
              <w:bottom w:val="nil"/>
              <w:right w:val="single" w:sz="4" w:space="0" w:color="000000"/>
            </w:tcBorders>
            <w:shd w:val="clear" w:color="auto" w:fill="auto"/>
            <w:vAlign w:val="center"/>
          </w:tcPr>
          <w:p w14:paraId="000001BC" w14:textId="77777777" w:rsidR="00294ABB" w:rsidRPr="0035676F" w:rsidRDefault="00420BFB" w:rsidP="00835B56">
            <w:pPr>
              <w:spacing w:before="60" w:after="60"/>
              <w:jc w:val="center"/>
              <w:rPr>
                <w:color w:val="000000"/>
                <w:sz w:val="18"/>
                <w:szCs w:val="18"/>
              </w:rPr>
            </w:pPr>
            <w:r w:rsidRPr="0035676F">
              <w:rPr>
                <w:color w:val="000000"/>
                <w:sz w:val="18"/>
                <w:szCs w:val="18"/>
              </w:rPr>
              <w:t> </w:t>
            </w:r>
          </w:p>
        </w:tc>
        <w:tc>
          <w:tcPr>
            <w:tcW w:w="1163" w:type="dxa"/>
            <w:tcBorders>
              <w:top w:val="nil"/>
              <w:left w:val="nil"/>
              <w:bottom w:val="nil"/>
              <w:right w:val="single" w:sz="4" w:space="0" w:color="000000"/>
            </w:tcBorders>
            <w:shd w:val="clear" w:color="auto" w:fill="auto"/>
            <w:vAlign w:val="center"/>
          </w:tcPr>
          <w:p w14:paraId="000001BD" w14:textId="77777777" w:rsidR="00294ABB" w:rsidRPr="0035676F" w:rsidRDefault="00420BFB" w:rsidP="00835B56">
            <w:pPr>
              <w:spacing w:before="60" w:after="60"/>
              <w:jc w:val="center"/>
              <w:rPr>
                <w:color w:val="000000"/>
                <w:sz w:val="18"/>
                <w:szCs w:val="18"/>
              </w:rPr>
            </w:pPr>
            <w:r w:rsidRPr="0035676F">
              <w:rPr>
                <w:color w:val="000000"/>
                <w:sz w:val="18"/>
                <w:szCs w:val="18"/>
              </w:rPr>
              <w:t> </w:t>
            </w:r>
          </w:p>
        </w:tc>
        <w:tc>
          <w:tcPr>
            <w:tcW w:w="1163" w:type="dxa"/>
            <w:tcBorders>
              <w:top w:val="nil"/>
              <w:left w:val="nil"/>
              <w:bottom w:val="nil"/>
              <w:right w:val="single" w:sz="4" w:space="0" w:color="000000"/>
            </w:tcBorders>
            <w:shd w:val="clear" w:color="auto" w:fill="auto"/>
            <w:vAlign w:val="center"/>
          </w:tcPr>
          <w:p w14:paraId="000001BE" w14:textId="77777777" w:rsidR="00294ABB" w:rsidRPr="0035676F" w:rsidRDefault="00420BFB" w:rsidP="00835B56">
            <w:pPr>
              <w:spacing w:before="60" w:after="60"/>
              <w:jc w:val="center"/>
              <w:rPr>
                <w:color w:val="000000"/>
                <w:sz w:val="18"/>
                <w:szCs w:val="18"/>
              </w:rPr>
            </w:pPr>
            <w:r w:rsidRPr="0035676F">
              <w:rPr>
                <w:color w:val="000000"/>
                <w:sz w:val="18"/>
                <w:szCs w:val="18"/>
              </w:rPr>
              <w:t> </w:t>
            </w:r>
          </w:p>
        </w:tc>
        <w:tc>
          <w:tcPr>
            <w:tcW w:w="1164" w:type="dxa"/>
            <w:tcBorders>
              <w:top w:val="nil"/>
              <w:left w:val="nil"/>
              <w:bottom w:val="nil"/>
              <w:right w:val="single" w:sz="8" w:space="0" w:color="000000"/>
            </w:tcBorders>
            <w:shd w:val="clear" w:color="auto" w:fill="auto"/>
            <w:vAlign w:val="center"/>
          </w:tcPr>
          <w:p w14:paraId="000001BF" w14:textId="77777777" w:rsidR="00294ABB" w:rsidRPr="0035676F" w:rsidRDefault="00420BFB" w:rsidP="00835B56">
            <w:pPr>
              <w:spacing w:before="60" w:after="60"/>
              <w:jc w:val="center"/>
              <w:rPr>
                <w:color w:val="000000"/>
                <w:sz w:val="18"/>
                <w:szCs w:val="18"/>
              </w:rPr>
            </w:pPr>
            <w:r w:rsidRPr="0035676F">
              <w:rPr>
                <w:color w:val="000000"/>
                <w:sz w:val="18"/>
                <w:szCs w:val="18"/>
              </w:rPr>
              <w:t> </w:t>
            </w:r>
          </w:p>
        </w:tc>
      </w:tr>
      <w:tr w:rsidR="00294ABB" w:rsidRPr="0035676F" w14:paraId="01BF0827" w14:textId="77777777" w:rsidTr="00835B56">
        <w:trPr>
          <w:trHeight w:val="290"/>
          <w:jc w:val="center"/>
        </w:trPr>
        <w:tc>
          <w:tcPr>
            <w:tcW w:w="3852" w:type="dxa"/>
            <w:tcBorders>
              <w:top w:val="single" w:sz="8" w:space="0" w:color="000000"/>
              <w:left w:val="single" w:sz="8" w:space="0" w:color="000000"/>
              <w:bottom w:val="single" w:sz="4" w:space="0" w:color="000000"/>
              <w:right w:val="single" w:sz="4" w:space="0" w:color="000000"/>
            </w:tcBorders>
            <w:shd w:val="clear" w:color="auto" w:fill="auto"/>
            <w:vAlign w:val="center"/>
          </w:tcPr>
          <w:p w14:paraId="000001C0" w14:textId="77777777" w:rsidR="00294ABB" w:rsidRPr="0035676F" w:rsidRDefault="00420BFB" w:rsidP="00835B56">
            <w:pPr>
              <w:spacing w:before="60" w:after="60"/>
              <w:jc w:val="left"/>
              <w:rPr>
                <w:b/>
                <w:color w:val="000000"/>
                <w:sz w:val="18"/>
                <w:szCs w:val="18"/>
              </w:rPr>
            </w:pPr>
            <w:r w:rsidRPr="0035676F">
              <w:rPr>
                <w:b/>
                <w:color w:val="000000"/>
                <w:sz w:val="18"/>
                <w:szCs w:val="18"/>
              </w:rPr>
              <w:t>Average annual growth rates (%)</w:t>
            </w:r>
          </w:p>
        </w:tc>
        <w:tc>
          <w:tcPr>
            <w:tcW w:w="1163" w:type="dxa"/>
            <w:tcBorders>
              <w:top w:val="single" w:sz="8" w:space="0" w:color="000000"/>
              <w:left w:val="nil"/>
              <w:bottom w:val="single" w:sz="4" w:space="0" w:color="000000"/>
              <w:right w:val="single" w:sz="4" w:space="0" w:color="000000"/>
            </w:tcBorders>
            <w:shd w:val="clear" w:color="auto" w:fill="auto"/>
            <w:vAlign w:val="center"/>
          </w:tcPr>
          <w:p w14:paraId="000001C1" w14:textId="67117E0A" w:rsidR="00294ABB" w:rsidRPr="0035676F" w:rsidRDefault="00420BFB" w:rsidP="00835B56">
            <w:pPr>
              <w:spacing w:before="60" w:after="60"/>
              <w:jc w:val="center"/>
              <w:rPr>
                <w:b/>
                <w:color w:val="000000"/>
                <w:sz w:val="18"/>
                <w:szCs w:val="18"/>
              </w:rPr>
            </w:pPr>
            <w:r w:rsidRPr="0035676F">
              <w:rPr>
                <w:b/>
                <w:color w:val="000000"/>
                <w:sz w:val="18"/>
                <w:szCs w:val="18"/>
              </w:rPr>
              <w:t>2009</w:t>
            </w:r>
            <w:r w:rsidR="007165FB">
              <w:rPr>
                <w:b/>
                <w:color w:val="000000"/>
                <w:sz w:val="18"/>
                <w:szCs w:val="18"/>
              </w:rPr>
              <w:t>–20</w:t>
            </w:r>
            <w:r w:rsidRPr="0035676F">
              <w:rPr>
                <w:b/>
                <w:color w:val="000000"/>
                <w:sz w:val="18"/>
                <w:szCs w:val="18"/>
              </w:rPr>
              <w:t>12</w:t>
            </w:r>
          </w:p>
        </w:tc>
        <w:tc>
          <w:tcPr>
            <w:tcW w:w="1163" w:type="dxa"/>
            <w:tcBorders>
              <w:top w:val="single" w:sz="8" w:space="0" w:color="000000"/>
              <w:left w:val="nil"/>
              <w:bottom w:val="single" w:sz="4" w:space="0" w:color="000000"/>
              <w:right w:val="single" w:sz="4" w:space="0" w:color="000000"/>
            </w:tcBorders>
            <w:shd w:val="clear" w:color="auto" w:fill="auto"/>
            <w:vAlign w:val="center"/>
          </w:tcPr>
          <w:p w14:paraId="000001C2" w14:textId="251D34C1" w:rsidR="00294ABB" w:rsidRPr="0035676F" w:rsidRDefault="00420BFB" w:rsidP="00835B56">
            <w:pPr>
              <w:spacing w:before="60" w:after="60"/>
              <w:jc w:val="center"/>
              <w:rPr>
                <w:b/>
                <w:color w:val="000000"/>
                <w:sz w:val="18"/>
                <w:szCs w:val="18"/>
              </w:rPr>
            </w:pPr>
            <w:r w:rsidRPr="0035676F">
              <w:rPr>
                <w:b/>
                <w:color w:val="000000"/>
                <w:sz w:val="18"/>
                <w:szCs w:val="18"/>
              </w:rPr>
              <w:t>2012</w:t>
            </w:r>
            <w:r w:rsidR="007165FB">
              <w:rPr>
                <w:b/>
                <w:color w:val="000000"/>
                <w:sz w:val="18"/>
                <w:szCs w:val="18"/>
              </w:rPr>
              <w:t>–20</w:t>
            </w:r>
            <w:r w:rsidRPr="0035676F">
              <w:rPr>
                <w:b/>
                <w:color w:val="000000"/>
                <w:sz w:val="18"/>
                <w:szCs w:val="18"/>
              </w:rPr>
              <w:t>15</w:t>
            </w:r>
          </w:p>
        </w:tc>
        <w:tc>
          <w:tcPr>
            <w:tcW w:w="1163" w:type="dxa"/>
            <w:tcBorders>
              <w:top w:val="single" w:sz="8" w:space="0" w:color="000000"/>
              <w:left w:val="nil"/>
              <w:bottom w:val="single" w:sz="4" w:space="0" w:color="000000"/>
              <w:right w:val="single" w:sz="4" w:space="0" w:color="000000"/>
            </w:tcBorders>
            <w:shd w:val="clear" w:color="auto" w:fill="auto"/>
            <w:vAlign w:val="center"/>
          </w:tcPr>
          <w:p w14:paraId="000001C3" w14:textId="6C7D91E6" w:rsidR="00294ABB" w:rsidRPr="0035676F" w:rsidRDefault="00420BFB" w:rsidP="00835B56">
            <w:pPr>
              <w:spacing w:before="60" w:after="60"/>
              <w:jc w:val="center"/>
              <w:rPr>
                <w:b/>
                <w:color w:val="000000"/>
                <w:sz w:val="18"/>
                <w:szCs w:val="18"/>
              </w:rPr>
            </w:pPr>
            <w:r w:rsidRPr="0035676F">
              <w:rPr>
                <w:b/>
                <w:color w:val="000000"/>
                <w:sz w:val="18"/>
                <w:szCs w:val="18"/>
              </w:rPr>
              <w:t>2015</w:t>
            </w:r>
            <w:r w:rsidR="007165FB">
              <w:rPr>
                <w:b/>
                <w:color w:val="000000"/>
                <w:sz w:val="18"/>
                <w:szCs w:val="18"/>
              </w:rPr>
              <w:t>–20</w:t>
            </w:r>
            <w:r w:rsidRPr="0035676F">
              <w:rPr>
                <w:b/>
                <w:color w:val="000000"/>
                <w:sz w:val="18"/>
                <w:szCs w:val="18"/>
              </w:rPr>
              <w:t>18</w:t>
            </w:r>
          </w:p>
        </w:tc>
        <w:tc>
          <w:tcPr>
            <w:tcW w:w="1164" w:type="dxa"/>
            <w:tcBorders>
              <w:top w:val="single" w:sz="8" w:space="0" w:color="000000"/>
              <w:left w:val="nil"/>
              <w:bottom w:val="single" w:sz="4" w:space="0" w:color="000000"/>
              <w:right w:val="single" w:sz="8" w:space="0" w:color="000000"/>
            </w:tcBorders>
            <w:shd w:val="clear" w:color="auto" w:fill="auto"/>
            <w:vAlign w:val="center"/>
          </w:tcPr>
          <w:p w14:paraId="000001C4" w14:textId="285310D4" w:rsidR="00294ABB" w:rsidRPr="0035676F" w:rsidRDefault="00420BFB" w:rsidP="00835B56">
            <w:pPr>
              <w:spacing w:before="60" w:after="60"/>
              <w:jc w:val="center"/>
              <w:rPr>
                <w:b/>
                <w:color w:val="000000"/>
                <w:sz w:val="18"/>
                <w:szCs w:val="18"/>
              </w:rPr>
            </w:pPr>
            <w:r w:rsidRPr="0035676F">
              <w:rPr>
                <w:b/>
                <w:color w:val="000000"/>
                <w:sz w:val="18"/>
                <w:szCs w:val="18"/>
              </w:rPr>
              <w:t>2018</w:t>
            </w:r>
            <w:r w:rsidR="007165FB">
              <w:rPr>
                <w:b/>
                <w:color w:val="000000"/>
                <w:sz w:val="18"/>
                <w:szCs w:val="18"/>
              </w:rPr>
              <w:t>–</w:t>
            </w:r>
            <w:r w:rsidRPr="0035676F">
              <w:rPr>
                <w:b/>
                <w:color w:val="000000"/>
                <w:sz w:val="18"/>
                <w:szCs w:val="18"/>
              </w:rPr>
              <w:t>2020</w:t>
            </w:r>
          </w:p>
        </w:tc>
      </w:tr>
      <w:tr w:rsidR="00294ABB" w:rsidRPr="0035676F" w14:paraId="18A860C4" w14:textId="77777777" w:rsidTr="00835B56">
        <w:trPr>
          <w:trHeight w:val="290"/>
          <w:jc w:val="center"/>
        </w:trPr>
        <w:tc>
          <w:tcPr>
            <w:tcW w:w="3852" w:type="dxa"/>
            <w:tcBorders>
              <w:top w:val="nil"/>
              <w:left w:val="single" w:sz="8" w:space="0" w:color="000000"/>
              <w:bottom w:val="single" w:sz="4" w:space="0" w:color="000000"/>
              <w:right w:val="single" w:sz="4" w:space="0" w:color="000000"/>
            </w:tcBorders>
            <w:shd w:val="clear" w:color="auto" w:fill="auto"/>
            <w:vAlign w:val="center"/>
          </w:tcPr>
          <w:p w14:paraId="000001C5" w14:textId="77777777" w:rsidR="00294ABB" w:rsidRPr="0035676F" w:rsidRDefault="00420BFB" w:rsidP="00835B56">
            <w:pPr>
              <w:spacing w:before="60" w:after="60"/>
              <w:jc w:val="left"/>
              <w:rPr>
                <w:color w:val="000000"/>
                <w:sz w:val="18"/>
                <w:szCs w:val="18"/>
              </w:rPr>
            </w:pPr>
            <w:r w:rsidRPr="0035676F">
              <w:rPr>
                <w:color w:val="000000"/>
                <w:sz w:val="18"/>
                <w:szCs w:val="18"/>
              </w:rPr>
              <w:t>Cultural goods exports</w:t>
            </w:r>
          </w:p>
        </w:tc>
        <w:tc>
          <w:tcPr>
            <w:tcW w:w="1163" w:type="dxa"/>
            <w:tcBorders>
              <w:top w:val="nil"/>
              <w:left w:val="nil"/>
              <w:bottom w:val="single" w:sz="4" w:space="0" w:color="000000"/>
              <w:right w:val="single" w:sz="4" w:space="0" w:color="000000"/>
            </w:tcBorders>
            <w:shd w:val="clear" w:color="auto" w:fill="auto"/>
            <w:tcMar>
              <w:right w:w="284" w:type="dxa"/>
            </w:tcMar>
            <w:vAlign w:val="center"/>
          </w:tcPr>
          <w:p w14:paraId="000001C6" w14:textId="77777777" w:rsidR="00294ABB" w:rsidRPr="0035676F" w:rsidRDefault="00420BFB" w:rsidP="00835B56">
            <w:pPr>
              <w:spacing w:before="60" w:after="60"/>
              <w:jc w:val="right"/>
              <w:rPr>
                <w:color w:val="000000"/>
                <w:sz w:val="18"/>
                <w:szCs w:val="18"/>
              </w:rPr>
            </w:pPr>
            <w:r w:rsidRPr="0035676F">
              <w:rPr>
                <w:color w:val="000000"/>
                <w:sz w:val="18"/>
                <w:szCs w:val="18"/>
              </w:rPr>
              <w:t>19.53</w:t>
            </w:r>
          </w:p>
        </w:tc>
        <w:tc>
          <w:tcPr>
            <w:tcW w:w="1163" w:type="dxa"/>
            <w:tcBorders>
              <w:top w:val="nil"/>
              <w:left w:val="nil"/>
              <w:bottom w:val="single" w:sz="4" w:space="0" w:color="000000"/>
              <w:right w:val="single" w:sz="4" w:space="0" w:color="000000"/>
            </w:tcBorders>
            <w:shd w:val="clear" w:color="auto" w:fill="auto"/>
            <w:tcMar>
              <w:right w:w="284" w:type="dxa"/>
            </w:tcMar>
            <w:vAlign w:val="center"/>
          </w:tcPr>
          <w:p w14:paraId="000001C7" w14:textId="77777777" w:rsidR="00294ABB" w:rsidRPr="0035676F" w:rsidRDefault="00420BFB" w:rsidP="00835B56">
            <w:pPr>
              <w:spacing w:before="60" w:after="60"/>
              <w:jc w:val="right"/>
              <w:rPr>
                <w:color w:val="000000"/>
                <w:sz w:val="18"/>
                <w:szCs w:val="18"/>
              </w:rPr>
            </w:pPr>
            <w:r w:rsidRPr="0035676F">
              <w:rPr>
                <w:color w:val="000000"/>
                <w:sz w:val="18"/>
                <w:szCs w:val="18"/>
              </w:rPr>
              <w:t>6.00</w:t>
            </w:r>
          </w:p>
        </w:tc>
        <w:tc>
          <w:tcPr>
            <w:tcW w:w="1163" w:type="dxa"/>
            <w:tcBorders>
              <w:top w:val="nil"/>
              <w:left w:val="nil"/>
              <w:bottom w:val="single" w:sz="4" w:space="0" w:color="000000"/>
              <w:right w:val="single" w:sz="4" w:space="0" w:color="000000"/>
            </w:tcBorders>
            <w:shd w:val="clear" w:color="auto" w:fill="auto"/>
            <w:tcMar>
              <w:right w:w="284" w:type="dxa"/>
            </w:tcMar>
            <w:vAlign w:val="center"/>
          </w:tcPr>
          <w:p w14:paraId="000001C8" w14:textId="77777777" w:rsidR="00294ABB" w:rsidRPr="0035676F" w:rsidRDefault="00420BFB" w:rsidP="00835B56">
            <w:pPr>
              <w:spacing w:before="60" w:after="60"/>
              <w:jc w:val="right"/>
              <w:rPr>
                <w:color w:val="000000"/>
                <w:sz w:val="18"/>
                <w:szCs w:val="18"/>
              </w:rPr>
            </w:pPr>
            <w:r w:rsidRPr="0035676F">
              <w:rPr>
                <w:color w:val="000000"/>
                <w:sz w:val="18"/>
                <w:szCs w:val="18"/>
              </w:rPr>
              <w:t>14.64</w:t>
            </w:r>
          </w:p>
        </w:tc>
        <w:tc>
          <w:tcPr>
            <w:tcW w:w="1164" w:type="dxa"/>
            <w:tcBorders>
              <w:top w:val="nil"/>
              <w:left w:val="nil"/>
              <w:bottom w:val="single" w:sz="4" w:space="0" w:color="000000"/>
              <w:right w:val="single" w:sz="8" w:space="0" w:color="000000"/>
            </w:tcBorders>
            <w:shd w:val="clear" w:color="auto" w:fill="auto"/>
            <w:tcMar>
              <w:right w:w="284" w:type="dxa"/>
            </w:tcMar>
            <w:vAlign w:val="center"/>
          </w:tcPr>
          <w:p w14:paraId="000001C9" w14:textId="77777777" w:rsidR="00294ABB" w:rsidRPr="0035676F" w:rsidRDefault="00420BFB" w:rsidP="00835B56">
            <w:pPr>
              <w:spacing w:before="60" w:after="60"/>
              <w:jc w:val="right"/>
              <w:rPr>
                <w:color w:val="000000"/>
                <w:sz w:val="18"/>
                <w:szCs w:val="18"/>
              </w:rPr>
            </w:pPr>
            <w:r w:rsidRPr="0035676F">
              <w:rPr>
                <w:color w:val="000000"/>
                <w:sz w:val="18"/>
                <w:szCs w:val="18"/>
              </w:rPr>
              <w:t>-16.03</w:t>
            </w:r>
          </w:p>
        </w:tc>
      </w:tr>
      <w:tr w:rsidR="00294ABB" w:rsidRPr="0035676F" w14:paraId="0E94F336" w14:textId="77777777" w:rsidTr="00835B56">
        <w:trPr>
          <w:trHeight w:val="290"/>
          <w:jc w:val="center"/>
        </w:trPr>
        <w:tc>
          <w:tcPr>
            <w:tcW w:w="3852" w:type="dxa"/>
            <w:tcBorders>
              <w:top w:val="nil"/>
              <w:left w:val="single" w:sz="8" w:space="0" w:color="000000"/>
              <w:bottom w:val="single" w:sz="4" w:space="0" w:color="000000"/>
              <w:right w:val="single" w:sz="4" w:space="0" w:color="000000"/>
            </w:tcBorders>
            <w:shd w:val="clear" w:color="auto" w:fill="auto"/>
            <w:vAlign w:val="center"/>
          </w:tcPr>
          <w:p w14:paraId="000001CA" w14:textId="77777777" w:rsidR="00294ABB" w:rsidRPr="0035676F" w:rsidRDefault="00420BFB" w:rsidP="00835B56">
            <w:pPr>
              <w:spacing w:before="60" w:after="60"/>
              <w:jc w:val="left"/>
              <w:rPr>
                <w:color w:val="000000"/>
                <w:sz w:val="18"/>
                <w:szCs w:val="18"/>
              </w:rPr>
            </w:pPr>
            <w:r w:rsidRPr="0035676F">
              <w:rPr>
                <w:color w:val="000000"/>
                <w:sz w:val="18"/>
                <w:szCs w:val="18"/>
              </w:rPr>
              <w:t>Cultural goods imports</w:t>
            </w:r>
          </w:p>
        </w:tc>
        <w:tc>
          <w:tcPr>
            <w:tcW w:w="1163" w:type="dxa"/>
            <w:tcBorders>
              <w:top w:val="nil"/>
              <w:left w:val="nil"/>
              <w:bottom w:val="single" w:sz="4" w:space="0" w:color="000000"/>
              <w:right w:val="single" w:sz="4" w:space="0" w:color="000000"/>
            </w:tcBorders>
            <w:shd w:val="clear" w:color="auto" w:fill="auto"/>
            <w:tcMar>
              <w:right w:w="284" w:type="dxa"/>
            </w:tcMar>
            <w:vAlign w:val="center"/>
          </w:tcPr>
          <w:p w14:paraId="000001CB" w14:textId="77777777" w:rsidR="00294ABB" w:rsidRPr="0035676F" w:rsidRDefault="00420BFB" w:rsidP="00835B56">
            <w:pPr>
              <w:spacing w:before="60" w:after="60"/>
              <w:jc w:val="right"/>
              <w:rPr>
                <w:color w:val="000000"/>
                <w:sz w:val="18"/>
                <w:szCs w:val="18"/>
              </w:rPr>
            </w:pPr>
            <w:r w:rsidRPr="0035676F">
              <w:rPr>
                <w:color w:val="000000"/>
                <w:sz w:val="18"/>
                <w:szCs w:val="18"/>
              </w:rPr>
              <w:t>14.98</w:t>
            </w:r>
          </w:p>
        </w:tc>
        <w:tc>
          <w:tcPr>
            <w:tcW w:w="1163" w:type="dxa"/>
            <w:tcBorders>
              <w:top w:val="nil"/>
              <w:left w:val="nil"/>
              <w:bottom w:val="single" w:sz="4" w:space="0" w:color="000000"/>
              <w:right w:val="single" w:sz="4" w:space="0" w:color="000000"/>
            </w:tcBorders>
            <w:shd w:val="clear" w:color="auto" w:fill="auto"/>
            <w:tcMar>
              <w:right w:w="284" w:type="dxa"/>
            </w:tcMar>
            <w:vAlign w:val="center"/>
          </w:tcPr>
          <w:p w14:paraId="000001CC" w14:textId="77777777" w:rsidR="00294ABB" w:rsidRPr="0035676F" w:rsidRDefault="00420BFB" w:rsidP="00835B56">
            <w:pPr>
              <w:spacing w:before="60" w:after="60"/>
              <w:jc w:val="right"/>
              <w:rPr>
                <w:color w:val="000000"/>
                <w:sz w:val="18"/>
                <w:szCs w:val="18"/>
              </w:rPr>
            </w:pPr>
            <w:r w:rsidRPr="0035676F">
              <w:rPr>
                <w:color w:val="000000"/>
                <w:sz w:val="18"/>
                <w:szCs w:val="18"/>
              </w:rPr>
              <w:t>-8.31</w:t>
            </w:r>
          </w:p>
        </w:tc>
        <w:tc>
          <w:tcPr>
            <w:tcW w:w="1163" w:type="dxa"/>
            <w:tcBorders>
              <w:top w:val="nil"/>
              <w:left w:val="nil"/>
              <w:bottom w:val="single" w:sz="4" w:space="0" w:color="000000"/>
              <w:right w:val="single" w:sz="4" w:space="0" w:color="000000"/>
            </w:tcBorders>
            <w:shd w:val="clear" w:color="auto" w:fill="auto"/>
            <w:tcMar>
              <w:right w:w="284" w:type="dxa"/>
            </w:tcMar>
            <w:vAlign w:val="center"/>
          </w:tcPr>
          <w:p w14:paraId="000001CD" w14:textId="77777777" w:rsidR="00294ABB" w:rsidRPr="0035676F" w:rsidRDefault="00420BFB" w:rsidP="00835B56">
            <w:pPr>
              <w:spacing w:before="60" w:after="60"/>
              <w:jc w:val="right"/>
              <w:rPr>
                <w:color w:val="000000"/>
                <w:sz w:val="18"/>
                <w:szCs w:val="18"/>
              </w:rPr>
            </w:pPr>
            <w:r w:rsidRPr="0035676F">
              <w:rPr>
                <w:color w:val="000000"/>
                <w:sz w:val="18"/>
                <w:szCs w:val="18"/>
              </w:rPr>
              <w:t>-3.04</w:t>
            </w:r>
          </w:p>
        </w:tc>
        <w:tc>
          <w:tcPr>
            <w:tcW w:w="1164" w:type="dxa"/>
            <w:tcBorders>
              <w:top w:val="nil"/>
              <w:left w:val="nil"/>
              <w:bottom w:val="single" w:sz="4" w:space="0" w:color="000000"/>
              <w:right w:val="single" w:sz="8" w:space="0" w:color="000000"/>
            </w:tcBorders>
            <w:shd w:val="clear" w:color="auto" w:fill="auto"/>
            <w:tcMar>
              <w:right w:w="284" w:type="dxa"/>
            </w:tcMar>
            <w:vAlign w:val="center"/>
          </w:tcPr>
          <w:p w14:paraId="000001CE" w14:textId="77777777" w:rsidR="00294ABB" w:rsidRPr="0035676F" w:rsidRDefault="00420BFB" w:rsidP="00835B56">
            <w:pPr>
              <w:spacing w:before="60" w:after="60"/>
              <w:jc w:val="right"/>
              <w:rPr>
                <w:color w:val="000000"/>
                <w:sz w:val="18"/>
                <w:szCs w:val="18"/>
              </w:rPr>
            </w:pPr>
            <w:r w:rsidRPr="0035676F">
              <w:rPr>
                <w:color w:val="000000"/>
                <w:sz w:val="18"/>
                <w:szCs w:val="18"/>
              </w:rPr>
              <w:t>-26.19</w:t>
            </w:r>
          </w:p>
        </w:tc>
      </w:tr>
      <w:tr w:rsidR="00294ABB" w:rsidRPr="0035676F" w14:paraId="034304FC" w14:textId="77777777" w:rsidTr="00835B56">
        <w:trPr>
          <w:trHeight w:val="290"/>
          <w:jc w:val="center"/>
        </w:trPr>
        <w:tc>
          <w:tcPr>
            <w:tcW w:w="3852" w:type="dxa"/>
            <w:tcBorders>
              <w:top w:val="nil"/>
              <w:left w:val="single" w:sz="8" w:space="0" w:color="000000"/>
              <w:bottom w:val="single" w:sz="4" w:space="0" w:color="000000"/>
              <w:right w:val="single" w:sz="4" w:space="0" w:color="000000"/>
            </w:tcBorders>
            <w:shd w:val="clear" w:color="auto" w:fill="auto"/>
            <w:vAlign w:val="center"/>
          </w:tcPr>
          <w:p w14:paraId="000001CF" w14:textId="77777777" w:rsidR="00294ABB" w:rsidRPr="0035676F" w:rsidRDefault="00420BFB" w:rsidP="00835B56">
            <w:pPr>
              <w:spacing w:before="60" w:after="60"/>
              <w:jc w:val="left"/>
              <w:rPr>
                <w:color w:val="000000"/>
                <w:sz w:val="18"/>
                <w:szCs w:val="18"/>
              </w:rPr>
            </w:pPr>
            <w:r w:rsidRPr="0035676F">
              <w:rPr>
                <w:color w:val="000000"/>
                <w:sz w:val="18"/>
                <w:szCs w:val="18"/>
              </w:rPr>
              <w:t>Total commodity exports</w:t>
            </w:r>
          </w:p>
        </w:tc>
        <w:tc>
          <w:tcPr>
            <w:tcW w:w="1163" w:type="dxa"/>
            <w:tcBorders>
              <w:top w:val="nil"/>
              <w:left w:val="nil"/>
              <w:bottom w:val="single" w:sz="4" w:space="0" w:color="000000"/>
              <w:right w:val="single" w:sz="4" w:space="0" w:color="000000"/>
            </w:tcBorders>
            <w:shd w:val="clear" w:color="auto" w:fill="auto"/>
            <w:tcMar>
              <w:right w:w="284" w:type="dxa"/>
            </w:tcMar>
            <w:vAlign w:val="center"/>
          </w:tcPr>
          <w:p w14:paraId="000001D0" w14:textId="77777777" w:rsidR="00294ABB" w:rsidRPr="0035676F" w:rsidRDefault="00420BFB" w:rsidP="00835B56">
            <w:pPr>
              <w:spacing w:before="60" w:after="60"/>
              <w:jc w:val="right"/>
              <w:rPr>
                <w:color w:val="000000"/>
                <w:sz w:val="18"/>
                <w:szCs w:val="18"/>
              </w:rPr>
            </w:pPr>
            <w:r w:rsidRPr="0035676F">
              <w:rPr>
                <w:color w:val="000000"/>
                <w:sz w:val="18"/>
                <w:szCs w:val="18"/>
              </w:rPr>
              <w:t>22.42</w:t>
            </w:r>
          </w:p>
        </w:tc>
        <w:tc>
          <w:tcPr>
            <w:tcW w:w="1163" w:type="dxa"/>
            <w:tcBorders>
              <w:top w:val="nil"/>
              <w:left w:val="nil"/>
              <w:bottom w:val="single" w:sz="4" w:space="0" w:color="000000"/>
              <w:right w:val="single" w:sz="4" w:space="0" w:color="000000"/>
            </w:tcBorders>
            <w:shd w:val="clear" w:color="auto" w:fill="auto"/>
            <w:tcMar>
              <w:right w:w="284" w:type="dxa"/>
            </w:tcMar>
            <w:vAlign w:val="center"/>
          </w:tcPr>
          <w:p w14:paraId="000001D1" w14:textId="77777777" w:rsidR="00294ABB" w:rsidRPr="0035676F" w:rsidRDefault="00420BFB" w:rsidP="00835B56">
            <w:pPr>
              <w:spacing w:before="60" w:after="60"/>
              <w:jc w:val="right"/>
              <w:rPr>
                <w:color w:val="000000"/>
                <w:sz w:val="18"/>
                <w:szCs w:val="18"/>
              </w:rPr>
            </w:pPr>
            <w:r w:rsidRPr="0035676F">
              <w:rPr>
                <w:color w:val="000000"/>
                <w:sz w:val="18"/>
                <w:szCs w:val="18"/>
              </w:rPr>
              <w:t>-6.11</w:t>
            </w:r>
          </w:p>
        </w:tc>
        <w:tc>
          <w:tcPr>
            <w:tcW w:w="1163" w:type="dxa"/>
            <w:tcBorders>
              <w:top w:val="nil"/>
              <w:left w:val="nil"/>
              <w:bottom w:val="single" w:sz="4" w:space="0" w:color="000000"/>
              <w:right w:val="single" w:sz="4" w:space="0" w:color="000000"/>
            </w:tcBorders>
            <w:shd w:val="clear" w:color="auto" w:fill="auto"/>
            <w:tcMar>
              <w:right w:w="284" w:type="dxa"/>
            </w:tcMar>
            <w:vAlign w:val="center"/>
          </w:tcPr>
          <w:p w14:paraId="000001D2" w14:textId="77777777" w:rsidR="00294ABB" w:rsidRPr="0035676F" w:rsidRDefault="00420BFB" w:rsidP="00835B56">
            <w:pPr>
              <w:spacing w:before="60" w:after="60"/>
              <w:jc w:val="right"/>
              <w:rPr>
                <w:color w:val="000000"/>
                <w:sz w:val="18"/>
                <w:szCs w:val="18"/>
              </w:rPr>
            </w:pPr>
            <w:r w:rsidRPr="0035676F">
              <w:rPr>
                <w:color w:val="000000"/>
                <w:sz w:val="18"/>
                <w:szCs w:val="18"/>
              </w:rPr>
              <w:t>5.18</w:t>
            </w:r>
          </w:p>
        </w:tc>
        <w:tc>
          <w:tcPr>
            <w:tcW w:w="1164" w:type="dxa"/>
            <w:tcBorders>
              <w:top w:val="nil"/>
              <w:left w:val="nil"/>
              <w:bottom w:val="single" w:sz="4" w:space="0" w:color="000000"/>
              <w:right w:val="single" w:sz="8" w:space="0" w:color="000000"/>
            </w:tcBorders>
            <w:shd w:val="clear" w:color="auto" w:fill="auto"/>
            <w:tcMar>
              <w:right w:w="284" w:type="dxa"/>
            </w:tcMar>
            <w:vAlign w:val="center"/>
          </w:tcPr>
          <w:p w14:paraId="000001D3" w14:textId="77777777" w:rsidR="00294ABB" w:rsidRPr="0035676F" w:rsidRDefault="00420BFB" w:rsidP="00835B56">
            <w:pPr>
              <w:spacing w:before="60" w:after="60"/>
              <w:jc w:val="right"/>
              <w:rPr>
                <w:color w:val="000000"/>
                <w:sz w:val="18"/>
                <w:szCs w:val="18"/>
              </w:rPr>
            </w:pPr>
            <w:r w:rsidRPr="0035676F">
              <w:rPr>
                <w:color w:val="000000"/>
                <w:sz w:val="18"/>
                <w:szCs w:val="18"/>
              </w:rPr>
              <w:t>-5.12</w:t>
            </w:r>
          </w:p>
        </w:tc>
      </w:tr>
      <w:tr w:rsidR="00294ABB" w:rsidRPr="0035676F" w14:paraId="3D22EB06" w14:textId="77777777" w:rsidTr="00835B56">
        <w:trPr>
          <w:trHeight w:val="300"/>
          <w:jc w:val="center"/>
        </w:trPr>
        <w:tc>
          <w:tcPr>
            <w:tcW w:w="3852" w:type="dxa"/>
            <w:tcBorders>
              <w:top w:val="nil"/>
              <w:left w:val="single" w:sz="8" w:space="0" w:color="000000"/>
              <w:bottom w:val="single" w:sz="8" w:space="0" w:color="000000"/>
              <w:right w:val="single" w:sz="4" w:space="0" w:color="000000"/>
            </w:tcBorders>
            <w:shd w:val="clear" w:color="auto" w:fill="auto"/>
            <w:vAlign w:val="center"/>
          </w:tcPr>
          <w:p w14:paraId="000001D4" w14:textId="77777777" w:rsidR="00294ABB" w:rsidRPr="0035676F" w:rsidRDefault="00420BFB" w:rsidP="00835B56">
            <w:pPr>
              <w:spacing w:before="60" w:after="60"/>
              <w:jc w:val="left"/>
              <w:rPr>
                <w:color w:val="000000"/>
                <w:sz w:val="18"/>
                <w:szCs w:val="18"/>
              </w:rPr>
            </w:pPr>
            <w:r w:rsidRPr="0035676F">
              <w:rPr>
                <w:color w:val="000000"/>
                <w:sz w:val="18"/>
                <w:szCs w:val="18"/>
              </w:rPr>
              <w:t>Total commodity imports</w:t>
            </w:r>
          </w:p>
        </w:tc>
        <w:tc>
          <w:tcPr>
            <w:tcW w:w="1163" w:type="dxa"/>
            <w:tcBorders>
              <w:top w:val="nil"/>
              <w:left w:val="nil"/>
              <w:bottom w:val="single" w:sz="8" w:space="0" w:color="000000"/>
              <w:right w:val="single" w:sz="4" w:space="0" w:color="000000"/>
            </w:tcBorders>
            <w:shd w:val="clear" w:color="auto" w:fill="auto"/>
            <w:tcMar>
              <w:right w:w="284" w:type="dxa"/>
            </w:tcMar>
            <w:vAlign w:val="center"/>
          </w:tcPr>
          <w:p w14:paraId="000001D5" w14:textId="77777777" w:rsidR="00294ABB" w:rsidRPr="0035676F" w:rsidRDefault="00420BFB" w:rsidP="00835B56">
            <w:pPr>
              <w:spacing w:before="60" w:after="60"/>
              <w:jc w:val="right"/>
              <w:rPr>
                <w:color w:val="000000"/>
                <w:sz w:val="18"/>
                <w:szCs w:val="18"/>
              </w:rPr>
            </w:pPr>
            <w:r w:rsidRPr="0035676F">
              <w:rPr>
                <w:color w:val="000000"/>
                <w:sz w:val="18"/>
                <w:szCs w:val="18"/>
              </w:rPr>
              <w:t>17.78</w:t>
            </w:r>
          </w:p>
        </w:tc>
        <w:tc>
          <w:tcPr>
            <w:tcW w:w="1163" w:type="dxa"/>
            <w:tcBorders>
              <w:top w:val="nil"/>
              <w:left w:val="nil"/>
              <w:bottom w:val="single" w:sz="8" w:space="0" w:color="000000"/>
              <w:right w:val="single" w:sz="4" w:space="0" w:color="000000"/>
            </w:tcBorders>
            <w:shd w:val="clear" w:color="auto" w:fill="auto"/>
            <w:tcMar>
              <w:right w:w="284" w:type="dxa"/>
            </w:tcMar>
            <w:vAlign w:val="center"/>
          </w:tcPr>
          <w:p w14:paraId="000001D6" w14:textId="77777777" w:rsidR="00294ABB" w:rsidRPr="0035676F" w:rsidRDefault="00420BFB" w:rsidP="00835B56">
            <w:pPr>
              <w:spacing w:before="60" w:after="60"/>
              <w:jc w:val="right"/>
              <w:rPr>
                <w:color w:val="000000"/>
                <w:sz w:val="18"/>
                <w:szCs w:val="18"/>
              </w:rPr>
            </w:pPr>
            <w:r w:rsidRPr="0035676F">
              <w:rPr>
                <w:color w:val="000000"/>
                <w:sz w:val="18"/>
                <w:szCs w:val="18"/>
              </w:rPr>
              <w:t>-6.28</w:t>
            </w:r>
          </w:p>
        </w:tc>
        <w:tc>
          <w:tcPr>
            <w:tcW w:w="1163" w:type="dxa"/>
            <w:tcBorders>
              <w:top w:val="nil"/>
              <w:left w:val="nil"/>
              <w:bottom w:val="single" w:sz="8" w:space="0" w:color="000000"/>
              <w:right w:val="single" w:sz="4" w:space="0" w:color="000000"/>
            </w:tcBorders>
            <w:shd w:val="clear" w:color="auto" w:fill="auto"/>
            <w:tcMar>
              <w:right w:w="284" w:type="dxa"/>
            </w:tcMar>
            <w:vAlign w:val="center"/>
          </w:tcPr>
          <w:p w14:paraId="000001D7" w14:textId="77777777" w:rsidR="00294ABB" w:rsidRPr="0035676F" w:rsidRDefault="00420BFB" w:rsidP="00835B56">
            <w:pPr>
              <w:spacing w:before="60" w:after="60"/>
              <w:jc w:val="right"/>
              <w:rPr>
                <w:color w:val="000000"/>
                <w:sz w:val="18"/>
                <w:szCs w:val="18"/>
              </w:rPr>
            </w:pPr>
            <w:r w:rsidRPr="0035676F">
              <w:rPr>
                <w:color w:val="000000"/>
                <w:sz w:val="18"/>
                <w:szCs w:val="18"/>
              </w:rPr>
              <w:t>3.12</w:t>
            </w:r>
          </w:p>
        </w:tc>
        <w:tc>
          <w:tcPr>
            <w:tcW w:w="1164" w:type="dxa"/>
            <w:tcBorders>
              <w:top w:val="nil"/>
              <w:left w:val="nil"/>
              <w:bottom w:val="single" w:sz="8" w:space="0" w:color="000000"/>
              <w:right w:val="single" w:sz="8" w:space="0" w:color="000000"/>
            </w:tcBorders>
            <w:shd w:val="clear" w:color="auto" w:fill="auto"/>
            <w:tcMar>
              <w:right w:w="284" w:type="dxa"/>
            </w:tcMar>
            <w:vAlign w:val="center"/>
          </w:tcPr>
          <w:p w14:paraId="000001D8" w14:textId="77777777" w:rsidR="00294ABB" w:rsidRPr="0035676F" w:rsidRDefault="00420BFB" w:rsidP="00835B56">
            <w:pPr>
              <w:spacing w:before="60" w:after="60"/>
              <w:jc w:val="right"/>
              <w:rPr>
                <w:color w:val="000000"/>
                <w:sz w:val="18"/>
                <w:szCs w:val="18"/>
              </w:rPr>
            </w:pPr>
            <w:r w:rsidRPr="0035676F">
              <w:rPr>
                <w:color w:val="000000"/>
                <w:sz w:val="18"/>
                <w:szCs w:val="18"/>
              </w:rPr>
              <w:t>-14.52</w:t>
            </w:r>
          </w:p>
        </w:tc>
      </w:tr>
    </w:tbl>
    <w:p w14:paraId="000001DB" w14:textId="79659757" w:rsidR="00294ABB" w:rsidRDefault="00420BFB" w:rsidP="00835B56">
      <w:pPr>
        <w:spacing w:before="120" w:line="259" w:lineRule="auto"/>
        <w:jc w:val="left"/>
        <w:rPr>
          <w:sz w:val="22"/>
          <w:szCs w:val="22"/>
        </w:rPr>
      </w:pPr>
      <w:r w:rsidRPr="00835B56">
        <w:rPr>
          <w:iCs/>
        </w:rPr>
        <w:t>Source: Authors’ computations based on data from ITC, 2021 and UN Comtrade, 2021</w:t>
      </w:r>
    </w:p>
    <w:p w14:paraId="000001DC" w14:textId="4B8EDDF1" w:rsidR="00294ABB" w:rsidRDefault="00420BFB">
      <w:pPr>
        <w:spacing w:line="259" w:lineRule="auto"/>
        <w:rPr>
          <w:sz w:val="22"/>
          <w:szCs w:val="22"/>
        </w:rPr>
      </w:pPr>
      <w:r>
        <w:rPr>
          <w:sz w:val="22"/>
          <w:szCs w:val="22"/>
        </w:rPr>
        <w:t>In the aftermath of the global financial crisis of 2007</w:t>
      </w:r>
      <w:r w:rsidR="00631E07">
        <w:rPr>
          <w:sz w:val="22"/>
          <w:szCs w:val="22"/>
        </w:rPr>
        <w:t>–</w:t>
      </w:r>
      <w:r>
        <w:rPr>
          <w:sz w:val="22"/>
          <w:szCs w:val="22"/>
        </w:rPr>
        <w:t>2008 which had a significant adverse impact on world trade, South Africa’s cultural goods trade and total commodity trade both recovered strongly in the 2009</w:t>
      </w:r>
      <w:r w:rsidR="00631E07">
        <w:rPr>
          <w:sz w:val="22"/>
          <w:szCs w:val="22"/>
        </w:rPr>
        <w:t>–20</w:t>
      </w:r>
      <w:r>
        <w:rPr>
          <w:sz w:val="22"/>
          <w:szCs w:val="22"/>
        </w:rPr>
        <w:t>12 period (lower panel of Table 4).</w:t>
      </w:r>
      <w:r w:rsidR="001B10E6">
        <w:rPr>
          <w:sz w:val="22"/>
          <w:szCs w:val="22"/>
        </w:rPr>
        <w:t xml:space="preserve"> </w:t>
      </w:r>
      <w:r>
        <w:rPr>
          <w:sz w:val="22"/>
          <w:szCs w:val="22"/>
        </w:rPr>
        <w:t>Cultural goods exports grew at an average annual rate of 19.53% per annum while total exports grew at 22.42% per annum.</w:t>
      </w:r>
      <w:r w:rsidR="001B10E6">
        <w:rPr>
          <w:sz w:val="22"/>
          <w:szCs w:val="22"/>
        </w:rPr>
        <w:t xml:space="preserve"> </w:t>
      </w:r>
      <w:r>
        <w:rPr>
          <w:sz w:val="22"/>
          <w:szCs w:val="22"/>
        </w:rPr>
        <w:t>Cultural goods imports, in the meantime, grew at 14.98% per annum while total imports grew at 17.78% per annum.</w:t>
      </w:r>
      <w:r w:rsidR="001B10E6">
        <w:rPr>
          <w:sz w:val="22"/>
          <w:szCs w:val="22"/>
        </w:rPr>
        <w:t xml:space="preserve"> </w:t>
      </w:r>
    </w:p>
    <w:p w14:paraId="000001DD" w14:textId="6D9C8840" w:rsidR="00294ABB" w:rsidRDefault="00420BFB">
      <w:pPr>
        <w:spacing w:line="259" w:lineRule="auto"/>
        <w:rPr>
          <w:sz w:val="22"/>
          <w:szCs w:val="22"/>
        </w:rPr>
      </w:pPr>
      <w:r>
        <w:rPr>
          <w:sz w:val="22"/>
          <w:szCs w:val="22"/>
        </w:rPr>
        <w:t>Two observations are notable for this period: firstly, both cultural goods exports and total commodity exports grew faster than cultural goods imports and total commodity imports respectively in 2009</w:t>
      </w:r>
      <w:r w:rsidR="00631E07">
        <w:rPr>
          <w:sz w:val="22"/>
          <w:szCs w:val="22"/>
        </w:rPr>
        <w:t>–20</w:t>
      </w:r>
      <w:r>
        <w:rPr>
          <w:sz w:val="22"/>
          <w:szCs w:val="22"/>
        </w:rPr>
        <w:t xml:space="preserve">12. While this narrowed the trade deficit in South Africa’s total </w:t>
      </w:r>
      <w:r>
        <w:rPr>
          <w:sz w:val="22"/>
          <w:szCs w:val="22"/>
        </w:rPr>
        <w:lastRenderedPageBreak/>
        <w:t>commodity trade on the one hand, the deficit in cultural goods trade still widened in absolute terms because cultural good export growth took place off a smaller base than cultural good import growth. The difference between export and import growth was, however, proportionately higher in the case of cultural goods trade.</w:t>
      </w:r>
      <w:r w:rsidR="001B10E6">
        <w:rPr>
          <w:sz w:val="22"/>
          <w:szCs w:val="22"/>
        </w:rPr>
        <w:t xml:space="preserve"> </w:t>
      </w:r>
      <w:r>
        <w:rPr>
          <w:sz w:val="22"/>
          <w:szCs w:val="22"/>
        </w:rPr>
        <w:t>This was largely due to the relatively slow recovery of cultural good import growth during the 2009</w:t>
      </w:r>
      <w:r w:rsidR="00631E07">
        <w:rPr>
          <w:sz w:val="22"/>
          <w:szCs w:val="22"/>
        </w:rPr>
        <w:t>–</w:t>
      </w:r>
      <w:r>
        <w:rPr>
          <w:sz w:val="22"/>
          <w:szCs w:val="22"/>
        </w:rPr>
        <w:t>2012 period.</w:t>
      </w:r>
      <w:r w:rsidR="001B10E6">
        <w:rPr>
          <w:sz w:val="22"/>
          <w:szCs w:val="22"/>
        </w:rPr>
        <w:t xml:space="preserve"> </w:t>
      </w:r>
      <w:r>
        <w:rPr>
          <w:sz w:val="22"/>
          <w:szCs w:val="22"/>
        </w:rPr>
        <w:t>Secondly, total commodity export growth was 2.89 percentage points faster than cultural good export growth during the recovery period (22.42% versus 19.53%), while total commodity import growth was 2.8 percentage points faster than cultural good import growth (17.78% versus 14.98%).</w:t>
      </w:r>
      <w:r w:rsidR="001B10E6">
        <w:rPr>
          <w:sz w:val="22"/>
          <w:szCs w:val="22"/>
        </w:rPr>
        <w:t xml:space="preserve"> </w:t>
      </w:r>
    </w:p>
    <w:p w14:paraId="000001DE" w14:textId="448E41A7" w:rsidR="00294ABB" w:rsidRDefault="00420BFB">
      <w:pPr>
        <w:spacing w:line="259" w:lineRule="auto"/>
        <w:rPr>
          <w:sz w:val="22"/>
          <w:szCs w:val="22"/>
        </w:rPr>
      </w:pPr>
      <w:r>
        <w:rPr>
          <w:sz w:val="22"/>
          <w:szCs w:val="22"/>
        </w:rPr>
        <w:t>Both cultural goods exports and total commodity exports therefore showed some resilience in recovering from the shock of the global financial crisis.</w:t>
      </w:r>
      <w:r w:rsidR="001B10E6">
        <w:rPr>
          <w:sz w:val="22"/>
          <w:szCs w:val="22"/>
        </w:rPr>
        <w:t xml:space="preserve"> </w:t>
      </w:r>
      <w:r>
        <w:rPr>
          <w:sz w:val="22"/>
          <w:szCs w:val="22"/>
        </w:rPr>
        <w:t>An interesting question is whether there is evidence yet of any similar pattern following the trade shock associated with the COVID-19 pandemic.</w:t>
      </w:r>
      <w:r w:rsidR="001B10E6">
        <w:rPr>
          <w:sz w:val="22"/>
          <w:szCs w:val="22"/>
        </w:rPr>
        <w:t xml:space="preserve"> </w:t>
      </w:r>
      <w:r>
        <w:rPr>
          <w:sz w:val="22"/>
          <w:szCs w:val="22"/>
        </w:rPr>
        <w:t>This is discussed further below.</w:t>
      </w:r>
    </w:p>
    <w:p w14:paraId="000001DF" w14:textId="1BEAFA5F" w:rsidR="00294ABB" w:rsidRDefault="00420BFB">
      <w:pPr>
        <w:spacing w:line="259" w:lineRule="auto"/>
        <w:rPr>
          <w:sz w:val="22"/>
          <w:szCs w:val="22"/>
        </w:rPr>
      </w:pPr>
      <w:r>
        <w:rPr>
          <w:sz w:val="22"/>
          <w:szCs w:val="22"/>
        </w:rPr>
        <w:t xml:space="preserve">In the periods </w:t>
      </w:r>
      <w:bookmarkStart w:id="33" w:name="_Hlk92637380"/>
      <w:r>
        <w:rPr>
          <w:sz w:val="22"/>
          <w:szCs w:val="22"/>
        </w:rPr>
        <w:t>2012</w:t>
      </w:r>
      <w:r w:rsidR="0046093C">
        <w:rPr>
          <w:sz w:val="22"/>
          <w:szCs w:val="22"/>
        </w:rPr>
        <w:t>–20</w:t>
      </w:r>
      <w:r>
        <w:rPr>
          <w:sz w:val="22"/>
          <w:szCs w:val="22"/>
        </w:rPr>
        <w:t xml:space="preserve">15 </w:t>
      </w:r>
      <w:bookmarkEnd w:id="33"/>
      <w:r>
        <w:rPr>
          <w:sz w:val="22"/>
          <w:szCs w:val="22"/>
        </w:rPr>
        <w:t>and 2015</w:t>
      </w:r>
      <w:r w:rsidR="0046093C">
        <w:rPr>
          <w:sz w:val="22"/>
          <w:szCs w:val="22"/>
        </w:rPr>
        <w:t>–20</w:t>
      </w:r>
      <w:r>
        <w:rPr>
          <w:sz w:val="22"/>
          <w:szCs w:val="22"/>
        </w:rPr>
        <w:t>18 cultural goods exports continued to exhibit positive average annual growth (6% and 14.64% per annum respectively).</w:t>
      </w:r>
      <w:r w:rsidR="001B10E6">
        <w:rPr>
          <w:sz w:val="22"/>
          <w:szCs w:val="22"/>
        </w:rPr>
        <w:t xml:space="preserve"> </w:t>
      </w:r>
      <w:r>
        <w:rPr>
          <w:sz w:val="22"/>
          <w:szCs w:val="22"/>
        </w:rPr>
        <w:t>Cultural good import growth contracted in these periods (-8.31% and -3.04% per annum respectively).</w:t>
      </w:r>
      <w:r>
        <w:rPr>
          <w:sz w:val="22"/>
          <w:szCs w:val="22"/>
          <w:vertAlign w:val="superscript"/>
        </w:rPr>
        <w:footnoteReference w:id="11"/>
      </w:r>
      <w:r w:rsidR="001B10E6">
        <w:rPr>
          <w:sz w:val="22"/>
          <w:szCs w:val="22"/>
        </w:rPr>
        <w:t xml:space="preserve"> </w:t>
      </w:r>
      <w:r>
        <w:rPr>
          <w:sz w:val="22"/>
          <w:szCs w:val="22"/>
        </w:rPr>
        <w:t>The cultural goods trade deficit improved significantly during this period, contracting from US$423.26 million in 2012 to just US$24.38 million in 2018 (upper panel of Table 4).</w:t>
      </w:r>
      <w:r w:rsidR="001B10E6">
        <w:rPr>
          <w:sz w:val="22"/>
          <w:szCs w:val="22"/>
        </w:rPr>
        <w:t xml:space="preserve"> </w:t>
      </w:r>
      <w:r>
        <w:rPr>
          <w:sz w:val="22"/>
          <w:szCs w:val="22"/>
        </w:rPr>
        <w:t>At the same time total commodity exports contracted by 6.11% per annum in 2012</w:t>
      </w:r>
      <w:r w:rsidR="0046093C">
        <w:rPr>
          <w:sz w:val="22"/>
          <w:szCs w:val="22"/>
        </w:rPr>
        <w:t>–20</w:t>
      </w:r>
      <w:r>
        <w:rPr>
          <w:sz w:val="22"/>
          <w:szCs w:val="22"/>
        </w:rPr>
        <w:t>15 with the end of the commodity boom around 2014 and the global growth slowdown thereafter.</w:t>
      </w:r>
      <w:r w:rsidR="001B10E6">
        <w:rPr>
          <w:sz w:val="22"/>
          <w:szCs w:val="22"/>
        </w:rPr>
        <w:t xml:space="preserve"> </w:t>
      </w:r>
      <w:r>
        <w:rPr>
          <w:sz w:val="22"/>
          <w:szCs w:val="22"/>
        </w:rPr>
        <w:t>Total commodity export growth recovered in 2015</w:t>
      </w:r>
      <w:r w:rsidR="0046093C">
        <w:rPr>
          <w:sz w:val="22"/>
          <w:szCs w:val="22"/>
        </w:rPr>
        <w:t>–20</w:t>
      </w:r>
      <w:r>
        <w:rPr>
          <w:sz w:val="22"/>
          <w:szCs w:val="22"/>
        </w:rPr>
        <w:t>18, but total exports grew more slowly (at 5.18% per annum) than cultural goods exports (14.64% per annum) during this period. Total commodity import growth was less negative than cultural good import growth in 2012</w:t>
      </w:r>
      <w:r w:rsidR="0046093C">
        <w:rPr>
          <w:sz w:val="22"/>
          <w:szCs w:val="22"/>
        </w:rPr>
        <w:t>–20</w:t>
      </w:r>
      <w:r>
        <w:rPr>
          <w:sz w:val="22"/>
          <w:szCs w:val="22"/>
        </w:rPr>
        <w:t>15 and turned positive in 2015</w:t>
      </w:r>
      <w:r w:rsidR="0046093C">
        <w:rPr>
          <w:sz w:val="22"/>
          <w:szCs w:val="22"/>
        </w:rPr>
        <w:t>–20</w:t>
      </w:r>
      <w:r>
        <w:rPr>
          <w:sz w:val="22"/>
          <w:szCs w:val="22"/>
        </w:rPr>
        <w:t>18, unlike cultural good import growth.</w:t>
      </w:r>
      <w:r w:rsidR="001B10E6">
        <w:rPr>
          <w:sz w:val="22"/>
          <w:szCs w:val="22"/>
        </w:rPr>
        <w:t xml:space="preserve"> </w:t>
      </w:r>
    </w:p>
    <w:p w14:paraId="000001E0" w14:textId="06DA344D" w:rsidR="00294ABB" w:rsidRDefault="00420BFB">
      <w:pPr>
        <w:spacing w:line="259" w:lineRule="auto"/>
        <w:rPr>
          <w:sz w:val="22"/>
          <w:szCs w:val="22"/>
        </w:rPr>
      </w:pPr>
      <w:r>
        <w:rPr>
          <w:sz w:val="22"/>
          <w:szCs w:val="22"/>
        </w:rPr>
        <w:t xml:space="preserve">In sum, for the 2012 to 2018 period overall, the growth performance of cultural goods exports was stronger than that of total commodity exports, while cultural </w:t>
      </w:r>
      <w:sdt>
        <w:sdtPr>
          <w:tag w:val="goog_rdk_0"/>
          <w:id w:val="712614329"/>
        </w:sdtPr>
        <w:sdtEndPr/>
        <w:sdtContent/>
      </w:sdt>
      <w:r>
        <w:rPr>
          <w:sz w:val="22"/>
          <w:szCs w:val="22"/>
        </w:rPr>
        <w:t>goods import growth contracted faster than total commodity import growth in 2012</w:t>
      </w:r>
      <w:r w:rsidR="0046093C">
        <w:rPr>
          <w:sz w:val="22"/>
          <w:szCs w:val="22"/>
        </w:rPr>
        <w:t>–</w:t>
      </w:r>
      <w:r>
        <w:rPr>
          <w:sz w:val="22"/>
          <w:szCs w:val="22"/>
        </w:rPr>
        <w:t>2015 and remained negative in 2015</w:t>
      </w:r>
      <w:r w:rsidR="0046093C">
        <w:rPr>
          <w:sz w:val="22"/>
          <w:szCs w:val="22"/>
        </w:rPr>
        <w:t>–20</w:t>
      </w:r>
      <w:r>
        <w:rPr>
          <w:sz w:val="22"/>
          <w:szCs w:val="22"/>
        </w:rPr>
        <w:t>18 when total commodity import growth became positive.</w:t>
      </w:r>
      <w:r w:rsidR="001B10E6">
        <w:rPr>
          <w:sz w:val="22"/>
          <w:szCs w:val="22"/>
        </w:rPr>
        <w:t xml:space="preserve"> </w:t>
      </w:r>
      <w:r>
        <w:rPr>
          <w:sz w:val="22"/>
          <w:szCs w:val="22"/>
        </w:rPr>
        <w:t>These trends are reflected in the changing shares of cultural goods trade in total commodity trade depicted in Table 4.</w:t>
      </w:r>
      <w:r w:rsidR="001B10E6">
        <w:rPr>
          <w:sz w:val="22"/>
          <w:szCs w:val="22"/>
        </w:rPr>
        <w:t xml:space="preserve"> </w:t>
      </w:r>
      <w:r>
        <w:rPr>
          <w:sz w:val="22"/>
          <w:szCs w:val="22"/>
        </w:rPr>
        <w:t>The cultural good export share rose between 2012 and 2018 while the import share fell.</w:t>
      </w:r>
      <w:r>
        <w:rPr>
          <w:sz w:val="22"/>
          <w:szCs w:val="22"/>
          <w:vertAlign w:val="superscript"/>
        </w:rPr>
        <w:footnoteReference w:id="12"/>
      </w:r>
    </w:p>
    <w:p w14:paraId="000001E1" w14:textId="7D4F6525" w:rsidR="00294ABB" w:rsidRDefault="00420BFB">
      <w:pPr>
        <w:spacing w:line="259" w:lineRule="auto"/>
        <w:rPr>
          <w:sz w:val="22"/>
          <w:szCs w:val="22"/>
        </w:rPr>
      </w:pPr>
      <w:r>
        <w:rPr>
          <w:sz w:val="22"/>
          <w:szCs w:val="22"/>
        </w:rPr>
        <w:t>For the period 2018</w:t>
      </w:r>
      <w:r w:rsidR="0046093C">
        <w:rPr>
          <w:sz w:val="22"/>
          <w:szCs w:val="22"/>
        </w:rPr>
        <w:t>–20</w:t>
      </w:r>
      <w:r>
        <w:rPr>
          <w:sz w:val="22"/>
          <w:szCs w:val="22"/>
        </w:rPr>
        <w:t>20, which includes the onset of the COVID-19 pandemic, both cultural goods trade and total commodity trade contracted on both the export side and the import side (Table 4).</w:t>
      </w:r>
      <w:r w:rsidR="001B10E6">
        <w:rPr>
          <w:sz w:val="22"/>
          <w:szCs w:val="22"/>
        </w:rPr>
        <w:t xml:space="preserve"> </w:t>
      </w:r>
      <w:r>
        <w:rPr>
          <w:sz w:val="22"/>
          <w:szCs w:val="22"/>
        </w:rPr>
        <w:t>This also applies to the 2018</w:t>
      </w:r>
      <w:r w:rsidR="0046093C">
        <w:rPr>
          <w:sz w:val="22"/>
          <w:szCs w:val="22"/>
        </w:rPr>
        <w:t>–20</w:t>
      </w:r>
      <w:r>
        <w:rPr>
          <w:sz w:val="22"/>
          <w:szCs w:val="22"/>
        </w:rPr>
        <w:t>19 and 2019</w:t>
      </w:r>
      <w:r w:rsidR="0046093C">
        <w:rPr>
          <w:sz w:val="22"/>
          <w:szCs w:val="22"/>
        </w:rPr>
        <w:t>–20</w:t>
      </w:r>
      <w:r>
        <w:rPr>
          <w:sz w:val="22"/>
          <w:szCs w:val="22"/>
        </w:rPr>
        <w:t>20 periods individually (Figures 11 and 12, Chapter 5).</w:t>
      </w:r>
      <w:r w:rsidR="001B10E6">
        <w:rPr>
          <w:sz w:val="22"/>
          <w:szCs w:val="22"/>
        </w:rPr>
        <w:t xml:space="preserve"> </w:t>
      </w:r>
      <w:r>
        <w:rPr>
          <w:sz w:val="22"/>
          <w:szCs w:val="22"/>
        </w:rPr>
        <w:t>Table 4 suggests that cultural goods trade contracted more sharply than total commodity trade on both the export and import side for 2018</w:t>
      </w:r>
      <w:r w:rsidR="0046093C">
        <w:rPr>
          <w:sz w:val="22"/>
          <w:szCs w:val="22"/>
        </w:rPr>
        <w:t>–20</w:t>
      </w:r>
      <w:r>
        <w:rPr>
          <w:sz w:val="22"/>
          <w:szCs w:val="22"/>
        </w:rPr>
        <w:t>20.</w:t>
      </w:r>
      <w:r w:rsidR="001B10E6">
        <w:rPr>
          <w:sz w:val="22"/>
          <w:szCs w:val="22"/>
        </w:rPr>
        <w:t xml:space="preserve"> </w:t>
      </w:r>
      <w:r>
        <w:rPr>
          <w:sz w:val="22"/>
          <w:szCs w:val="22"/>
        </w:rPr>
        <w:t>In addition, cultural good import growth contracted more than cultural good export growth (-26.19% per annum versus -16.03% per annum).</w:t>
      </w:r>
      <w:r w:rsidR="001B10E6">
        <w:rPr>
          <w:sz w:val="22"/>
          <w:szCs w:val="22"/>
        </w:rPr>
        <w:t xml:space="preserve"> </w:t>
      </w:r>
      <w:r>
        <w:rPr>
          <w:sz w:val="22"/>
          <w:szCs w:val="22"/>
        </w:rPr>
        <w:t>Cattaneo and Snowball (2020: 17) find that cultural good trade growth contracted more sharply than total commodity trade growth during the global financial crisis.</w:t>
      </w:r>
      <w:r w:rsidR="001B10E6">
        <w:rPr>
          <w:sz w:val="22"/>
          <w:szCs w:val="22"/>
        </w:rPr>
        <w:t xml:space="preserve"> </w:t>
      </w:r>
      <w:r>
        <w:rPr>
          <w:sz w:val="22"/>
          <w:szCs w:val="22"/>
        </w:rPr>
        <w:t>The results suggest a similar initial pattern for cultural good trade growth relative to total commodity trade growth at the onset of the COVID-19 pandemic.</w:t>
      </w:r>
      <w:r w:rsidR="001B10E6">
        <w:rPr>
          <w:sz w:val="22"/>
          <w:szCs w:val="22"/>
        </w:rPr>
        <w:t xml:space="preserve"> </w:t>
      </w:r>
      <w:r>
        <w:rPr>
          <w:sz w:val="22"/>
          <w:szCs w:val="22"/>
        </w:rPr>
        <w:t>However, it is important to unpack the 2018</w:t>
      </w:r>
      <w:r w:rsidR="0046093C">
        <w:rPr>
          <w:sz w:val="22"/>
          <w:szCs w:val="22"/>
        </w:rPr>
        <w:t>–20</w:t>
      </w:r>
      <w:r>
        <w:rPr>
          <w:sz w:val="22"/>
          <w:szCs w:val="22"/>
        </w:rPr>
        <w:t>20 trends more carefully.</w:t>
      </w:r>
      <w:r w:rsidR="001B10E6">
        <w:rPr>
          <w:sz w:val="22"/>
          <w:szCs w:val="22"/>
        </w:rPr>
        <w:t xml:space="preserve"> </w:t>
      </w:r>
      <w:r>
        <w:rPr>
          <w:sz w:val="22"/>
          <w:szCs w:val="22"/>
        </w:rPr>
        <w:t>This is done with reference to Figures 1 and 2 below.</w:t>
      </w:r>
    </w:p>
    <w:p w14:paraId="000001E2" w14:textId="69E84AA7" w:rsidR="00294ABB" w:rsidRDefault="00420BFB">
      <w:pPr>
        <w:spacing w:line="259" w:lineRule="auto"/>
        <w:rPr>
          <w:sz w:val="22"/>
          <w:szCs w:val="22"/>
        </w:rPr>
      </w:pPr>
      <w:r>
        <w:rPr>
          <w:sz w:val="22"/>
          <w:szCs w:val="22"/>
        </w:rPr>
        <w:t>Figures 1 and 2 depict South Africa’s cultural goods trade and total commodity trade in US$ millions for the period 2017Q1 to 2021Q3.</w:t>
      </w:r>
      <w:r w:rsidR="001B10E6">
        <w:rPr>
          <w:sz w:val="22"/>
          <w:szCs w:val="22"/>
        </w:rPr>
        <w:t xml:space="preserve"> </w:t>
      </w:r>
      <w:r>
        <w:rPr>
          <w:sz w:val="22"/>
          <w:szCs w:val="22"/>
        </w:rPr>
        <w:t xml:space="preserve">Focusing on the period leading up to the COVID-19 pandemic, cultural goods exports and imports were both on a downward trend from 2018Q4 </w:t>
      </w:r>
      <w:r>
        <w:rPr>
          <w:sz w:val="22"/>
          <w:szCs w:val="22"/>
        </w:rPr>
        <w:lastRenderedPageBreak/>
        <w:t>(a trend which began the quarter before in the case of imports). This lasted until 2019Q3 for exports and 2019Q2 for imports.</w:t>
      </w:r>
      <w:r w:rsidR="001B10E6">
        <w:rPr>
          <w:sz w:val="22"/>
          <w:szCs w:val="22"/>
        </w:rPr>
        <w:t xml:space="preserve"> </w:t>
      </w:r>
      <w:r>
        <w:rPr>
          <w:sz w:val="22"/>
          <w:szCs w:val="22"/>
        </w:rPr>
        <w:t>Cultural goods trade performance improved in the second half of 2019 but this was reversed dramatically in the first half of 2020 as the COVID-19 pandemic struck.</w:t>
      </w:r>
      <w:r w:rsidR="001B10E6">
        <w:rPr>
          <w:sz w:val="22"/>
          <w:szCs w:val="22"/>
        </w:rPr>
        <w:t xml:space="preserve"> </w:t>
      </w:r>
      <w:r>
        <w:rPr>
          <w:sz w:val="22"/>
          <w:szCs w:val="22"/>
        </w:rPr>
        <w:t>On the export side, cultural goods exports were flat between 2019Q4 and 2020Q1, then fell sharply from US$108 million in 2020Q1 to just US$31 million in 2020Q2 as South Africa went into a hard lockdown.</w:t>
      </w:r>
      <w:r w:rsidR="001B10E6">
        <w:rPr>
          <w:sz w:val="22"/>
          <w:szCs w:val="22"/>
        </w:rPr>
        <w:t xml:space="preserve"> </w:t>
      </w:r>
      <w:r>
        <w:rPr>
          <w:sz w:val="22"/>
          <w:szCs w:val="22"/>
        </w:rPr>
        <w:t>There was a strong recovery to US$103 million in 2020Q2</w:t>
      </w:r>
      <w:r w:rsidR="0046093C">
        <w:rPr>
          <w:sz w:val="22"/>
          <w:szCs w:val="22"/>
        </w:rPr>
        <w:t>–</w:t>
      </w:r>
      <w:r>
        <w:rPr>
          <w:sz w:val="22"/>
          <w:szCs w:val="22"/>
        </w:rPr>
        <w:t>2020Q4 but exports fell again in 2021Q1 during South Africa’s second wave, although by not as much, to US$69 million.</w:t>
      </w:r>
      <w:r w:rsidR="001B10E6">
        <w:rPr>
          <w:sz w:val="22"/>
          <w:szCs w:val="22"/>
        </w:rPr>
        <w:t xml:space="preserve"> </w:t>
      </w:r>
      <w:r>
        <w:rPr>
          <w:sz w:val="22"/>
          <w:szCs w:val="22"/>
        </w:rPr>
        <w:t>Cultural goods exports recovered to US$94 million in 2021Q2 before falling again (though less markedly) during the third wave to US$90 million.</w:t>
      </w:r>
      <w:r w:rsidR="001B10E6">
        <w:rPr>
          <w:sz w:val="22"/>
          <w:szCs w:val="22"/>
        </w:rPr>
        <w:t xml:space="preserve"> </w:t>
      </w:r>
      <w:r>
        <w:rPr>
          <w:sz w:val="22"/>
          <w:szCs w:val="22"/>
        </w:rPr>
        <w:t>The greater resilience on the export side in each subsequent wave of the pandemic reflects both developments in the country’s export markets and adjustments in the domestic lockdown measures in each wave as the authorities gained more experience in the management of the pandemic over time.</w:t>
      </w:r>
    </w:p>
    <w:p w14:paraId="000001E3" w14:textId="0F84DF95" w:rsidR="00294ABB" w:rsidRDefault="00420BFB">
      <w:pPr>
        <w:spacing w:line="259" w:lineRule="auto"/>
        <w:rPr>
          <w:sz w:val="22"/>
          <w:szCs w:val="22"/>
        </w:rPr>
      </w:pPr>
      <w:r>
        <w:rPr>
          <w:sz w:val="22"/>
          <w:szCs w:val="22"/>
        </w:rPr>
        <w:t>On the import side, cultural goods imports were already declining between 2019Q4 and 2020Q1 before the pandemic.</w:t>
      </w:r>
      <w:r w:rsidR="001B10E6">
        <w:rPr>
          <w:sz w:val="22"/>
          <w:szCs w:val="22"/>
        </w:rPr>
        <w:t xml:space="preserve"> </w:t>
      </w:r>
      <w:r>
        <w:rPr>
          <w:sz w:val="22"/>
          <w:szCs w:val="22"/>
        </w:rPr>
        <w:t>Cultural goods imports fell from US$110 million to US$81 million in this period.</w:t>
      </w:r>
      <w:r w:rsidR="001B10E6">
        <w:rPr>
          <w:sz w:val="22"/>
          <w:szCs w:val="22"/>
        </w:rPr>
        <w:t xml:space="preserve"> </w:t>
      </w:r>
      <w:r>
        <w:rPr>
          <w:sz w:val="22"/>
          <w:szCs w:val="22"/>
        </w:rPr>
        <w:t>Cultural goods imports then declined more sharply, to just US$33 million in 2020Q2.</w:t>
      </w:r>
      <w:r w:rsidR="001B10E6">
        <w:rPr>
          <w:sz w:val="22"/>
          <w:szCs w:val="22"/>
        </w:rPr>
        <w:t xml:space="preserve"> </w:t>
      </w:r>
      <w:r>
        <w:rPr>
          <w:sz w:val="22"/>
          <w:szCs w:val="22"/>
        </w:rPr>
        <w:t>Cultural goods trade was in surplus in 2020Q1 and a small deficit occurred in 2020Q2.</w:t>
      </w:r>
      <w:r w:rsidR="001B10E6">
        <w:rPr>
          <w:sz w:val="22"/>
          <w:szCs w:val="22"/>
        </w:rPr>
        <w:t xml:space="preserve"> </w:t>
      </w:r>
      <w:r>
        <w:rPr>
          <w:sz w:val="22"/>
          <w:szCs w:val="22"/>
        </w:rPr>
        <w:t>This was the lowest point for cultural goods trade during the pandemic to date with cultural goods exports at US$31 million and imports at US$33 million.</w:t>
      </w:r>
      <w:r w:rsidR="001B10E6">
        <w:rPr>
          <w:sz w:val="22"/>
          <w:szCs w:val="22"/>
        </w:rPr>
        <w:t xml:space="preserve"> </w:t>
      </w:r>
      <w:r>
        <w:rPr>
          <w:sz w:val="22"/>
          <w:szCs w:val="22"/>
        </w:rPr>
        <w:t>Thereafter cultural goods imports recovered to US$86 million by 2020</w:t>
      </w:r>
      <w:r w:rsidR="00950DA5">
        <w:rPr>
          <w:sz w:val="22"/>
          <w:szCs w:val="22"/>
        </w:rPr>
        <w:t>Q4</w:t>
      </w:r>
      <w:r>
        <w:rPr>
          <w:sz w:val="22"/>
          <w:szCs w:val="22"/>
        </w:rPr>
        <w:t xml:space="preserve"> and increased further to US$93 million in 2021Q1 as cultural goods exports fell during the second wave.</w:t>
      </w:r>
      <w:r w:rsidR="001B10E6">
        <w:rPr>
          <w:sz w:val="22"/>
          <w:szCs w:val="22"/>
        </w:rPr>
        <w:t xml:space="preserve"> </w:t>
      </w:r>
      <w:r>
        <w:rPr>
          <w:sz w:val="22"/>
          <w:szCs w:val="22"/>
        </w:rPr>
        <w:t>The cultural good import recovery was initially not as strong as the export recovery and a cultural goods trade surplus was briefly restored in the second half of 2020.</w:t>
      </w:r>
      <w:r w:rsidR="001B10E6">
        <w:rPr>
          <w:sz w:val="22"/>
          <w:szCs w:val="22"/>
        </w:rPr>
        <w:t xml:space="preserve"> </w:t>
      </w:r>
      <w:r>
        <w:rPr>
          <w:sz w:val="22"/>
          <w:szCs w:val="22"/>
        </w:rPr>
        <w:t>In 2021Q1 a deficit occurred during the second wave before exports recovered in the second quarter of 2021 to restore the surplus briefly again.</w:t>
      </w:r>
      <w:r w:rsidR="001B10E6">
        <w:rPr>
          <w:sz w:val="22"/>
          <w:szCs w:val="22"/>
        </w:rPr>
        <w:t xml:space="preserve"> </w:t>
      </w:r>
      <w:r>
        <w:rPr>
          <w:sz w:val="22"/>
          <w:szCs w:val="22"/>
        </w:rPr>
        <w:t>Imports fell from 2021Q1 to 2021Q2 then recovered strongly in the third quarter of 2021 despite South Africa’s third wave of the pandemic. A deficit was recorded in 2021Q3 (the most recent period for which data are available) due to the growth in imports and mild contraction in exports during this quarter.</w:t>
      </w:r>
    </w:p>
    <w:p w14:paraId="000001E4" w14:textId="778214B8" w:rsidR="00294ABB" w:rsidRDefault="00420BFB">
      <w:pPr>
        <w:spacing w:line="259" w:lineRule="auto"/>
        <w:rPr>
          <w:sz w:val="22"/>
          <w:szCs w:val="22"/>
        </w:rPr>
      </w:pPr>
      <w:r>
        <w:rPr>
          <w:sz w:val="22"/>
          <w:szCs w:val="22"/>
        </w:rPr>
        <w:t>In sum, while cultural goods exports initially appeared to recover more quickly after the hard lockdown, they have not yet reached pre-pandemic levels. On the other hand, cultural goods imports, after a dip in 2021Q2 have recovered in the most recent period (2021Q3) to US$111 million which is marginally above the 2019Q4 level of US$110 million (Figure 1).</w:t>
      </w:r>
    </w:p>
    <w:p w14:paraId="000001E5" w14:textId="77777777" w:rsidR="00294ABB" w:rsidRDefault="00420BFB">
      <w:pPr>
        <w:spacing w:line="259" w:lineRule="auto"/>
        <w:jc w:val="center"/>
        <w:rPr>
          <w:sz w:val="22"/>
          <w:szCs w:val="22"/>
        </w:rPr>
      </w:pPr>
      <w:r>
        <w:rPr>
          <w:noProof/>
          <w:lang w:val="en-ZA"/>
        </w:rPr>
        <w:drawing>
          <wp:inline distT="0" distB="0" distL="0" distR="0" wp14:anchorId="6AF0E35C" wp14:editId="0E777788">
            <wp:extent cx="5361140" cy="2597063"/>
            <wp:effectExtent l="0" t="0" r="11430" b="13335"/>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00001E6" w14:textId="0302B3E0" w:rsidR="00294ABB" w:rsidRPr="00835B56" w:rsidRDefault="008B6A61" w:rsidP="00835B56">
      <w:pPr>
        <w:pStyle w:val="Caption"/>
        <w:spacing w:before="120" w:after="160" w:line="259" w:lineRule="auto"/>
        <w:contextualSpacing w:val="0"/>
        <w:rPr>
          <w:color w:val="44546A"/>
          <w:sz w:val="20"/>
          <w:szCs w:val="20"/>
        </w:rPr>
      </w:pPr>
      <w:bookmarkStart w:id="34" w:name="_heading=h.2bn6wsx" w:colFirst="0" w:colLast="0"/>
      <w:bookmarkStart w:id="35" w:name="_Toc92623759"/>
      <w:bookmarkEnd w:id="34"/>
      <w:r w:rsidRPr="00835B56">
        <w:rPr>
          <w:sz w:val="20"/>
          <w:szCs w:val="20"/>
        </w:rPr>
        <w:t xml:space="preserve">Figure </w:t>
      </w:r>
      <w:r w:rsidR="006B6995" w:rsidRPr="00835B56">
        <w:rPr>
          <w:sz w:val="20"/>
          <w:szCs w:val="20"/>
        </w:rPr>
        <w:fldChar w:fldCharType="begin"/>
      </w:r>
      <w:r w:rsidR="006B6995" w:rsidRPr="00835B56">
        <w:rPr>
          <w:sz w:val="20"/>
          <w:szCs w:val="20"/>
        </w:rPr>
        <w:instrText xml:space="preserve"> SEQ Figure \* ARABIC </w:instrText>
      </w:r>
      <w:r w:rsidR="006B6995" w:rsidRPr="00835B56">
        <w:rPr>
          <w:sz w:val="20"/>
          <w:szCs w:val="20"/>
        </w:rPr>
        <w:fldChar w:fldCharType="separate"/>
      </w:r>
      <w:r w:rsidR="00682412">
        <w:rPr>
          <w:noProof/>
          <w:sz w:val="20"/>
          <w:szCs w:val="20"/>
        </w:rPr>
        <w:t>1</w:t>
      </w:r>
      <w:r w:rsidR="006B6995" w:rsidRPr="00835B56">
        <w:rPr>
          <w:noProof/>
          <w:sz w:val="20"/>
          <w:szCs w:val="20"/>
        </w:rPr>
        <w:fldChar w:fldCharType="end"/>
      </w:r>
      <w:r w:rsidR="00F3268B" w:rsidRPr="00835B56">
        <w:rPr>
          <w:noProof/>
          <w:sz w:val="20"/>
          <w:szCs w:val="20"/>
        </w:rPr>
        <w:t xml:space="preserve">: </w:t>
      </w:r>
      <w:r w:rsidR="00420BFB" w:rsidRPr="00835B56">
        <w:rPr>
          <w:color w:val="44546A"/>
          <w:sz w:val="20"/>
          <w:szCs w:val="20"/>
        </w:rPr>
        <w:t>South Africa</w:t>
      </w:r>
      <w:r w:rsidR="00F3268B" w:rsidRPr="00835B56">
        <w:rPr>
          <w:color w:val="44546A"/>
          <w:sz w:val="20"/>
          <w:szCs w:val="20"/>
        </w:rPr>
        <w:t>’</w:t>
      </w:r>
      <w:r w:rsidR="00420BFB" w:rsidRPr="00835B56">
        <w:rPr>
          <w:color w:val="44546A"/>
          <w:sz w:val="20"/>
          <w:szCs w:val="20"/>
        </w:rPr>
        <w:t>s cultural goods trade 2017Q1</w:t>
      </w:r>
      <w:r w:rsidR="00950DA5" w:rsidRPr="00835B56">
        <w:rPr>
          <w:color w:val="44546A"/>
          <w:sz w:val="20"/>
          <w:szCs w:val="20"/>
        </w:rPr>
        <w:t>–</w:t>
      </w:r>
      <w:r w:rsidR="00420BFB" w:rsidRPr="00835B56">
        <w:rPr>
          <w:color w:val="44546A"/>
          <w:sz w:val="20"/>
          <w:szCs w:val="20"/>
        </w:rPr>
        <w:t>2021Q3 (current US$ millions)</w:t>
      </w:r>
      <w:bookmarkEnd w:id="35"/>
    </w:p>
    <w:p w14:paraId="000001E7" w14:textId="2A093DE6" w:rsidR="00294ABB" w:rsidRPr="00835B56" w:rsidRDefault="00420BFB" w:rsidP="00835B56">
      <w:pPr>
        <w:pBdr>
          <w:top w:val="nil"/>
          <w:left w:val="nil"/>
          <w:bottom w:val="nil"/>
          <w:right w:val="nil"/>
          <w:between w:val="nil"/>
        </w:pBdr>
        <w:spacing w:before="120" w:line="259" w:lineRule="auto"/>
        <w:rPr>
          <w:iCs/>
          <w:color w:val="000000" w:themeColor="text1"/>
        </w:rPr>
      </w:pPr>
      <w:r w:rsidRPr="00835B56">
        <w:rPr>
          <w:iCs/>
          <w:color w:val="000000" w:themeColor="text1"/>
        </w:rPr>
        <w:lastRenderedPageBreak/>
        <w:t>Source: Authors’ computations based on data from ITC, 2021</w:t>
      </w:r>
    </w:p>
    <w:p w14:paraId="000001E8" w14:textId="2F57AFCB" w:rsidR="00294ABB" w:rsidRDefault="00420BFB">
      <w:pPr>
        <w:rPr>
          <w:sz w:val="22"/>
          <w:szCs w:val="22"/>
        </w:rPr>
      </w:pPr>
      <w:r>
        <w:rPr>
          <w:sz w:val="22"/>
          <w:szCs w:val="22"/>
        </w:rPr>
        <w:t>It is interesting to look at the impact of the pandemic on South Africa’s total commodity trade by comparison (Figure 2 below).</w:t>
      </w:r>
      <w:r w:rsidR="001B10E6">
        <w:rPr>
          <w:sz w:val="22"/>
          <w:szCs w:val="22"/>
        </w:rPr>
        <w:t xml:space="preserve"> </w:t>
      </w:r>
      <w:r>
        <w:rPr>
          <w:sz w:val="22"/>
          <w:szCs w:val="22"/>
        </w:rPr>
        <w:t>As with cultural goods trade, total commodity exports and imports were both on a slight downward trend from the fourth quarter of 2018.</w:t>
      </w:r>
      <w:r w:rsidR="001B10E6">
        <w:rPr>
          <w:sz w:val="22"/>
          <w:szCs w:val="22"/>
        </w:rPr>
        <w:t xml:space="preserve"> </w:t>
      </w:r>
      <w:r>
        <w:rPr>
          <w:sz w:val="22"/>
          <w:szCs w:val="22"/>
        </w:rPr>
        <w:t>However, unlike with cultural goods trade, this was followed by an almost equivalent upward trend in total commodity exports and imports from 2019Q1 until 2019Q3.</w:t>
      </w:r>
      <w:r w:rsidR="001B10E6">
        <w:rPr>
          <w:sz w:val="22"/>
          <w:szCs w:val="22"/>
        </w:rPr>
        <w:t xml:space="preserve"> </w:t>
      </w:r>
      <w:r>
        <w:rPr>
          <w:sz w:val="22"/>
          <w:szCs w:val="22"/>
        </w:rPr>
        <w:t>Total exports and imports declined thereafter, with a significant decrease in 2020Q2 at almost the same rate for both exports and imports.</w:t>
      </w:r>
      <w:r w:rsidR="001B10E6">
        <w:rPr>
          <w:sz w:val="22"/>
          <w:szCs w:val="22"/>
        </w:rPr>
        <w:t xml:space="preserve"> </w:t>
      </w:r>
      <w:r>
        <w:rPr>
          <w:sz w:val="22"/>
          <w:szCs w:val="22"/>
        </w:rPr>
        <w:t>Total commodity exports recovered much more strongly than imports in the four quarters after the hard lockdown, although both increased steadily.</w:t>
      </w:r>
      <w:r w:rsidR="001B10E6">
        <w:rPr>
          <w:sz w:val="22"/>
          <w:szCs w:val="22"/>
        </w:rPr>
        <w:t xml:space="preserve"> </w:t>
      </w:r>
      <w:r>
        <w:rPr>
          <w:sz w:val="22"/>
          <w:szCs w:val="22"/>
        </w:rPr>
        <w:t>There was, however, an export contraction in 2021Q3.</w:t>
      </w:r>
      <w:r w:rsidR="001B10E6">
        <w:rPr>
          <w:sz w:val="22"/>
          <w:szCs w:val="22"/>
        </w:rPr>
        <w:t xml:space="preserve"> </w:t>
      </w:r>
      <w:r>
        <w:rPr>
          <w:sz w:val="22"/>
          <w:szCs w:val="22"/>
        </w:rPr>
        <w:t>Despite this, the country maintained a surplus in its total commodity trade throughout the period of the pandemic to date.</w:t>
      </w:r>
      <w:r w:rsidR="001B10E6">
        <w:rPr>
          <w:sz w:val="22"/>
          <w:szCs w:val="22"/>
        </w:rPr>
        <w:t xml:space="preserve"> </w:t>
      </w:r>
      <w:r>
        <w:rPr>
          <w:sz w:val="22"/>
          <w:szCs w:val="22"/>
        </w:rPr>
        <w:t>Indeed, this surplus widened considerably during the recovery period, even though imports also grew.</w:t>
      </w:r>
      <w:r w:rsidR="001B10E6">
        <w:rPr>
          <w:sz w:val="22"/>
          <w:szCs w:val="22"/>
        </w:rPr>
        <w:t xml:space="preserve"> </w:t>
      </w:r>
      <w:r>
        <w:rPr>
          <w:sz w:val="22"/>
          <w:szCs w:val="22"/>
        </w:rPr>
        <w:t>By contrast, the picture appears to have been much more volatile and mixed in the case of cultural goods trade during the pandemic, although the absolute changes involved were, of course, significantly less for cultural goods trade than for total commodity trade.</w:t>
      </w:r>
    </w:p>
    <w:p w14:paraId="000001E9" w14:textId="77777777" w:rsidR="00294ABB" w:rsidRDefault="00420BFB">
      <w:pPr>
        <w:spacing w:line="259" w:lineRule="auto"/>
        <w:jc w:val="center"/>
        <w:rPr>
          <w:sz w:val="22"/>
          <w:szCs w:val="22"/>
        </w:rPr>
      </w:pPr>
      <w:r>
        <w:rPr>
          <w:noProof/>
          <w:lang w:val="en-ZA"/>
        </w:rPr>
        <w:drawing>
          <wp:inline distT="0" distB="0" distL="0" distR="0" wp14:anchorId="159AD80D" wp14:editId="18314312">
            <wp:extent cx="5177425" cy="2693096"/>
            <wp:effectExtent l="0" t="0" r="4445" b="12065"/>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00001EA" w14:textId="295C3BDC" w:rsidR="00294ABB" w:rsidRPr="00835B56" w:rsidRDefault="008B6A61" w:rsidP="00835B56">
      <w:pPr>
        <w:pStyle w:val="Caption"/>
        <w:spacing w:after="160" w:line="259" w:lineRule="auto"/>
        <w:contextualSpacing w:val="0"/>
        <w:rPr>
          <w:color w:val="44546A"/>
          <w:sz w:val="20"/>
          <w:szCs w:val="20"/>
        </w:rPr>
      </w:pPr>
      <w:bookmarkStart w:id="36" w:name="_heading=h.qsh70q" w:colFirst="0" w:colLast="0"/>
      <w:bookmarkStart w:id="37" w:name="_Toc92623760"/>
      <w:bookmarkEnd w:id="36"/>
      <w:r w:rsidRPr="00835B56">
        <w:rPr>
          <w:sz w:val="20"/>
          <w:szCs w:val="20"/>
        </w:rPr>
        <w:t xml:space="preserve">Figure </w:t>
      </w:r>
      <w:r w:rsidR="006B6995" w:rsidRPr="00835B56">
        <w:rPr>
          <w:sz w:val="20"/>
          <w:szCs w:val="20"/>
        </w:rPr>
        <w:fldChar w:fldCharType="begin"/>
      </w:r>
      <w:r w:rsidR="006B6995" w:rsidRPr="00835B56">
        <w:rPr>
          <w:sz w:val="20"/>
          <w:szCs w:val="20"/>
        </w:rPr>
        <w:instrText xml:space="preserve"> SEQ Figure \* ARABIC </w:instrText>
      </w:r>
      <w:r w:rsidR="006B6995" w:rsidRPr="00835B56">
        <w:rPr>
          <w:sz w:val="20"/>
          <w:szCs w:val="20"/>
        </w:rPr>
        <w:fldChar w:fldCharType="separate"/>
      </w:r>
      <w:r w:rsidR="00682412">
        <w:rPr>
          <w:noProof/>
          <w:sz w:val="20"/>
          <w:szCs w:val="20"/>
        </w:rPr>
        <w:t>2</w:t>
      </w:r>
      <w:r w:rsidR="006B6995" w:rsidRPr="00835B56">
        <w:rPr>
          <w:noProof/>
          <w:sz w:val="20"/>
          <w:szCs w:val="20"/>
        </w:rPr>
        <w:fldChar w:fldCharType="end"/>
      </w:r>
      <w:r w:rsidR="00F3268B" w:rsidRPr="00835B56">
        <w:rPr>
          <w:sz w:val="20"/>
          <w:szCs w:val="20"/>
        </w:rPr>
        <w:t>:</w:t>
      </w:r>
      <w:r w:rsidRPr="00835B56">
        <w:rPr>
          <w:sz w:val="20"/>
          <w:szCs w:val="20"/>
        </w:rPr>
        <w:t xml:space="preserve"> </w:t>
      </w:r>
      <w:r w:rsidR="00420BFB" w:rsidRPr="00835B56">
        <w:rPr>
          <w:color w:val="44546A"/>
          <w:sz w:val="20"/>
          <w:szCs w:val="20"/>
        </w:rPr>
        <w:t>South Africa</w:t>
      </w:r>
      <w:r w:rsidR="00F3268B" w:rsidRPr="00835B56">
        <w:rPr>
          <w:color w:val="44546A"/>
          <w:sz w:val="20"/>
          <w:szCs w:val="20"/>
        </w:rPr>
        <w:t>’</w:t>
      </w:r>
      <w:r w:rsidR="00420BFB" w:rsidRPr="00835B56">
        <w:rPr>
          <w:color w:val="44546A"/>
          <w:sz w:val="20"/>
          <w:szCs w:val="20"/>
        </w:rPr>
        <w:t>s total commodity trade 2017Q1-2021Q3 (current US$ millions)</w:t>
      </w:r>
      <w:bookmarkEnd w:id="37"/>
    </w:p>
    <w:p w14:paraId="000001EB" w14:textId="3E1DC2D4" w:rsidR="00294ABB" w:rsidRPr="00835B56" w:rsidRDefault="00420BFB" w:rsidP="00835B56">
      <w:pPr>
        <w:pBdr>
          <w:top w:val="nil"/>
          <w:left w:val="nil"/>
          <w:bottom w:val="nil"/>
          <w:right w:val="nil"/>
          <w:between w:val="nil"/>
        </w:pBdr>
        <w:spacing w:line="259" w:lineRule="auto"/>
        <w:rPr>
          <w:iCs/>
          <w:color w:val="000000" w:themeColor="text1"/>
          <w:sz w:val="24"/>
          <w:szCs w:val="24"/>
        </w:rPr>
      </w:pPr>
      <w:r w:rsidRPr="00835B56">
        <w:rPr>
          <w:iCs/>
          <w:color w:val="000000" w:themeColor="text1"/>
        </w:rPr>
        <w:t>Source: ITC, 2021</w:t>
      </w:r>
    </w:p>
    <w:p w14:paraId="000001EC" w14:textId="77777777" w:rsidR="00294ABB" w:rsidRDefault="00294ABB">
      <w:pPr>
        <w:spacing w:line="259" w:lineRule="auto"/>
        <w:rPr>
          <w:sz w:val="22"/>
          <w:szCs w:val="22"/>
        </w:rPr>
      </w:pPr>
    </w:p>
    <w:p w14:paraId="000001ED" w14:textId="16C820E0" w:rsidR="00294ABB" w:rsidRDefault="00420BFB">
      <w:pPr>
        <w:spacing w:line="259" w:lineRule="auto"/>
        <w:rPr>
          <w:b/>
          <w:color w:val="2E75B5"/>
          <w:sz w:val="26"/>
          <w:szCs w:val="26"/>
          <w:highlight w:val="yellow"/>
        </w:rPr>
      </w:pPr>
      <w:r>
        <w:rPr>
          <w:sz w:val="22"/>
          <w:szCs w:val="22"/>
        </w:rPr>
        <w:t>It should be noted nonetheless that 2020 was the only year during the period 2001</w:t>
      </w:r>
      <w:r w:rsidR="00950DA5">
        <w:rPr>
          <w:sz w:val="22"/>
          <w:szCs w:val="22"/>
        </w:rPr>
        <w:t>–</w:t>
      </w:r>
      <w:r>
        <w:rPr>
          <w:sz w:val="22"/>
          <w:szCs w:val="22"/>
        </w:rPr>
        <w:t>2020 during which South Africa recorded an overall surplus in its cultural goods trade.</w:t>
      </w:r>
      <w:r w:rsidR="001B10E6">
        <w:rPr>
          <w:sz w:val="22"/>
          <w:szCs w:val="22"/>
        </w:rPr>
        <w:t xml:space="preserve"> </w:t>
      </w:r>
      <w:r>
        <w:rPr>
          <w:sz w:val="22"/>
          <w:szCs w:val="22"/>
        </w:rPr>
        <w:t>This is despite the small cultural trade deficit that occurred in 2020Q2 when South Africa was in a hard lockdown.</w:t>
      </w:r>
    </w:p>
    <w:p w14:paraId="000001EE" w14:textId="5D1D021F" w:rsidR="00294ABB" w:rsidRDefault="00420BFB">
      <w:pPr>
        <w:spacing w:line="259" w:lineRule="auto"/>
        <w:rPr>
          <w:sz w:val="22"/>
          <w:szCs w:val="22"/>
        </w:rPr>
      </w:pPr>
      <w:r>
        <w:rPr>
          <w:sz w:val="22"/>
          <w:szCs w:val="22"/>
        </w:rPr>
        <w:t>An interesting question is whether there were noticeable differences in the initial trade impact of the pandemic across the various cultural domains.</w:t>
      </w:r>
      <w:r w:rsidR="001B10E6">
        <w:rPr>
          <w:sz w:val="22"/>
          <w:szCs w:val="22"/>
        </w:rPr>
        <w:t xml:space="preserve"> </w:t>
      </w:r>
      <w:r>
        <w:rPr>
          <w:sz w:val="22"/>
          <w:szCs w:val="22"/>
        </w:rPr>
        <w:t>Figure 3 below depicts cultural goods exports and imports by domain for the periods 2016</w:t>
      </w:r>
      <w:r w:rsidR="00950DA5">
        <w:rPr>
          <w:sz w:val="22"/>
          <w:szCs w:val="22"/>
        </w:rPr>
        <w:t>–</w:t>
      </w:r>
      <w:r>
        <w:rPr>
          <w:sz w:val="22"/>
          <w:szCs w:val="22"/>
        </w:rPr>
        <w:t>2018 and 2019</w:t>
      </w:r>
      <w:r w:rsidR="00950DA5">
        <w:rPr>
          <w:sz w:val="22"/>
          <w:szCs w:val="22"/>
        </w:rPr>
        <w:t>–</w:t>
      </w:r>
      <w:r>
        <w:rPr>
          <w:sz w:val="22"/>
          <w:szCs w:val="22"/>
        </w:rPr>
        <w:t>2020 in US$ millions.</w:t>
      </w:r>
      <w:r>
        <w:rPr>
          <w:sz w:val="22"/>
          <w:szCs w:val="22"/>
          <w:vertAlign w:val="superscript"/>
        </w:rPr>
        <w:footnoteReference w:id="13"/>
      </w:r>
    </w:p>
    <w:p w14:paraId="000001EF" w14:textId="77777777" w:rsidR="00294ABB" w:rsidRDefault="00420BFB">
      <w:pPr>
        <w:spacing w:line="259" w:lineRule="auto"/>
        <w:rPr>
          <w:sz w:val="22"/>
          <w:szCs w:val="22"/>
        </w:rPr>
      </w:pPr>
      <w:r>
        <w:rPr>
          <w:noProof/>
          <w:sz w:val="22"/>
          <w:szCs w:val="22"/>
          <w:lang w:val="en-ZA"/>
        </w:rPr>
        <w:lastRenderedPageBreak/>
        <w:drawing>
          <wp:inline distT="0" distB="0" distL="0" distR="0" wp14:anchorId="0BFC7D5E" wp14:editId="34E6D8E4">
            <wp:extent cx="5731510" cy="3002280"/>
            <wp:effectExtent l="0" t="0" r="0" b="0"/>
            <wp:docPr id="3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731510" cy="3002280"/>
                    </a:xfrm>
                    <a:prstGeom prst="rect">
                      <a:avLst/>
                    </a:prstGeom>
                    <a:ln/>
                  </pic:spPr>
                </pic:pic>
              </a:graphicData>
            </a:graphic>
          </wp:inline>
        </w:drawing>
      </w:r>
      <w:r>
        <w:rPr>
          <w:noProof/>
          <w:lang w:val="en-ZA"/>
        </w:rPr>
        <mc:AlternateContent>
          <mc:Choice Requires="wps">
            <w:drawing>
              <wp:anchor distT="0" distB="0" distL="114300" distR="114300" simplePos="0" relativeHeight="251661312" behindDoc="0" locked="0" layoutInCell="1" hidden="0" allowOverlap="1" wp14:anchorId="01FDB8A5" wp14:editId="2C16C1BE">
                <wp:simplePos x="0" y="0"/>
                <wp:positionH relativeFrom="column">
                  <wp:posOffset>2806700</wp:posOffset>
                </wp:positionH>
                <wp:positionV relativeFrom="paragraph">
                  <wp:posOffset>2324100</wp:posOffset>
                </wp:positionV>
                <wp:extent cx="142875" cy="136525"/>
                <wp:effectExtent l="0" t="0" r="0" b="0"/>
                <wp:wrapNone/>
                <wp:docPr id="26" name="Rectangle 26"/>
                <wp:cNvGraphicFramePr/>
                <a:graphic xmlns:a="http://schemas.openxmlformats.org/drawingml/2006/main">
                  <a:graphicData uri="http://schemas.microsoft.com/office/word/2010/wordprocessingShape">
                    <wps:wsp>
                      <wps:cNvSpPr/>
                      <wps:spPr>
                        <a:xfrm>
                          <a:off x="5279325" y="3716500"/>
                          <a:ext cx="133350" cy="127000"/>
                        </a:xfrm>
                        <a:prstGeom prst="rect">
                          <a:avLst/>
                        </a:prstGeom>
                        <a:solidFill>
                          <a:schemeClr val="lt1"/>
                        </a:solidFill>
                        <a:ln>
                          <a:noFill/>
                        </a:ln>
                      </wps:spPr>
                      <wps:txbx>
                        <w:txbxContent>
                          <w:p w14:paraId="2209B5F9" w14:textId="77777777" w:rsidR="001F4844" w:rsidRDefault="001F4844">
                            <w:pPr>
                              <w:spacing w:after="0"/>
                              <w:jc w:val="left"/>
                              <w:textDirection w:val="btLr"/>
                            </w:pPr>
                          </w:p>
                        </w:txbxContent>
                      </wps:txbx>
                      <wps:bodyPr spcFirstLastPara="1" wrap="square" lIns="91425" tIns="91425" rIns="91425" bIns="91425" anchor="ctr" anchorCtr="0">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1FDB8A5" id="Rectangle 26" o:spid="_x0000_s1029" style="position:absolute;left:0;text-align:left;margin-left:221pt;margin-top:183pt;width:11.25pt;height:10.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" fillcolor="white [3201]" stroked="f">
                <v:textbox inset="2.53958mm,2.53958mm,2.53958mm,2.53958mm">
                  <w:txbxContent>
                    <w:p w14:paraId="2209B5F9" w14:textId="77777777" w:rsidR="001F4844" w:rsidRDefault="001F4844">
                      <w:pPr>
                        <w:spacing w:after="0"/>
                        <w:jc w:val="left"/>
                        <w:textDirection w:val="btLr"/>
                      </w:pPr>
                    </w:p>
                  </w:txbxContent>
                </v:textbox>
              </v:rect>
            </w:pict>
          </mc:Fallback>
        </mc:AlternateContent>
      </w:r>
    </w:p>
    <w:p w14:paraId="000001F0" w14:textId="58131324" w:rsidR="00294ABB" w:rsidRPr="00835B56" w:rsidRDefault="008B6A61" w:rsidP="008B6A61">
      <w:pPr>
        <w:pStyle w:val="Caption"/>
        <w:rPr>
          <w:color w:val="44546A"/>
          <w:sz w:val="20"/>
          <w:szCs w:val="20"/>
        </w:rPr>
      </w:pPr>
      <w:bookmarkStart w:id="38" w:name="_heading=h.3as4poj" w:colFirst="0" w:colLast="0"/>
      <w:bookmarkStart w:id="39" w:name="_Toc92623761"/>
      <w:bookmarkEnd w:id="38"/>
      <w:r w:rsidRPr="00835B56">
        <w:rPr>
          <w:sz w:val="20"/>
          <w:szCs w:val="20"/>
        </w:rPr>
        <w:t xml:space="preserve">Figure </w:t>
      </w:r>
      <w:r w:rsidR="006B6995" w:rsidRPr="00835B56">
        <w:rPr>
          <w:sz w:val="20"/>
          <w:szCs w:val="20"/>
        </w:rPr>
        <w:fldChar w:fldCharType="begin"/>
      </w:r>
      <w:r w:rsidR="006B6995" w:rsidRPr="00835B56">
        <w:rPr>
          <w:sz w:val="20"/>
          <w:szCs w:val="20"/>
        </w:rPr>
        <w:instrText xml:space="preserve"> SEQ Figure \* ARABIC </w:instrText>
      </w:r>
      <w:r w:rsidR="006B6995" w:rsidRPr="00835B56">
        <w:rPr>
          <w:sz w:val="20"/>
          <w:szCs w:val="20"/>
        </w:rPr>
        <w:fldChar w:fldCharType="separate"/>
      </w:r>
      <w:r w:rsidR="00682412">
        <w:rPr>
          <w:noProof/>
          <w:sz w:val="20"/>
          <w:szCs w:val="20"/>
        </w:rPr>
        <w:t>3</w:t>
      </w:r>
      <w:r w:rsidR="006B6995" w:rsidRPr="00835B56">
        <w:rPr>
          <w:noProof/>
          <w:sz w:val="20"/>
          <w:szCs w:val="20"/>
        </w:rPr>
        <w:fldChar w:fldCharType="end"/>
      </w:r>
      <w:r w:rsidR="000D4C96">
        <w:rPr>
          <w:noProof/>
          <w:sz w:val="20"/>
          <w:szCs w:val="20"/>
        </w:rPr>
        <w:t>:</w:t>
      </w:r>
      <w:r w:rsidRPr="00835B56">
        <w:rPr>
          <w:sz w:val="20"/>
          <w:szCs w:val="20"/>
        </w:rPr>
        <w:t xml:space="preserve"> </w:t>
      </w:r>
      <w:r w:rsidR="00420BFB" w:rsidRPr="00835B56">
        <w:rPr>
          <w:color w:val="44546A"/>
          <w:sz w:val="20"/>
          <w:szCs w:val="20"/>
        </w:rPr>
        <w:t>South Africa</w:t>
      </w:r>
      <w:r w:rsidR="00F3268B" w:rsidRPr="00835B56">
        <w:rPr>
          <w:color w:val="44546A"/>
          <w:sz w:val="20"/>
          <w:szCs w:val="20"/>
        </w:rPr>
        <w:t>’</w:t>
      </w:r>
      <w:r w:rsidR="00420BFB" w:rsidRPr="00835B56">
        <w:rPr>
          <w:color w:val="44546A"/>
          <w:sz w:val="20"/>
          <w:szCs w:val="20"/>
        </w:rPr>
        <w:t>s cultural goods exports and imports by domain: 2016</w:t>
      </w:r>
      <w:r w:rsidR="007165FB" w:rsidRPr="00835B56">
        <w:rPr>
          <w:color w:val="44546A"/>
          <w:sz w:val="20"/>
          <w:szCs w:val="20"/>
        </w:rPr>
        <w:t>–</w:t>
      </w:r>
      <w:r w:rsidR="00420BFB" w:rsidRPr="00835B56">
        <w:rPr>
          <w:color w:val="44546A"/>
          <w:sz w:val="20"/>
          <w:szCs w:val="20"/>
        </w:rPr>
        <w:t>2018 and 2019</w:t>
      </w:r>
      <w:r w:rsidR="007165FB" w:rsidRPr="00835B56">
        <w:rPr>
          <w:color w:val="44546A"/>
          <w:sz w:val="20"/>
          <w:szCs w:val="20"/>
        </w:rPr>
        <w:t>–</w:t>
      </w:r>
      <w:r w:rsidR="00420BFB" w:rsidRPr="00835B56">
        <w:rPr>
          <w:color w:val="44546A"/>
          <w:sz w:val="20"/>
          <w:szCs w:val="20"/>
        </w:rPr>
        <w:t>2020 averages compared (US$ millions)</w:t>
      </w:r>
      <w:bookmarkEnd w:id="39"/>
    </w:p>
    <w:p w14:paraId="000001F1" w14:textId="6AA3284E" w:rsidR="00294ABB" w:rsidRPr="00835B56" w:rsidRDefault="00420BFB">
      <w:pPr>
        <w:pBdr>
          <w:top w:val="nil"/>
          <w:left w:val="nil"/>
          <w:bottom w:val="nil"/>
          <w:right w:val="nil"/>
          <w:between w:val="nil"/>
        </w:pBdr>
        <w:spacing w:after="200"/>
        <w:rPr>
          <w:iCs/>
          <w:color w:val="000000" w:themeColor="text1"/>
        </w:rPr>
      </w:pPr>
      <w:r w:rsidRPr="00835B56">
        <w:rPr>
          <w:iCs/>
          <w:color w:val="000000" w:themeColor="text1"/>
        </w:rPr>
        <w:t>Source: Authors’ computations based on data from ITC, 2021 and UN Comtrade, 2021</w:t>
      </w:r>
    </w:p>
    <w:p w14:paraId="000001F2" w14:textId="40250B19" w:rsidR="00294ABB" w:rsidRDefault="00420BFB" w:rsidP="00835B56">
      <w:pPr>
        <w:spacing w:line="259" w:lineRule="auto"/>
        <w:rPr>
          <w:sz w:val="22"/>
          <w:szCs w:val="22"/>
        </w:rPr>
      </w:pPr>
      <w:r>
        <w:rPr>
          <w:sz w:val="22"/>
          <w:szCs w:val="22"/>
        </w:rPr>
        <w:t>As Figure 3 shows, Visual Arts and Crafts, Books and Press, and Performance and Celebration are the most significant domains for South Africa’s cultural goods trade in absolute terms in recent years. For each domain in Figure 3, the first two bars indicate cultural exports and imports in 2016</w:t>
      </w:r>
      <w:r w:rsidR="00950DA5">
        <w:rPr>
          <w:sz w:val="22"/>
          <w:szCs w:val="22"/>
        </w:rPr>
        <w:t>–20</w:t>
      </w:r>
      <w:r>
        <w:rPr>
          <w:sz w:val="22"/>
          <w:szCs w:val="22"/>
        </w:rPr>
        <w:t>18, while the second two bars depict cultural exports and imports in 2019</w:t>
      </w:r>
      <w:r w:rsidR="00950DA5">
        <w:rPr>
          <w:sz w:val="22"/>
          <w:szCs w:val="22"/>
        </w:rPr>
        <w:t>–20</w:t>
      </w:r>
      <w:r>
        <w:rPr>
          <w:sz w:val="22"/>
          <w:szCs w:val="22"/>
        </w:rPr>
        <w:t>20.</w:t>
      </w:r>
      <w:r w:rsidR="001B10E6">
        <w:rPr>
          <w:sz w:val="22"/>
          <w:szCs w:val="22"/>
        </w:rPr>
        <w:t xml:space="preserve"> </w:t>
      </w:r>
      <w:r>
        <w:rPr>
          <w:sz w:val="22"/>
          <w:szCs w:val="22"/>
        </w:rPr>
        <w:t>South Africa has a trade surplus in Cultural and Natural Heritage trade in both periods, and also in Visual Arts and Crafts. The latter is particularly important, since Visual Arts and Crafts is such a prominent cultural trade domain.</w:t>
      </w:r>
      <w:r w:rsidR="001B10E6">
        <w:rPr>
          <w:sz w:val="22"/>
          <w:szCs w:val="22"/>
        </w:rPr>
        <w:t xml:space="preserve"> </w:t>
      </w:r>
      <w:r>
        <w:rPr>
          <w:sz w:val="22"/>
          <w:szCs w:val="22"/>
        </w:rPr>
        <w:t>Previous SACO trade reports have discussed the impressive growth in the exports of this domain in recent years (see, for example, Cattaneo and Snowball, 2020).</w:t>
      </w:r>
      <w:r w:rsidR="001B10E6">
        <w:rPr>
          <w:sz w:val="22"/>
          <w:szCs w:val="22"/>
        </w:rPr>
        <w:t xml:space="preserve"> </w:t>
      </w:r>
      <w:r>
        <w:rPr>
          <w:sz w:val="22"/>
          <w:szCs w:val="22"/>
        </w:rPr>
        <w:t>The largest cultural trade deficits by domain in both periods were in Performance and Celebration and Books and Press. There was a small cultural trade deficit in the Audio-visual and Interactive Media domain in the 2016</w:t>
      </w:r>
      <w:r w:rsidR="00950DA5">
        <w:rPr>
          <w:sz w:val="22"/>
          <w:szCs w:val="22"/>
        </w:rPr>
        <w:t>–20</w:t>
      </w:r>
      <w:r>
        <w:rPr>
          <w:sz w:val="22"/>
          <w:szCs w:val="22"/>
        </w:rPr>
        <w:t>18 period.</w:t>
      </w:r>
    </w:p>
    <w:p w14:paraId="000001F3" w14:textId="24F92FEA" w:rsidR="00294ABB" w:rsidRDefault="00420BFB" w:rsidP="00835B56">
      <w:pPr>
        <w:spacing w:line="259" w:lineRule="auto"/>
        <w:rPr>
          <w:sz w:val="22"/>
          <w:szCs w:val="22"/>
        </w:rPr>
      </w:pPr>
      <w:r>
        <w:rPr>
          <w:sz w:val="22"/>
          <w:szCs w:val="22"/>
        </w:rPr>
        <w:t>Turning to the impact of the pandemic on trade in the different domains, there was little difference in the trade pattern in the Cultural and Natural Heritage domain in the 2016</w:t>
      </w:r>
      <w:r w:rsidR="00950DA5">
        <w:rPr>
          <w:sz w:val="22"/>
          <w:szCs w:val="22"/>
        </w:rPr>
        <w:t>–20</w:t>
      </w:r>
      <w:r>
        <w:rPr>
          <w:sz w:val="22"/>
          <w:szCs w:val="22"/>
        </w:rPr>
        <w:t>18 and 2019</w:t>
      </w:r>
      <w:r w:rsidR="00950DA5">
        <w:rPr>
          <w:sz w:val="22"/>
          <w:szCs w:val="22"/>
        </w:rPr>
        <w:t>–20</w:t>
      </w:r>
      <w:r>
        <w:rPr>
          <w:sz w:val="22"/>
          <w:szCs w:val="22"/>
        </w:rPr>
        <w:t>20 periods.</w:t>
      </w:r>
      <w:r w:rsidR="001B10E6">
        <w:rPr>
          <w:sz w:val="22"/>
          <w:szCs w:val="22"/>
        </w:rPr>
        <w:t xml:space="preserve"> </w:t>
      </w:r>
      <w:r>
        <w:rPr>
          <w:sz w:val="22"/>
          <w:szCs w:val="22"/>
        </w:rPr>
        <w:t>The trade surplus was maintained and the trade flows very similar, although there was a small decline in imports of just over a million US dollars.</w:t>
      </w:r>
      <w:r w:rsidR="001B10E6">
        <w:rPr>
          <w:sz w:val="22"/>
          <w:szCs w:val="22"/>
        </w:rPr>
        <w:t xml:space="preserve"> </w:t>
      </w:r>
      <w:r>
        <w:rPr>
          <w:sz w:val="22"/>
          <w:szCs w:val="22"/>
        </w:rPr>
        <w:t>In the Visual Arts and Crafts domain both exports and imports contracted in 2019</w:t>
      </w:r>
      <w:r w:rsidR="00950DA5">
        <w:rPr>
          <w:sz w:val="22"/>
          <w:szCs w:val="22"/>
        </w:rPr>
        <w:t>–20</w:t>
      </w:r>
      <w:r>
        <w:rPr>
          <w:sz w:val="22"/>
          <w:szCs w:val="22"/>
        </w:rPr>
        <w:t>20 compared to 2016</w:t>
      </w:r>
      <w:r w:rsidR="00950DA5">
        <w:rPr>
          <w:sz w:val="22"/>
          <w:szCs w:val="22"/>
        </w:rPr>
        <w:t>–20</w:t>
      </w:r>
      <w:r>
        <w:rPr>
          <w:sz w:val="22"/>
          <w:szCs w:val="22"/>
        </w:rPr>
        <w:t>18, but imports declined by more, widening South Africa’s trade surplus in this domain to about US$67.15 million.</w:t>
      </w:r>
      <w:r w:rsidR="001B10E6">
        <w:rPr>
          <w:sz w:val="22"/>
          <w:szCs w:val="22"/>
        </w:rPr>
        <w:t xml:space="preserve"> </w:t>
      </w:r>
      <w:r>
        <w:rPr>
          <w:sz w:val="22"/>
          <w:szCs w:val="22"/>
        </w:rPr>
        <w:t>For Performance and Celebration, both exports and imports contracted in 2019</w:t>
      </w:r>
      <w:r w:rsidR="005F6869">
        <w:rPr>
          <w:sz w:val="22"/>
          <w:szCs w:val="22"/>
        </w:rPr>
        <w:t>–20</w:t>
      </w:r>
      <w:r>
        <w:rPr>
          <w:sz w:val="22"/>
          <w:szCs w:val="22"/>
        </w:rPr>
        <w:t>20, with imports once again declining by more. This meant that the trade deficit in this domain was reduced from US$63.54 million to US$40.21 million.</w:t>
      </w:r>
      <w:r w:rsidR="001B10E6">
        <w:rPr>
          <w:sz w:val="22"/>
          <w:szCs w:val="22"/>
        </w:rPr>
        <w:t xml:space="preserve"> </w:t>
      </w:r>
      <w:r>
        <w:rPr>
          <w:sz w:val="22"/>
          <w:szCs w:val="22"/>
        </w:rPr>
        <w:t>In the case of Books and Press, exports increased slightly between 2016</w:t>
      </w:r>
      <w:r w:rsidR="005F6869">
        <w:rPr>
          <w:sz w:val="22"/>
          <w:szCs w:val="22"/>
        </w:rPr>
        <w:t>–20</w:t>
      </w:r>
      <w:r>
        <w:rPr>
          <w:sz w:val="22"/>
          <w:szCs w:val="22"/>
        </w:rPr>
        <w:t>18 and 2019</w:t>
      </w:r>
      <w:r w:rsidR="005F6869">
        <w:rPr>
          <w:sz w:val="22"/>
          <w:szCs w:val="22"/>
        </w:rPr>
        <w:t>–20</w:t>
      </w:r>
      <w:r>
        <w:rPr>
          <w:sz w:val="22"/>
          <w:szCs w:val="22"/>
        </w:rPr>
        <w:t>20, while imports declined, so South Africa’s Books and Press trade deficit fell from US$62.17 million in 2016</w:t>
      </w:r>
      <w:r w:rsidR="005F6869">
        <w:rPr>
          <w:sz w:val="22"/>
          <w:szCs w:val="22"/>
        </w:rPr>
        <w:t>–20</w:t>
      </w:r>
      <w:r>
        <w:rPr>
          <w:sz w:val="22"/>
          <w:szCs w:val="22"/>
        </w:rPr>
        <w:t>18 to US$22.03 million in 2019</w:t>
      </w:r>
      <w:r w:rsidR="005F6869">
        <w:rPr>
          <w:sz w:val="22"/>
          <w:szCs w:val="22"/>
        </w:rPr>
        <w:t>–20</w:t>
      </w:r>
      <w:r>
        <w:rPr>
          <w:sz w:val="22"/>
          <w:szCs w:val="22"/>
        </w:rPr>
        <w:t>20 (i.e. by even more than in the case of the previous domain).</w:t>
      </w:r>
    </w:p>
    <w:p w14:paraId="000001F4" w14:textId="27052274" w:rsidR="00294ABB" w:rsidRDefault="00420BFB">
      <w:pPr>
        <w:rPr>
          <w:b/>
          <w:color w:val="2E75B5"/>
          <w:sz w:val="26"/>
          <w:szCs w:val="26"/>
        </w:rPr>
      </w:pPr>
      <w:r>
        <w:rPr>
          <w:sz w:val="22"/>
          <w:szCs w:val="22"/>
        </w:rPr>
        <w:t>The small deficit in South Africa’s cultural goods trade in the Audio-visual and Interactive Media domain was effectively eliminated between 2016</w:t>
      </w:r>
      <w:r w:rsidR="005F6869">
        <w:rPr>
          <w:sz w:val="22"/>
          <w:szCs w:val="22"/>
        </w:rPr>
        <w:t>–20</w:t>
      </w:r>
      <w:r>
        <w:rPr>
          <w:sz w:val="22"/>
          <w:szCs w:val="22"/>
        </w:rPr>
        <w:t>18 and 2019</w:t>
      </w:r>
      <w:r w:rsidR="005F6869">
        <w:rPr>
          <w:sz w:val="22"/>
          <w:szCs w:val="22"/>
        </w:rPr>
        <w:t>–20</w:t>
      </w:r>
      <w:r>
        <w:rPr>
          <w:sz w:val="22"/>
          <w:szCs w:val="22"/>
        </w:rPr>
        <w:t>20, due to a decline in imports between the two periods.</w:t>
      </w:r>
      <w:r w:rsidR="001B10E6">
        <w:rPr>
          <w:sz w:val="22"/>
          <w:szCs w:val="22"/>
        </w:rPr>
        <w:t xml:space="preserve"> </w:t>
      </w:r>
      <w:r>
        <w:rPr>
          <w:sz w:val="22"/>
          <w:szCs w:val="22"/>
        </w:rPr>
        <w:t xml:space="preserve">It was noted earlier that Audio-visual and Interactive Media together with Design and Creative Services are important parts of cultural </w:t>
      </w:r>
      <w:r>
        <w:rPr>
          <w:sz w:val="22"/>
          <w:szCs w:val="22"/>
        </w:rPr>
        <w:lastRenderedPageBreak/>
        <w:t>services trade.</w:t>
      </w:r>
      <w:r w:rsidR="001B10E6">
        <w:rPr>
          <w:sz w:val="22"/>
          <w:szCs w:val="22"/>
        </w:rPr>
        <w:t xml:space="preserve"> </w:t>
      </w:r>
      <w:r>
        <w:rPr>
          <w:sz w:val="22"/>
          <w:szCs w:val="22"/>
        </w:rPr>
        <w:t>In South Africa’s case, cultural goods trade flows in these domains, as measured in the UNESCO FCS, are very small.</w:t>
      </w:r>
      <w:r w:rsidR="001B10E6">
        <w:rPr>
          <w:sz w:val="22"/>
          <w:szCs w:val="22"/>
        </w:rPr>
        <w:t xml:space="preserve"> </w:t>
      </w:r>
      <w:r>
        <w:rPr>
          <w:sz w:val="22"/>
          <w:szCs w:val="22"/>
        </w:rPr>
        <w:t>It is likely that better data collection would improve the recording of cultural goods trade in the Audio-visual and Interactive Media domain.</w:t>
      </w:r>
      <w:r w:rsidR="001B10E6">
        <w:rPr>
          <w:sz w:val="22"/>
          <w:szCs w:val="22"/>
        </w:rPr>
        <w:t xml:space="preserve"> </w:t>
      </w:r>
      <w:r>
        <w:rPr>
          <w:sz w:val="22"/>
          <w:szCs w:val="22"/>
        </w:rPr>
        <w:t>This would be a useful area of further research.</w:t>
      </w:r>
    </w:p>
    <w:p w14:paraId="000001F5" w14:textId="77777777" w:rsidR="00294ABB" w:rsidRDefault="00420BFB" w:rsidP="00835B56">
      <w:pPr>
        <w:pStyle w:val="Heading2"/>
        <w:spacing w:before="0" w:line="240" w:lineRule="auto"/>
        <w:ind w:left="578" w:hanging="578"/>
      </w:pPr>
      <w:bookmarkStart w:id="40" w:name="_Toc92623045"/>
      <w:r>
        <w:t>South Africa’s cultural goods trade by region, with a focus on USMCA and SADC</w:t>
      </w:r>
      <w:bookmarkEnd w:id="40"/>
    </w:p>
    <w:p w14:paraId="000001F6" w14:textId="77777777" w:rsidR="00294ABB" w:rsidRDefault="00294ABB">
      <w:pPr>
        <w:spacing w:after="0"/>
        <w:rPr>
          <w:sz w:val="22"/>
          <w:szCs w:val="22"/>
          <w:highlight w:val="lightGray"/>
        </w:rPr>
      </w:pPr>
    </w:p>
    <w:p w14:paraId="000001F7" w14:textId="54C13670" w:rsidR="00294ABB" w:rsidRDefault="00420BFB" w:rsidP="00835B56">
      <w:pPr>
        <w:spacing w:line="259" w:lineRule="auto"/>
        <w:rPr>
          <w:sz w:val="22"/>
          <w:szCs w:val="22"/>
        </w:rPr>
      </w:pPr>
      <w:r>
        <w:rPr>
          <w:sz w:val="22"/>
          <w:szCs w:val="22"/>
        </w:rPr>
        <w:t>Table 5 below provides a picture of the key origin and destination markets for South Africa’s cultural goods trade from a regional perspective for 2019.</w:t>
      </w:r>
      <w:r>
        <w:rPr>
          <w:sz w:val="22"/>
          <w:szCs w:val="22"/>
          <w:vertAlign w:val="superscript"/>
        </w:rPr>
        <w:footnoteReference w:id="14"/>
      </w:r>
      <w:r w:rsidR="001B10E6">
        <w:rPr>
          <w:sz w:val="22"/>
          <w:szCs w:val="22"/>
        </w:rPr>
        <w:t xml:space="preserve"> </w:t>
      </w:r>
      <w:r>
        <w:rPr>
          <w:sz w:val="22"/>
          <w:szCs w:val="22"/>
        </w:rPr>
        <w:t>The table updates and extends Table 4 of Cattaneo and Snowball (2020: 22) which was for the year 2018 and did not show the SADC region separately from the rest of Africa.</w:t>
      </w:r>
      <w:r>
        <w:rPr>
          <w:sz w:val="22"/>
          <w:szCs w:val="22"/>
          <w:vertAlign w:val="superscript"/>
        </w:rPr>
        <w:footnoteReference w:id="15"/>
      </w:r>
    </w:p>
    <w:p w14:paraId="000001F8" w14:textId="19B99C4E" w:rsidR="00294ABB" w:rsidRPr="00835B56" w:rsidRDefault="008B6A61" w:rsidP="008B6A61">
      <w:pPr>
        <w:pStyle w:val="Caption"/>
        <w:rPr>
          <w:color w:val="44546A"/>
          <w:sz w:val="24"/>
          <w:szCs w:val="24"/>
        </w:rPr>
      </w:pPr>
      <w:bookmarkStart w:id="41" w:name="_heading=h.49x2ik5" w:colFirst="0" w:colLast="0"/>
      <w:bookmarkStart w:id="42" w:name="_Toc92623705"/>
      <w:bookmarkEnd w:id="41"/>
      <w:r w:rsidRPr="00835B56">
        <w:rPr>
          <w:sz w:val="20"/>
          <w:szCs w:val="20"/>
        </w:rPr>
        <w:t xml:space="preserve">Table </w:t>
      </w:r>
      <w:r w:rsidR="006B6995" w:rsidRPr="00835B56">
        <w:rPr>
          <w:sz w:val="20"/>
          <w:szCs w:val="20"/>
        </w:rPr>
        <w:fldChar w:fldCharType="begin"/>
      </w:r>
      <w:r w:rsidR="006B6995" w:rsidRPr="00835B56">
        <w:rPr>
          <w:sz w:val="20"/>
          <w:szCs w:val="20"/>
        </w:rPr>
        <w:instrText xml:space="preserve"> SEQ Table \* ARABIC </w:instrText>
      </w:r>
      <w:r w:rsidR="006B6995" w:rsidRPr="00835B56">
        <w:rPr>
          <w:sz w:val="20"/>
          <w:szCs w:val="20"/>
        </w:rPr>
        <w:fldChar w:fldCharType="separate"/>
      </w:r>
      <w:r w:rsidR="00682412">
        <w:rPr>
          <w:noProof/>
          <w:sz w:val="20"/>
          <w:szCs w:val="20"/>
        </w:rPr>
        <w:t>5</w:t>
      </w:r>
      <w:r w:rsidR="006B6995" w:rsidRPr="00835B56">
        <w:rPr>
          <w:noProof/>
          <w:sz w:val="20"/>
          <w:szCs w:val="20"/>
        </w:rPr>
        <w:fldChar w:fldCharType="end"/>
      </w:r>
      <w:r w:rsidR="00BF296C">
        <w:rPr>
          <w:noProof/>
          <w:sz w:val="20"/>
          <w:szCs w:val="20"/>
        </w:rPr>
        <w:t>:</w:t>
      </w:r>
      <w:r w:rsidRPr="00835B56">
        <w:rPr>
          <w:sz w:val="20"/>
          <w:szCs w:val="20"/>
        </w:rPr>
        <w:t xml:space="preserve"> </w:t>
      </w:r>
      <w:r w:rsidR="00420BFB" w:rsidRPr="00835B56">
        <w:rPr>
          <w:color w:val="44546A"/>
          <w:sz w:val="20"/>
          <w:szCs w:val="20"/>
        </w:rPr>
        <w:t>South Africa</w:t>
      </w:r>
      <w:r w:rsidR="00C93471" w:rsidRPr="00835B56">
        <w:rPr>
          <w:color w:val="44546A"/>
          <w:sz w:val="20"/>
          <w:szCs w:val="20"/>
        </w:rPr>
        <w:t>’</w:t>
      </w:r>
      <w:r w:rsidR="00420BFB" w:rsidRPr="00835B56">
        <w:rPr>
          <w:color w:val="44546A"/>
          <w:sz w:val="20"/>
          <w:szCs w:val="20"/>
        </w:rPr>
        <w:t>s cultural goods trade with selected regions 2019 (US$ millions and regional shares)</w:t>
      </w:r>
      <w:bookmarkEnd w:id="42"/>
    </w:p>
    <w:tbl>
      <w:tblPr>
        <w:tblStyle w:val="a3"/>
        <w:tblW w:w="7938" w:type="dxa"/>
        <w:jc w:val="center"/>
        <w:tblLayout w:type="fixed"/>
        <w:tblLook w:val="0400" w:firstRow="0" w:lastRow="0" w:firstColumn="0" w:lastColumn="0" w:noHBand="0" w:noVBand="1"/>
      </w:tblPr>
      <w:tblGrid>
        <w:gridCol w:w="2575"/>
        <w:gridCol w:w="1340"/>
        <w:gridCol w:w="1341"/>
        <w:gridCol w:w="1341"/>
        <w:gridCol w:w="1341"/>
      </w:tblGrid>
      <w:tr w:rsidR="00294ABB" w14:paraId="13573DAC" w14:textId="77777777" w:rsidTr="00835B56">
        <w:trPr>
          <w:trHeight w:val="290"/>
          <w:jc w:val="center"/>
        </w:trPr>
        <w:tc>
          <w:tcPr>
            <w:tcW w:w="257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0001F9" w14:textId="77777777" w:rsidR="00294ABB" w:rsidRPr="00835B56" w:rsidRDefault="00420BFB" w:rsidP="00835B56">
            <w:pPr>
              <w:spacing w:before="60" w:after="60"/>
              <w:jc w:val="left"/>
              <w:rPr>
                <w:b/>
                <w:color w:val="000000"/>
              </w:rPr>
            </w:pPr>
            <w:r w:rsidRPr="00835B56">
              <w:rPr>
                <w:b/>
                <w:color w:val="000000"/>
              </w:rPr>
              <w:t>Region</w:t>
            </w:r>
          </w:p>
        </w:tc>
        <w:tc>
          <w:tcPr>
            <w:tcW w:w="1340" w:type="dxa"/>
            <w:tcBorders>
              <w:top w:val="single" w:sz="4" w:space="0" w:color="000000"/>
              <w:left w:val="nil"/>
              <w:bottom w:val="single" w:sz="4" w:space="0" w:color="000000"/>
              <w:right w:val="single" w:sz="4" w:space="0" w:color="000000"/>
            </w:tcBorders>
            <w:shd w:val="clear" w:color="auto" w:fill="auto"/>
            <w:vAlign w:val="bottom"/>
          </w:tcPr>
          <w:p w14:paraId="000001FA" w14:textId="77777777" w:rsidR="00294ABB" w:rsidRPr="00835B56" w:rsidRDefault="00420BFB" w:rsidP="00835B56">
            <w:pPr>
              <w:spacing w:before="60" w:after="60"/>
              <w:jc w:val="center"/>
              <w:rPr>
                <w:b/>
                <w:color w:val="000000"/>
              </w:rPr>
            </w:pPr>
            <w:r w:rsidRPr="00835B56">
              <w:rPr>
                <w:b/>
                <w:color w:val="000000"/>
              </w:rPr>
              <w:t>SA exports</w:t>
            </w:r>
          </w:p>
        </w:tc>
        <w:tc>
          <w:tcPr>
            <w:tcW w:w="1341" w:type="dxa"/>
            <w:tcBorders>
              <w:top w:val="single" w:sz="4" w:space="0" w:color="000000"/>
              <w:left w:val="nil"/>
              <w:bottom w:val="single" w:sz="4" w:space="0" w:color="000000"/>
              <w:right w:val="single" w:sz="4" w:space="0" w:color="000000"/>
            </w:tcBorders>
            <w:shd w:val="clear" w:color="auto" w:fill="auto"/>
            <w:vAlign w:val="bottom"/>
          </w:tcPr>
          <w:p w14:paraId="000001FB" w14:textId="77777777" w:rsidR="00294ABB" w:rsidRPr="00835B56" w:rsidRDefault="00420BFB" w:rsidP="00835B56">
            <w:pPr>
              <w:spacing w:before="60" w:after="60"/>
              <w:jc w:val="center"/>
              <w:rPr>
                <w:b/>
                <w:color w:val="000000"/>
              </w:rPr>
            </w:pPr>
            <w:r w:rsidRPr="00835B56">
              <w:rPr>
                <w:b/>
                <w:color w:val="000000"/>
              </w:rPr>
              <w:t>%Exp</w:t>
            </w:r>
          </w:p>
        </w:tc>
        <w:tc>
          <w:tcPr>
            <w:tcW w:w="1341" w:type="dxa"/>
            <w:tcBorders>
              <w:top w:val="single" w:sz="4" w:space="0" w:color="000000"/>
              <w:left w:val="nil"/>
              <w:bottom w:val="single" w:sz="4" w:space="0" w:color="000000"/>
              <w:right w:val="single" w:sz="4" w:space="0" w:color="000000"/>
            </w:tcBorders>
            <w:shd w:val="clear" w:color="auto" w:fill="auto"/>
            <w:vAlign w:val="bottom"/>
          </w:tcPr>
          <w:p w14:paraId="000001FC" w14:textId="77777777" w:rsidR="00294ABB" w:rsidRPr="00835B56" w:rsidRDefault="00420BFB" w:rsidP="00835B56">
            <w:pPr>
              <w:spacing w:before="60" w:after="60"/>
              <w:jc w:val="center"/>
              <w:rPr>
                <w:b/>
                <w:color w:val="000000"/>
              </w:rPr>
            </w:pPr>
            <w:r w:rsidRPr="00835B56">
              <w:rPr>
                <w:b/>
                <w:color w:val="000000"/>
              </w:rPr>
              <w:t>SA imports</w:t>
            </w:r>
          </w:p>
        </w:tc>
        <w:tc>
          <w:tcPr>
            <w:tcW w:w="1341" w:type="dxa"/>
            <w:tcBorders>
              <w:top w:val="single" w:sz="4" w:space="0" w:color="000000"/>
              <w:left w:val="nil"/>
              <w:bottom w:val="single" w:sz="4" w:space="0" w:color="000000"/>
              <w:right w:val="single" w:sz="4" w:space="0" w:color="000000"/>
            </w:tcBorders>
            <w:shd w:val="clear" w:color="auto" w:fill="auto"/>
            <w:vAlign w:val="bottom"/>
          </w:tcPr>
          <w:p w14:paraId="000001FD" w14:textId="77777777" w:rsidR="00294ABB" w:rsidRPr="00835B56" w:rsidRDefault="00420BFB" w:rsidP="00835B56">
            <w:pPr>
              <w:spacing w:before="60" w:after="60"/>
              <w:jc w:val="center"/>
              <w:rPr>
                <w:b/>
                <w:color w:val="000000"/>
              </w:rPr>
            </w:pPr>
            <w:r w:rsidRPr="00835B56">
              <w:rPr>
                <w:b/>
                <w:color w:val="000000"/>
              </w:rPr>
              <w:t>%Imp</w:t>
            </w:r>
          </w:p>
        </w:tc>
      </w:tr>
      <w:tr w:rsidR="00294ABB" w14:paraId="14E5A8BC" w14:textId="77777777" w:rsidTr="00835B56">
        <w:trPr>
          <w:trHeight w:val="290"/>
          <w:jc w:val="center"/>
        </w:trPr>
        <w:tc>
          <w:tcPr>
            <w:tcW w:w="2575" w:type="dxa"/>
            <w:tcBorders>
              <w:top w:val="nil"/>
              <w:left w:val="single" w:sz="4" w:space="0" w:color="000000"/>
              <w:bottom w:val="single" w:sz="4" w:space="0" w:color="000000"/>
              <w:right w:val="single" w:sz="4" w:space="0" w:color="000000"/>
            </w:tcBorders>
            <w:shd w:val="clear" w:color="auto" w:fill="auto"/>
            <w:vAlign w:val="bottom"/>
          </w:tcPr>
          <w:p w14:paraId="000001FE" w14:textId="77777777" w:rsidR="00294ABB" w:rsidRPr="00835B56" w:rsidRDefault="00420BFB" w:rsidP="00835B56">
            <w:pPr>
              <w:spacing w:before="60" w:after="60"/>
              <w:jc w:val="left"/>
              <w:rPr>
                <w:color w:val="000000"/>
              </w:rPr>
            </w:pPr>
            <w:r w:rsidRPr="00835B56">
              <w:rPr>
                <w:color w:val="000000"/>
              </w:rPr>
              <w:t>USMCA</w:t>
            </w:r>
          </w:p>
        </w:tc>
        <w:tc>
          <w:tcPr>
            <w:tcW w:w="1340" w:type="dxa"/>
            <w:tcBorders>
              <w:top w:val="nil"/>
              <w:left w:val="nil"/>
              <w:bottom w:val="single" w:sz="4" w:space="0" w:color="000000"/>
              <w:right w:val="single" w:sz="4" w:space="0" w:color="000000"/>
            </w:tcBorders>
            <w:shd w:val="clear" w:color="auto" w:fill="auto"/>
            <w:tcMar>
              <w:right w:w="340" w:type="dxa"/>
            </w:tcMar>
            <w:vAlign w:val="bottom"/>
          </w:tcPr>
          <w:p w14:paraId="000001FF" w14:textId="77777777" w:rsidR="00294ABB" w:rsidRPr="00835B56" w:rsidRDefault="00420BFB" w:rsidP="00835B56">
            <w:pPr>
              <w:spacing w:before="60" w:after="60"/>
              <w:jc w:val="right"/>
              <w:rPr>
                <w:color w:val="000000"/>
              </w:rPr>
            </w:pPr>
            <w:r w:rsidRPr="00835B56">
              <w:rPr>
                <w:color w:val="000000"/>
              </w:rPr>
              <w:t>149.440</w:t>
            </w:r>
          </w:p>
        </w:tc>
        <w:tc>
          <w:tcPr>
            <w:tcW w:w="1341" w:type="dxa"/>
            <w:tcBorders>
              <w:top w:val="nil"/>
              <w:left w:val="nil"/>
              <w:bottom w:val="single" w:sz="4" w:space="0" w:color="000000"/>
              <w:right w:val="single" w:sz="4" w:space="0" w:color="000000"/>
            </w:tcBorders>
            <w:shd w:val="clear" w:color="auto" w:fill="auto"/>
            <w:tcMar>
              <w:right w:w="340" w:type="dxa"/>
            </w:tcMar>
            <w:vAlign w:val="bottom"/>
          </w:tcPr>
          <w:p w14:paraId="00000200" w14:textId="77777777" w:rsidR="00294ABB" w:rsidRPr="00835B56" w:rsidRDefault="00420BFB" w:rsidP="00835B56">
            <w:pPr>
              <w:spacing w:before="60" w:after="60"/>
              <w:jc w:val="right"/>
              <w:rPr>
                <w:color w:val="000000"/>
              </w:rPr>
            </w:pPr>
            <w:r w:rsidRPr="00835B56">
              <w:rPr>
                <w:color w:val="000000"/>
              </w:rPr>
              <w:t>39.1</w:t>
            </w:r>
          </w:p>
        </w:tc>
        <w:tc>
          <w:tcPr>
            <w:tcW w:w="1341" w:type="dxa"/>
            <w:tcBorders>
              <w:top w:val="nil"/>
              <w:left w:val="nil"/>
              <w:bottom w:val="single" w:sz="4" w:space="0" w:color="000000"/>
              <w:right w:val="single" w:sz="4" w:space="0" w:color="000000"/>
            </w:tcBorders>
            <w:shd w:val="clear" w:color="auto" w:fill="auto"/>
            <w:tcMar>
              <w:right w:w="340" w:type="dxa"/>
            </w:tcMar>
            <w:vAlign w:val="bottom"/>
          </w:tcPr>
          <w:p w14:paraId="00000201" w14:textId="77777777" w:rsidR="00294ABB" w:rsidRPr="00835B56" w:rsidRDefault="00420BFB" w:rsidP="00835B56">
            <w:pPr>
              <w:spacing w:before="60" w:after="60"/>
              <w:jc w:val="right"/>
              <w:rPr>
                <w:color w:val="000000"/>
              </w:rPr>
            </w:pPr>
            <w:r w:rsidRPr="00835B56">
              <w:rPr>
                <w:color w:val="000000"/>
              </w:rPr>
              <w:t>37.798</w:t>
            </w:r>
          </w:p>
        </w:tc>
        <w:tc>
          <w:tcPr>
            <w:tcW w:w="1341" w:type="dxa"/>
            <w:tcBorders>
              <w:top w:val="nil"/>
              <w:left w:val="nil"/>
              <w:bottom w:val="single" w:sz="4" w:space="0" w:color="000000"/>
              <w:right w:val="single" w:sz="4" w:space="0" w:color="000000"/>
            </w:tcBorders>
            <w:shd w:val="clear" w:color="auto" w:fill="auto"/>
            <w:tcMar>
              <w:right w:w="340" w:type="dxa"/>
            </w:tcMar>
            <w:vAlign w:val="bottom"/>
          </w:tcPr>
          <w:p w14:paraId="00000202" w14:textId="77777777" w:rsidR="00294ABB" w:rsidRPr="00835B56" w:rsidRDefault="00420BFB" w:rsidP="00835B56">
            <w:pPr>
              <w:spacing w:before="60" w:after="60"/>
              <w:jc w:val="right"/>
              <w:rPr>
                <w:color w:val="000000"/>
              </w:rPr>
            </w:pPr>
            <w:r w:rsidRPr="00835B56">
              <w:rPr>
                <w:color w:val="000000"/>
              </w:rPr>
              <w:t>9.58</w:t>
            </w:r>
          </w:p>
        </w:tc>
      </w:tr>
      <w:tr w:rsidR="00294ABB" w14:paraId="4986DF15" w14:textId="77777777" w:rsidTr="00835B56">
        <w:trPr>
          <w:trHeight w:val="290"/>
          <w:jc w:val="center"/>
        </w:trPr>
        <w:tc>
          <w:tcPr>
            <w:tcW w:w="2575" w:type="dxa"/>
            <w:tcBorders>
              <w:top w:val="nil"/>
              <w:left w:val="single" w:sz="4" w:space="0" w:color="000000"/>
              <w:bottom w:val="single" w:sz="4" w:space="0" w:color="000000"/>
              <w:right w:val="single" w:sz="4" w:space="0" w:color="000000"/>
            </w:tcBorders>
            <w:shd w:val="clear" w:color="auto" w:fill="auto"/>
            <w:vAlign w:val="bottom"/>
          </w:tcPr>
          <w:p w14:paraId="00000203" w14:textId="77777777" w:rsidR="00294ABB" w:rsidRPr="00835B56" w:rsidRDefault="00420BFB" w:rsidP="00835B56">
            <w:pPr>
              <w:spacing w:before="60" w:after="60"/>
              <w:jc w:val="left"/>
              <w:rPr>
                <w:color w:val="000000"/>
              </w:rPr>
            </w:pPr>
            <w:r w:rsidRPr="00835B56">
              <w:rPr>
                <w:color w:val="000000"/>
              </w:rPr>
              <w:t>EU28 (including UK)</w:t>
            </w:r>
          </w:p>
        </w:tc>
        <w:tc>
          <w:tcPr>
            <w:tcW w:w="1340" w:type="dxa"/>
            <w:tcBorders>
              <w:top w:val="nil"/>
              <w:left w:val="nil"/>
              <w:bottom w:val="single" w:sz="4" w:space="0" w:color="000000"/>
              <w:right w:val="single" w:sz="4" w:space="0" w:color="000000"/>
            </w:tcBorders>
            <w:shd w:val="clear" w:color="auto" w:fill="auto"/>
            <w:tcMar>
              <w:right w:w="340" w:type="dxa"/>
            </w:tcMar>
            <w:vAlign w:val="bottom"/>
          </w:tcPr>
          <w:p w14:paraId="00000204" w14:textId="77777777" w:rsidR="00294ABB" w:rsidRPr="00835B56" w:rsidRDefault="00420BFB" w:rsidP="00835B56">
            <w:pPr>
              <w:spacing w:before="60" w:after="60"/>
              <w:jc w:val="right"/>
              <w:rPr>
                <w:color w:val="000000"/>
              </w:rPr>
            </w:pPr>
            <w:r w:rsidRPr="00835B56">
              <w:rPr>
                <w:color w:val="000000"/>
              </w:rPr>
              <w:t>86.115</w:t>
            </w:r>
          </w:p>
        </w:tc>
        <w:tc>
          <w:tcPr>
            <w:tcW w:w="1341" w:type="dxa"/>
            <w:tcBorders>
              <w:top w:val="nil"/>
              <w:left w:val="nil"/>
              <w:bottom w:val="single" w:sz="4" w:space="0" w:color="000000"/>
              <w:right w:val="single" w:sz="4" w:space="0" w:color="000000"/>
            </w:tcBorders>
            <w:shd w:val="clear" w:color="auto" w:fill="auto"/>
            <w:tcMar>
              <w:right w:w="340" w:type="dxa"/>
            </w:tcMar>
            <w:vAlign w:val="bottom"/>
          </w:tcPr>
          <w:p w14:paraId="00000205" w14:textId="77777777" w:rsidR="00294ABB" w:rsidRPr="00835B56" w:rsidRDefault="00420BFB" w:rsidP="00835B56">
            <w:pPr>
              <w:spacing w:before="60" w:after="60"/>
              <w:jc w:val="right"/>
              <w:rPr>
                <w:color w:val="000000"/>
              </w:rPr>
            </w:pPr>
            <w:r w:rsidRPr="00835B56">
              <w:rPr>
                <w:color w:val="000000"/>
              </w:rPr>
              <w:t>22.5</w:t>
            </w:r>
          </w:p>
        </w:tc>
        <w:tc>
          <w:tcPr>
            <w:tcW w:w="1341" w:type="dxa"/>
            <w:tcBorders>
              <w:top w:val="nil"/>
              <w:left w:val="nil"/>
              <w:bottom w:val="single" w:sz="4" w:space="0" w:color="000000"/>
              <w:right w:val="single" w:sz="4" w:space="0" w:color="000000"/>
            </w:tcBorders>
            <w:shd w:val="clear" w:color="auto" w:fill="auto"/>
            <w:tcMar>
              <w:right w:w="340" w:type="dxa"/>
            </w:tcMar>
            <w:vAlign w:val="bottom"/>
          </w:tcPr>
          <w:p w14:paraId="00000206" w14:textId="77777777" w:rsidR="00294ABB" w:rsidRPr="00835B56" w:rsidRDefault="00420BFB" w:rsidP="00835B56">
            <w:pPr>
              <w:spacing w:before="60" w:after="60"/>
              <w:jc w:val="right"/>
              <w:rPr>
                <w:color w:val="000000"/>
              </w:rPr>
            </w:pPr>
            <w:r w:rsidRPr="00835B56">
              <w:rPr>
                <w:color w:val="000000"/>
              </w:rPr>
              <w:t>101.985</w:t>
            </w:r>
          </w:p>
        </w:tc>
        <w:tc>
          <w:tcPr>
            <w:tcW w:w="1341" w:type="dxa"/>
            <w:tcBorders>
              <w:top w:val="nil"/>
              <w:left w:val="nil"/>
              <w:bottom w:val="single" w:sz="4" w:space="0" w:color="000000"/>
              <w:right w:val="single" w:sz="4" w:space="0" w:color="000000"/>
            </w:tcBorders>
            <w:shd w:val="clear" w:color="auto" w:fill="auto"/>
            <w:tcMar>
              <w:right w:w="340" w:type="dxa"/>
            </w:tcMar>
            <w:vAlign w:val="bottom"/>
          </w:tcPr>
          <w:p w14:paraId="00000207" w14:textId="77777777" w:rsidR="00294ABB" w:rsidRPr="00835B56" w:rsidRDefault="00420BFB" w:rsidP="00835B56">
            <w:pPr>
              <w:spacing w:before="60" w:after="60"/>
              <w:jc w:val="right"/>
              <w:rPr>
                <w:color w:val="000000"/>
              </w:rPr>
            </w:pPr>
            <w:r w:rsidRPr="00835B56">
              <w:rPr>
                <w:color w:val="000000"/>
              </w:rPr>
              <w:t>25.8</w:t>
            </w:r>
          </w:p>
        </w:tc>
      </w:tr>
      <w:tr w:rsidR="00294ABB" w14:paraId="5628F79A" w14:textId="77777777" w:rsidTr="00835B56">
        <w:trPr>
          <w:trHeight w:val="290"/>
          <w:jc w:val="center"/>
        </w:trPr>
        <w:tc>
          <w:tcPr>
            <w:tcW w:w="2575" w:type="dxa"/>
            <w:tcBorders>
              <w:top w:val="nil"/>
              <w:left w:val="single" w:sz="4" w:space="0" w:color="000000"/>
              <w:bottom w:val="single" w:sz="4" w:space="0" w:color="000000"/>
              <w:right w:val="single" w:sz="4" w:space="0" w:color="000000"/>
            </w:tcBorders>
            <w:shd w:val="clear" w:color="auto" w:fill="auto"/>
            <w:vAlign w:val="bottom"/>
          </w:tcPr>
          <w:p w14:paraId="00000208" w14:textId="77777777" w:rsidR="00294ABB" w:rsidRPr="00835B56" w:rsidRDefault="00420BFB" w:rsidP="00835B56">
            <w:pPr>
              <w:spacing w:before="60" w:after="60"/>
              <w:jc w:val="left"/>
              <w:rPr>
                <w:color w:val="000000"/>
              </w:rPr>
            </w:pPr>
            <w:r w:rsidRPr="00835B56">
              <w:rPr>
                <w:color w:val="000000"/>
              </w:rPr>
              <w:t>Rest of SADC</w:t>
            </w:r>
          </w:p>
        </w:tc>
        <w:tc>
          <w:tcPr>
            <w:tcW w:w="1340" w:type="dxa"/>
            <w:tcBorders>
              <w:top w:val="nil"/>
              <w:left w:val="nil"/>
              <w:bottom w:val="single" w:sz="4" w:space="0" w:color="000000"/>
              <w:right w:val="single" w:sz="4" w:space="0" w:color="000000"/>
            </w:tcBorders>
            <w:shd w:val="clear" w:color="auto" w:fill="auto"/>
            <w:tcMar>
              <w:right w:w="340" w:type="dxa"/>
            </w:tcMar>
            <w:vAlign w:val="bottom"/>
          </w:tcPr>
          <w:p w14:paraId="00000209" w14:textId="77777777" w:rsidR="00294ABB" w:rsidRPr="00835B56" w:rsidRDefault="00420BFB" w:rsidP="00835B56">
            <w:pPr>
              <w:spacing w:before="60" w:after="60"/>
              <w:jc w:val="right"/>
              <w:rPr>
                <w:color w:val="000000"/>
              </w:rPr>
            </w:pPr>
            <w:r w:rsidRPr="00835B56">
              <w:rPr>
                <w:color w:val="000000"/>
              </w:rPr>
              <w:t>75.928</w:t>
            </w:r>
          </w:p>
        </w:tc>
        <w:tc>
          <w:tcPr>
            <w:tcW w:w="1341" w:type="dxa"/>
            <w:tcBorders>
              <w:top w:val="nil"/>
              <w:left w:val="nil"/>
              <w:bottom w:val="single" w:sz="4" w:space="0" w:color="000000"/>
              <w:right w:val="single" w:sz="4" w:space="0" w:color="000000"/>
            </w:tcBorders>
            <w:shd w:val="clear" w:color="auto" w:fill="auto"/>
            <w:tcMar>
              <w:right w:w="340" w:type="dxa"/>
            </w:tcMar>
            <w:vAlign w:val="bottom"/>
          </w:tcPr>
          <w:p w14:paraId="0000020A" w14:textId="77777777" w:rsidR="00294ABB" w:rsidRPr="00835B56" w:rsidRDefault="00420BFB" w:rsidP="00835B56">
            <w:pPr>
              <w:spacing w:before="60" w:after="60"/>
              <w:jc w:val="right"/>
              <w:rPr>
                <w:color w:val="000000"/>
              </w:rPr>
            </w:pPr>
            <w:r w:rsidRPr="00835B56">
              <w:rPr>
                <w:color w:val="000000"/>
              </w:rPr>
              <w:t>19.9</w:t>
            </w:r>
          </w:p>
        </w:tc>
        <w:tc>
          <w:tcPr>
            <w:tcW w:w="1341" w:type="dxa"/>
            <w:tcBorders>
              <w:top w:val="nil"/>
              <w:left w:val="nil"/>
              <w:bottom w:val="single" w:sz="4" w:space="0" w:color="000000"/>
              <w:right w:val="single" w:sz="4" w:space="0" w:color="000000"/>
            </w:tcBorders>
            <w:shd w:val="clear" w:color="auto" w:fill="auto"/>
            <w:tcMar>
              <w:right w:w="340" w:type="dxa"/>
            </w:tcMar>
            <w:vAlign w:val="bottom"/>
          </w:tcPr>
          <w:p w14:paraId="0000020B" w14:textId="77777777" w:rsidR="00294ABB" w:rsidRPr="00835B56" w:rsidRDefault="00420BFB" w:rsidP="00835B56">
            <w:pPr>
              <w:spacing w:before="60" w:after="60"/>
              <w:jc w:val="right"/>
              <w:rPr>
                <w:color w:val="000000"/>
              </w:rPr>
            </w:pPr>
            <w:r w:rsidRPr="00835B56">
              <w:rPr>
                <w:color w:val="000000"/>
              </w:rPr>
              <w:t>13.586</w:t>
            </w:r>
          </w:p>
        </w:tc>
        <w:tc>
          <w:tcPr>
            <w:tcW w:w="1341" w:type="dxa"/>
            <w:tcBorders>
              <w:top w:val="nil"/>
              <w:left w:val="nil"/>
              <w:bottom w:val="single" w:sz="4" w:space="0" w:color="000000"/>
              <w:right w:val="single" w:sz="4" w:space="0" w:color="000000"/>
            </w:tcBorders>
            <w:shd w:val="clear" w:color="auto" w:fill="auto"/>
            <w:tcMar>
              <w:right w:w="340" w:type="dxa"/>
            </w:tcMar>
            <w:vAlign w:val="bottom"/>
          </w:tcPr>
          <w:p w14:paraId="0000020C" w14:textId="77777777" w:rsidR="00294ABB" w:rsidRPr="00835B56" w:rsidRDefault="00420BFB" w:rsidP="00835B56">
            <w:pPr>
              <w:spacing w:before="60" w:after="60"/>
              <w:jc w:val="right"/>
              <w:rPr>
                <w:color w:val="000000"/>
              </w:rPr>
            </w:pPr>
            <w:r w:rsidRPr="00835B56">
              <w:rPr>
                <w:color w:val="000000"/>
              </w:rPr>
              <w:t>3.44</w:t>
            </w:r>
          </w:p>
        </w:tc>
      </w:tr>
      <w:tr w:rsidR="00294ABB" w14:paraId="7CAFBA04" w14:textId="77777777" w:rsidTr="00835B56">
        <w:trPr>
          <w:trHeight w:val="290"/>
          <w:jc w:val="center"/>
        </w:trPr>
        <w:tc>
          <w:tcPr>
            <w:tcW w:w="2575" w:type="dxa"/>
            <w:tcBorders>
              <w:top w:val="nil"/>
              <w:left w:val="single" w:sz="4" w:space="0" w:color="000000"/>
              <w:bottom w:val="single" w:sz="4" w:space="0" w:color="000000"/>
              <w:right w:val="single" w:sz="4" w:space="0" w:color="000000"/>
            </w:tcBorders>
            <w:shd w:val="clear" w:color="auto" w:fill="auto"/>
            <w:vAlign w:val="bottom"/>
          </w:tcPr>
          <w:p w14:paraId="0000020D" w14:textId="77777777" w:rsidR="00294ABB" w:rsidRPr="00835B56" w:rsidRDefault="00420BFB" w:rsidP="00835B56">
            <w:pPr>
              <w:spacing w:before="60" w:after="60"/>
              <w:jc w:val="left"/>
              <w:rPr>
                <w:color w:val="000000"/>
              </w:rPr>
            </w:pPr>
            <w:r w:rsidRPr="00835B56">
              <w:rPr>
                <w:color w:val="000000"/>
              </w:rPr>
              <w:t>Rest of BRICS</w:t>
            </w:r>
          </w:p>
        </w:tc>
        <w:tc>
          <w:tcPr>
            <w:tcW w:w="1340" w:type="dxa"/>
            <w:tcBorders>
              <w:top w:val="nil"/>
              <w:left w:val="nil"/>
              <w:bottom w:val="single" w:sz="4" w:space="0" w:color="000000"/>
              <w:right w:val="single" w:sz="4" w:space="0" w:color="000000"/>
            </w:tcBorders>
            <w:shd w:val="clear" w:color="auto" w:fill="auto"/>
            <w:tcMar>
              <w:right w:w="340" w:type="dxa"/>
            </w:tcMar>
            <w:vAlign w:val="bottom"/>
          </w:tcPr>
          <w:p w14:paraId="0000020E" w14:textId="77777777" w:rsidR="00294ABB" w:rsidRPr="00835B56" w:rsidRDefault="00420BFB" w:rsidP="00835B56">
            <w:pPr>
              <w:spacing w:before="60" w:after="60"/>
              <w:jc w:val="right"/>
              <w:rPr>
                <w:color w:val="000000"/>
              </w:rPr>
            </w:pPr>
            <w:r w:rsidRPr="00835B56">
              <w:rPr>
                <w:color w:val="000000"/>
              </w:rPr>
              <w:t>34.623</w:t>
            </w:r>
          </w:p>
        </w:tc>
        <w:tc>
          <w:tcPr>
            <w:tcW w:w="1341" w:type="dxa"/>
            <w:tcBorders>
              <w:top w:val="nil"/>
              <w:left w:val="nil"/>
              <w:bottom w:val="single" w:sz="4" w:space="0" w:color="000000"/>
              <w:right w:val="single" w:sz="4" w:space="0" w:color="000000"/>
            </w:tcBorders>
            <w:shd w:val="clear" w:color="auto" w:fill="auto"/>
            <w:tcMar>
              <w:right w:w="340" w:type="dxa"/>
            </w:tcMar>
            <w:vAlign w:val="bottom"/>
          </w:tcPr>
          <w:p w14:paraId="0000020F" w14:textId="77777777" w:rsidR="00294ABB" w:rsidRPr="00835B56" w:rsidRDefault="00420BFB" w:rsidP="00835B56">
            <w:pPr>
              <w:spacing w:before="60" w:after="60"/>
              <w:jc w:val="right"/>
              <w:rPr>
                <w:color w:val="000000"/>
              </w:rPr>
            </w:pPr>
            <w:r w:rsidRPr="00835B56">
              <w:rPr>
                <w:color w:val="000000"/>
              </w:rPr>
              <w:t>9.06</w:t>
            </w:r>
          </w:p>
        </w:tc>
        <w:tc>
          <w:tcPr>
            <w:tcW w:w="1341" w:type="dxa"/>
            <w:tcBorders>
              <w:top w:val="nil"/>
              <w:left w:val="nil"/>
              <w:bottom w:val="single" w:sz="4" w:space="0" w:color="000000"/>
              <w:right w:val="single" w:sz="4" w:space="0" w:color="000000"/>
            </w:tcBorders>
            <w:shd w:val="clear" w:color="auto" w:fill="auto"/>
            <w:tcMar>
              <w:right w:w="340" w:type="dxa"/>
            </w:tcMar>
            <w:vAlign w:val="bottom"/>
          </w:tcPr>
          <w:p w14:paraId="00000210" w14:textId="77777777" w:rsidR="00294ABB" w:rsidRPr="00835B56" w:rsidRDefault="00420BFB" w:rsidP="00835B56">
            <w:pPr>
              <w:spacing w:before="60" w:after="60"/>
              <w:jc w:val="right"/>
              <w:rPr>
                <w:color w:val="000000"/>
              </w:rPr>
            </w:pPr>
            <w:r w:rsidRPr="00835B56">
              <w:rPr>
                <w:color w:val="000000"/>
              </w:rPr>
              <w:t>156.624</w:t>
            </w:r>
          </w:p>
        </w:tc>
        <w:tc>
          <w:tcPr>
            <w:tcW w:w="1341" w:type="dxa"/>
            <w:tcBorders>
              <w:top w:val="nil"/>
              <w:left w:val="nil"/>
              <w:bottom w:val="single" w:sz="4" w:space="0" w:color="000000"/>
              <w:right w:val="single" w:sz="4" w:space="0" w:color="000000"/>
            </w:tcBorders>
            <w:shd w:val="clear" w:color="auto" w:fill="auto"/>
            <w:tcMar>
              <w:right w:w="340" w:type="dxa"/>
            </w:tcMar>
            <w:vAlign w:val="bottom"/>
          </w:tcPr>
          <w:p w14:paraId="00000211" w14:textId="77777777" w:rsidR="00294ABB" w:rsidRPr="00835B56" w:rsidRDefault="00420BFB" w:rsidP="00835B56">
            <w:pPr>
              <w:spacing w:before="60" w:after="60"/>
              <w:jc w:val="right"/>
              <w:rPr>
                <w:color w:val="000000"/>
              </w:rPr>
            </w:pPr>
            <w:r w:rsidRPr="00835B56">
              <w:rPr>
                <w:color w:val="000000"/>
              </w:rPr>
              <w:t>39.7</w:t>
            </w:r>
          </w:p>
        </w:tc>
      </w:tr>
      <w:tr w:rsidR="00294ABB" w14:paraId="7C801AF1" w14:textId="77777777" w:rsidTr="00835B56">
        <w:trPr>
          <w:trHeight w:val="290"/>
          <w:jc w:val="center"/>
        </w:trPr>
        <w:tc>
          <w:tcPr>
            <w:tcW w:w="2575" w:type="dxa"/>
            <w:tcBorders>
              <w:top w:val="nil"/>
              <w:left w:val="single" w:sz="4" w:space="0" w:color="000000"/>
              <w:bottom w:val="single" w:sz="4" w:space="0" w:color="000000"/>
              <w:right w:val="single" w:sz="4" w:space="0" w:color="000000"/>
            </w:tcBorders>
            <w:shd w:val="clear" w:color="auto" w:fill="auto"/>
            <w:vAlign w:val="bottom"/>
          </w:tcPr>
          <w:p w14:paraId="00000212" w14:textId="77777777" w:rsidR="00294ABB" w:rsidRPr="00835B56" w:rsidRDefault="00420BFB" w:rsidP="00835B56">
            <w:pPr>
              <w:spacing w:before="60" w:after="60"/>
              <w:jc w:val="left"/>
              <w:rPr>
                <w:color w:val="000000"/>
              </w:rPr>
            </w:pPr>
            <w:r w:rsidRPr="00835B56">
              <w:rPr>
                <w:color w:val="000000"/>
              </w:rPr>
              <w:t>Rest of Africa less SADC</w:t>
            </w:r>
          </w:p>
        </w:tc>
        <w:tc>
          <w:tcPr>
            <w:tcW w:w="1340" w:type="dxa"/>
            <w:tcBorders>
              <w:top w:val="nil"/>
              <w:left w:val="nil"/>
              <w:bottom w:val="single" w:sz="4" w:space="0" w:color="000000"/>
              <w:right w:val="single" w:sz="4" w:space="0" w:color="000000"/>
            </w:tcBorders>
            <w:shd w:val="clear" w:color="auto" w:fill="auto"/>
            <w:tcMar>
              <w:right w:w="340" w:type="dxa"/>
            </w:tcMar>
            <w:vAlign w:val="bottom"/>
          </w:tcPr>
          <w:p w14:paraId="00000213" w14:textId="77777777" w:rsidR="00294ABB" w:rsidRPr="00835B56" w:rsidRDefault="00420BFB" w:rsidP="00835B56">
            <w:pPr>
              <w:spacing w:before="60" w:after="60"/>
              <w:jc w:val="right"/>
              <w:rPr>
                <w:color w:val="000000"/>
              </w:rPr>
            </w:pPr>
            <w:r w:rsidRPr="00835B56">
              <w:rPr>
                <w:color w:val="000000"/>
              </w:rPr>
              <w:t>13.219</w:t>
            </w:r>
          </w:p>
        </w:tc>
        <w:tc>
          <w:tcPr>
            <w:tcW w:w="1341" w:type="dxa"/>
            <w:tcBorders>
              <w:top w:val="nil"/>
              <w:left w:val="nil"/>
              <w:bottom w:val="single" w:sz="4" w:space="0" w:color="000000"/>
              <w:right w:val="single" w:sz="4" w:space="0" w:color="000000"/>
            </w:tcBorders>
            <w:shd w:val="clear" w:color="auto" w:fill="auto"/>
            <w:tcMar>
              <w:right w:w="340" w:type="dxa"/>
            </w:tcMar>
            <w:vAlign w:val="bottom"/>
          </w:tcPr>
          <w:p w14:paraId="00000214" w14:textId="77777777" w:rsidR="00294ABB" w:rsidRPr="00835B56" w:rsidRDefault="00420BFB" w:rsidP="00835B56">
            <w:pPr>
              <w:spacing w:before="60" w:after="60"/>
              <w:jc w:val="right"/>
              <w:rPr>
                <w:color w:val="000000"/>
              </w:rPr>
            </w:pPr>
            <w:r w:rsidRPr="00835B56">
              <w:rPr>
                <w:color w:val="000000"/>
              </w:rPr>
              <w:t>3.46</w:t>
            </w:r>
          </w:p>
        </w:tc>
        <w:tc>
          <w:tcPr>
            <w:tcW w:w="1341" w:type="dxa"/>
            <w:tcBorders>
              <w:top w:val="nil"/>
              <w:left w:val="nil"/>
              <w:bottom w:val="single" w:sz="4" w:space="0" w:color="000000"/>
              <w:right w:val="single" w:sz="4" w:space="0" w:color="000000"/>
            </w:tcBorders>
            <w:shd w:val="clear" w:color="auto" w:fill="auto"/>
            <w:tcMar>
              <w:right w:w="340" w:type="dxa"/>
            </w:tcMar>
            <w:vAlign w:val="bottom"/>
          </w:tcPr>
          <w:p w14:paraId="00000215" w14:textId="77777777" w:rsidR="00294ABB" w:rsidRPr="00835B56" w:rsidRDefault="00420BFB" w:rsidP="00835B56">
            <w:pPr>
              <w:spacing w:before="60" w:after="60"/>
              <w:jc w:val="right"/>
              <w:rPr>
                <w:color w:val="000000"/>
              </w:rPr>
            </w:pPr>
            <w:r w:rsidRPr="00835B56">
              <w:rPr>
                <w:color w:val="000000"/>
              </w:rPr>
              <w:t>0.616</w:t>
            </w:r>
          </w:p>
        </w:tc>
        <w:tc>
          <w:tcPr>
            <w:tcW w:w="1341" w:type="dxa"/>
            <w:tcBorders>
              <w:top w:val="nil"/>
              <w:left w:val="nil"/>
              <w:bottom w:val="single" w:sz="4" w:space="0" w:color="000000"/>
              <w:right w:val="single" w:sz="4" w:space="0" w:color="000000"/>
            </w:tcBorders>
            <w:shd w:val="clear" w:color="auto" w:fill="auto"/>
            <w:tcMar>
              <w:right w:w="340" w:type="dxa"/>
            </w:tcMar>
            <w:vAlign w:val="bottom"/>
          </w:tcPr>
          <w:p w14:paraId="00000216" w14:textId="77777777" w:rsidR="00294ABB" w:rsidRPr="00835B56" w:rsidRDefault="00420BFB" w:rsidP="00835B56">
            <w:pPr>
              <w:spacing w:before="60" w:after="60"/>
              <w:jc w:val="right"/>
              <w:rPr>
                <w:color w:val="000000"/>
              </w:rPr>
            </w:pPr>
            <w:r w:rsidRPr="00835B56">
              <w:rPr>
                <w:color w:val="000000"/>
              </w:rPr>
              <w:t>0.16</w:t>
            </w:r>
          </w:p>
        </w:tc>
      </w:tr>
      <w:tr w:rsidR="00294ABB" w14:paraId="59969A8B" w14:textId="77777777" w:rsidTr="00835B56">
        <w:trPr>
          <w:trHeight w:val="290"/>
          <w:jc w:val="center"/>
        </w:trPr>
        <w:tc>
          <w:tcPr>
            <w:tcW w:w="2575" w:type="dxa"/>
            <w:tcBorders>
              <w:top w:val="nil"/>
              <w:left w:val="single" w:sz="4" w:space="0" w:color="000000"/>
              <w:bottom w:val="single" w:sz="4" w:space="0" w:color="000000"/>
              <w:right w:val="single" w:sz="4" w:space="0" w:color="000000"/>
            </w:tcBorders>
            <w:shd w:val="clear" w:color="auto" w:fill="auto"/>
            <w:vAlign w:val="bottom"/>
          </w:tcPr>
          <w:p w14:paraId="00000217" w14:textId="77777777" w:rsidR="00294ABB" w:rsidRPr="00835B56" w:rsidRDefault="00420BFB" w:rsidP="00835B56">
            <w:pPr>
              <w:spacing w:before="60" w:after="60"/>
              <w:jc w:val="left"/>
              <w:rPr>
                <w:color w:val="000000"/>
              </w:rPr>
            </w:pPr>
            <w:r w:rsidRPr="00835B56">
              <w:rPr>
                <w:color w:val="000000"/>
              </w:rPr>
              <w:t>Middle East</w:t>
            </w:r>
          </w:p>
        </w:tc>
        <w:tc>
          <w:tcPr>
            <w:tcW w:w="1340" w:type="dxa"/>
            <w:tcBorders>
              <w:top w:val="nil"/>
              <w:left w:val="nil"/>
              <w:bottom w:val="single" w:sz="4" w:space="0" w:color="000000"/>
              <w:right w:val="single" w:sz="4" w:space="0" w:color="000000"/>
            </w:tcBorders>
            <w:shd w:val="clear" w:color="auto" w:fill="auto"/>
            <w:tcMar>
              <w:right w:w="340" w:type="dxa"/>
            </w:tcMar>
            <w:vAlign w:val="bottom"/>
          </w:tcPr>
          <w:p w14:paraId="00000218" w14:textId="77777777" w:rsidR="00294ABB" w:rsidRPr="00835B56" w:rsidRDefault="00420BFB" w:rsidP="00835B56">
            <w:pPr>
              <w:spacing w:before="60" w:after="60"/>
              <w:jc w:val="right"/>
              <w:rPr>
                <w:color w:val="000000"/>
              </w:rPr>
            </w:pPr>
            <w:r w:rsidRPr="00835B56">
              <w:rPr>
                <w:color w:val="000000"/>
              </w:rPr>
              <w:t>5.736</w:t>
            </w:r>
          </w:p>
        </w:tc>
        <w:tc>
          <w:tcPr>
            <w:tcW w:w="1341" w:type="dxa"/>
            <w:tcBorders>
              <w:top w:val="nil"/>
              <w:left w:val="nil"/>
              <w:bottom w:val="single" w:sz="4" w:space="0" w:color="000000"/>
              <w:right w:val="single" w:sz="4" w:space="0" w:color="000000"/>
            </w:tcBorders>
            <w:shd w:val="clear" w:color="auto" w:fill="auto"/>
            <w:tcMar>
              <w:right w:w="340" w:type="dxa"/>
            </w:tcMar>
            <w:vAlign w:val="bottom"/>
          </w:tcPr>
          <w:p w14:paraId="00000219" w14:textId="77777777" w:rsidR="00294ABB" w:rsidRPr="00835B56" w:rsidRDefault="00420BFB" w:rsidP="00835B56">
            <w:pPr>
              <w:spacing w:before="60" w:after="60"/>
              <w:jc w:val="right"/>
              <w:rPr>
                <w:color w:val="000000"/>
              </w:rPr>
            </w:pPr>
            <w:r w:rsidRPr="00835B56">
              <w:rPr>
                <w:color w:val="000000"/>
              </w:rPr>
              <w:t>1.50</w:t>
            </w:r>
          </w:p>
        </w:tc>
        <w:tc>
          <w:tcPr>
            <w:tcW w:w="1341" w:type="dxa"/>
            <w:tcBorders>
              <w:top w:val="nil"/>
              <w:left w:val="nil"/>
              <w:bottom w:val="single" w:sz="4" w:space="0" w:color="000000"/>
              <w:right w:val="single" w:sz="4" w:space="0" w:color="000000"/>
            </w:tcBorders>
            <w:shd w:val="clear" w:color="auto" w:fill="auto"/>
            <w:tcMar>
              <w:right w:w="340" w:type="dxa"/>
            </w:tcMar>
            <w:vAlign w:val="bottom"/>
          </w:tcPr>
          <w:p w14:paraId="0000021A" w14:textId="77777777" w:rsidR="00294ABB" w:rsidRPr="00835B56" w:rsidRDefault="00420BFB" w:rsidP="00835B56">
            <w:pPr>
              <w:spacing w:before="60" w:after="60"/>
              <w:jc w:val="right"/>
              <w:rPr>
                <w:color w:val="000000"/>
              </w:rPr>
            </w:pPr>
            <w:r w:rsidRPr="00835B56">
              <w:rPr>
                <w:color w:val="000000"/>
              </w:rPr>
              <w:t>2.328</w:t>
            </w:r>
          </w:p>
        </w:tc>
        <w:tc>
          <w:tcPr>
            <w:tcW w:w="1341" w:type="dxa"/>
            <w:tcBorders>
              <w:top w:val="nil"/>
              <w:left w:val="nil"/>
              <w:bottom w:val="single" w:sz="4" w:space="0" w:color="000000"/>
              <w:right w:val="single" w:sz="4" w:space="0" w:color="000000"/>
            </w:tcBorders>
            <w:shd w:val="clear" w:color="auto" w:fill="auto"/>
            <w:tcMar>
              <w:right w:w="340" w:type="dxa"/>
            </w:tcMar>
            <w:vAlign w:val="bottom"/>
          </w:tcPr>
          <w:p w14:paraId="0000021B" w14:textId="77777777" w:rsidR="00294ABB" w:rsidRPr="00835B56" w:rsidRDefault="00420BFB" w:rsidP="00835B56">
            <w:pPr>
              <w:spacing w:before="60" w:after="60"/>
              <w:jc w:val="right"/>
              <w:rPr>
                <w:color w:val="000000"/>
              </w:rPr>
            </w:pPr>
            <w:r w:rsidRPr="00835B56">
              <w:rPr>
                <w:color w:val="000000"/>
              </w:rPr>
              <w:t>0.59</w:t>
            </w:r>
          </w:p>
        </w:tc>
      </w:tr>
      <w:tr w:rsidR="00294ABB" w14:paraId="01B39E3E" w14:textId="77777777" w:rsidTr="00835B56">
        <w:trPr>
          <w:trHeight w:val="290"/>
          <w:jc w:val="center"/>
        </w:trPr>
        <w:tc>
          <w:tcPr>
            <w:tcW w:w="2575" w:type="dxa"/>
            <w:tcBorders>
              <w:top w:val="nil"/>
              <w:left w:val="single" w:sz="4" w:space="0" w:color="000000"/>
              <w:bottom w:val="single" w:sz="4" w:space="0" w:color="000000"/>
              <w:right w:val="single" w:sz="4" w:space="0" w:color="000000"/>
            </w:tcBorders>
            <w:shd w:val="clear" w:color="auto" w:fill="auto"/>
            <w:vAlign w:val="bottom"/>
          </w:tcPr>
          <w:p w14:paraId="0000021C" w14:textId="77777777" w:rsidR="00294ABB" w:rsidRPr="00835B56" w:rsidRDefault="00420BFB" w:rsidP="00835B56">
            <w:pPr>
              <w:spacing w:before="60" w:after="60"/>
              <w:jc w:val="left"/>
              <w:rPr>
                <w:color w:val="000000"/>
              </w:rPr>
            </w:pPr>
            <w:r w:rsidRPr="00835B56">
              <w:rPr>
                <w:color w:val="000000"/>
              </w:rPr>
              <w:t>Latin America less Brazil</w:t>
            </w:r>
          </w:p>
        </w:tc>
        <w:tc>
          <w:tcPr>
            <w:tcW w:w="1340" w:type="dxa"/>
            <w:tcBorders>
              <w:top w:val="nil"/>
              <w:left w:val="nil"/>
              <w:bottom w:val="single" w:sz="4" w:space="0" w:color="000000"/>
              <w:right w:val="single" w:sz="4" w:space="0" w:color="000000"/>
            </w:tcBorders>
            <w:shd w:val="clear" w:color="auto" w:fill="auto"/>
            <w:tcMar>
              <w:right w:w="340" w:type="dxa"/>
            </w:tcMar>
            <w:vAlign w:val="bottom"/>
          </w:tcPr>
          <w:p w14:paraId="0000021D" w14:textId="77777777" w:rsidR="00294ABB" w:rsidRPr="00835B56" w:rsidRDefault="00420BFB" w:rsidP="00835B56">
            <w:pPr>
              <w:spacing w:before="60" w:after="60"/>
              <w:jc w:val="right"/>
              <w:rPr>
                <w:color w:val="000000"/>
              </w:rPr>
            </w:pPr>
            <w:r w:rsidRPr="00835B56">
              <w:rPr>
                <w:color w:val="000000"/>
              </w:rPr>
              <w:t>3.305</w:t>
            </w:r>
          </w:p>
        </w:tc>
        <w:tc>
          <w:tcPr>
            <w:tcW w:w="1341" w:type="dxa"/>
            <w:tcBorders>
              <w:top w:val="nil"/>
              <w:left w:val="nil"/>
              <w:bottom w:val="single" w:sz="4" w:space="0" w:color="000000"/>
              <w:right w:val="single" w:sz="4" w:space="0" w:color="000000"/>
            </w:tcBorders>
            <w:shd w:val="clear" w:color="auto" w:fill="auto"/>
            <w:tcMar>
              <w:right w:w="340" w:type="dxa"/>
            </w:tcMar>
            <w:vAlign w:val="bottom"/>
          </w:tcPr>
          <w:p w14:paraId="0000021E" w14:textId="77777777" w:rsidR="00294ABB" w:rsidRPr="00835B56" w:rsidRDefault="00420BFB" w:rsidP="00835B56">
            <w:pPr>
              <w:spacing w:before="60" w:after="60"/>
              <w:jc w:val="right"/>
              <w:rPr>
                <w:color w:val="000000"/>
              </w:rPr>
            </w:pPr>
            <w:r w:rsidRPr="00835B56">
              <w:rPr>
                <w:color w:val="000000"/>
              </w:rPr>
              <w:t>0.87</w:t>
            </w:r>
          </w:p>
        </w:tc>
        <w:tc>
          <w:tcPr>
            <w:tcW w:w="1341" w:type="dxa"/>
            <w:tcBorders>
              <w:top w:val="nil"/>
              <w:left w:val="nil"/>
              <w:bottom w:val="single" w:sz="4" w:space="0" w:color="000000"/>
              <w:right w:val="single" w:sz="4" w:space="0" w:color="000000"/>
            </w:tcBorders>
            <w:shd w:val="clear" w:color="auto" w:fill="auto"/>
            <w:tcMar>
              <w:right w:w="340" w:type="dxa"/>
            </w:tcMar>
            <w:vAlign w:val="bottom"/>
          </w:tcPr>
          <w:p w14:paraId="0000021F" w14:textId="77777777" w:rsidR="00294ABB" w:rsidRPr="00835B56" w:rsidRDefault="00420BFB" w:rsidP="00835B56">
            <w:pPr>
              <w:spacing w:before="60" w:after="60"/>
              <w:jc w:val="right"/>
              <w:rPr>
                <w:color w:val="000000"/>
              </w:rPr>
            </w:pPr>
            <w:r w:rsidRPr="00835B56">
              <w:rPr>
                <w:color w:val="000000"/>
              </w:rPr>
              <w:t>3.172</w:t>
            </w:r>
          </w:p>
        </w:tc>
        <w:tc>
          <w:tcPr>
            <w:tcW w:w="1341" w:type="dxa"/>
            <w:tcBorders>
              <w:top w:val="nil"/>
              <w:left w:val="nil"/>
              <w:bottom w:val="single" w:sz="4" w:space="0" w:color="000000"/>
              <w:right w:val="single" w:sz="4" w:space="0" w:color="000000"/>
            </w:tcBorders>
            <w:shd w:val="clear" w:color="auto" w:fill="auto"/>
            <w:tcMar>
              <w:right w:w="340" w:type="dxa"/>
            </w:tcMar>
            <w:vAlign w:val="bottom"/>
          </w:tcPr>
          <w:p w14:paraId="00000220" w14:textId="77777777" w:rsidR="00294ABB" w:rsidRPr="00835B56" w:rsidRDefault="00420BFB" w:rsidP="00835B56">
            <w:pPr>
              <w:spacing w:before="60" w:after="60"/>
              <w:jc w:val="right"/>
              <w:rPr>
                <w:color w:val="000000"/>
              </w:rPr>
            </w:pPr>
            <w:r w:rsidRPr="00835B56">
              <w:rPr>
                <w:color w:val="000000"/>
              </w:rPr>
              <w:t>0.80</w:t>
            </w:r>
          </w:p>
        </w:tc>
      </w:tr>
      <w:tr w:rsidR="00294ABB" w14:paraId="62CA5889" w14:textId="77777777" w:rsidTr="00835B56">
        <w:trPr>
          <w:trHeight w:val="290"/>
          <w:jc w:val="center"/>
        </w:trPr>
        <w:tc>
          <w:tcPr>
            <w:tcW w:w="2575" w:type="dxa"/>
            <w:tcBorders>
              <w:top w:val="nil"/>
              <w:left w:val="single" w:sz="4" w:space="0" w:color="000000"/>
              <w:bottom w:val="single" w:sz="4" w:space="0" w:color="000000"/>
              <w:right w:val="single" w:sz="4" w:space="0" w:color="000000"/>
            </w:tcBorders>
            <w:shd w:val="clear" w:color="auto" w:fill="auto"/>
            <w:vAlign w:val="bottom"/>
          </w:tcPr>
          <w:p w14:paraId="00000221" w14:textId="77777777" w:rsidR="00294ABB" w:rsidRPr="00835B56" w:rsidRDefault="00420BFB" w:rsidP="00835B56">
            <w:pPr>
              <w:spacing w:before="60" w:after="60"/>
              <w:jc w:val="left"/>
              <w:rPr>
                <w:color w:val="000000"/>
              </w:rPr>
            </w:pPr>
            <w:r w:rsidRPr="00835B56">
              <w:rPr>
                <w:color w:val="000000"/>
              </w:rPr>
              <w:t>East Asia less China</w:t>
            </w:r>
          </w:p>
        </w:tc>
        <w:tc>
          <w:tcPr>
            <w:tcW w:w="1340" w:type="dxa"/>
            <w:tcBorders>
              <w:top w:val="nil"/>
              <w:left w:val="nil"/>
              <w:bottom w:val="single" w:sz="4" w:space="0" w:color="000000"/>
              <w:right w:val="single" w:sz="4" w:space="0" w:color="000000"/>
            </w:tcBorders>
            <w:shd w:val="clear" w:color="auto" w:fill="auto"/>
            <w:tcMar>
              <w:right w:w="340" w:type="dxa"/>
            </w:tcMar>
            <w:vAlign w:val="bottom"/>
          </w:tcPr>
          <w:p w14:paraId="00000222" w14:textId="77777777" w:rsidR="00294ABB" w:rsidRPr="00835B56" w:rsidRDefault="00420BFB" w:rsidP="00835B56">
            <w:pPr>
              <w:spacing w:before="60" w:after="60"/>
              <w:jc w:val="right"/>
              <w:rPr>
                <w:color w:val="000000"/>
              </w:rPr>
            </w:pPr>
            <w:r w:rsidRPr="00835B56">
              <w:rPr>
                <w:color w:val="000000"/>
              </w:rPr>
              <w:t>1.725</w:t>
            </w:r>
          </w:p>
        </w:tc>
        <w:tc>
          <w:tcPr>
            <w:tcW w:w="1341" w:type="dxa"/>
            <w:tcBorders>
              <w:top w:val="nil"/>
              <w:left w:val="nil"/>
              <w:bottom w:val="single" w:sz="4" w:space="0" w:color="000000"/>
              <w:right w:val="single" w:sz="4" w:space="0" w:color="000000"/>
            </w:tcBorders>
            <w:shd w:val="clear" w:color="auto" w:fill="auto"/>
            <w:tcMar>
              <w:right w:w="340" w:type="dxa"/>
            </w:tcMar>
            <w:vAlign w:val="bottom"/>
          </w:tcPr>
          <w:p w14:paraId="00000223" w14:textId="77777777" w:rsidR="00294ABB" w:rsidRPr="00835B56" w:rsidRDefault="00420BFB" w:rsidP="00835B56">
            <w:pPr>
              <w:spacing w:before="60" w:after="60"/>
              <w:jc w:val="right"/>
              <w:rPr>
                <w:color w:val="000000"/>
              </w:rPr>
            </w:pPr>
            <w:r w:rsidRPr="00835B56">
              <w:rPr>
                <w:color w:val="000000"/>
              </w:rPr>
              <w:t>0.45</w:t>
            </w:r>
          </w:p>
        </w:tc>
        <w:tc>
          <w:tcPr>
            <w:tcW w:w="1341" w:type="dxa"/>
            <w:tcBorders>
              <w:top w:val="nil"/>
              <w:left w:val="nil"/>
              <w:bottom w:val="single" w:sz="4" w:space="0" w:color="000000"/>
              <w:right w:val="single" w:sz="4" w:space="0" w:color="000000"/>
            </w:tcBorders>
            <w:shd w:val="clear" w:color="auto" w:fill="auto"/>
            <w:tcMar>
              <w:right w:w="340" w:type="dxa"/>
            </w:tcMar>
            <w:vAlign w:val="bottom"/>
          </w:tcPr>
          <w:p w14:paraId="00000224" w14:textId="77777777" w:rsidR="00294ABB" w:rsidRPr="00835B56" w:rsidRDefault="00420BFB" w:rsidP="00835B56">
            <w:pPr>
              <w:spacing w:before="60" w:after="60"/>
              <w:jc w:val="right"/>
              <w:rPr>
                <w:color w:val="000000"/>
              </w:rPr>
            </w:pPr>
            <w:r w:rsidRPr="00835B56">
              <w:rPr>
                <w:color w:val="000000"/>
              </w:rPr>
              <w:t>26.151</w:t>
            </w:r>
          </w:p>
        </w:tc>
        <w:tc>
          <w:tcPr>
            <w:tcW w:w="1341" w:type="dxa"/>
            <w:tcBorders>
              <w:top w:val="nil"/>
              <w:left w:val="nil"/>
              <w:bottom w:val="single" w:sz="4" w:space="0" w:color="000000"/>
              <w:right w:val="single" w:sz="4" w:space="0" w:color="000000"/>
            </w:tcBorders>
            <w:shd w:val="clear" w:color="auto" w:fill="auto"/>
            <w:tcMar>
              <w:right w:w="340" w:type="dxa"/>
            </w:tcMar>
            <w:vAlign w:val="bottom"/>
          </w:tcPr>
          <w:p w14:paraId="00000225" w14:textId="77777777" w:rsidR="00294ABB" w:rsidRPr="00835B56" w:rsidRDefault="00420BFB" w:rsidP="00835B56">
            <w:pPr>
              <w:spacing w:before="60" w:after="60"/>
              <w:jc w:val="right"/>
              <w:rPr>
                <w:color w:val="000000"/>
              </w:rPr>
            </w:pPr>
            <w:r w:rsidRPr="00835B56">
              <w:rPr>
                <w:color w:val="000000"/>
              </w:rPr>
              <w:t>6.62</w:t>
            </w:r>
          </w:p>
        </w:tc>
      </w:tr>
      <w:tr w:rsidR="00294ABB" w14:paraId="07B35977" w14:textId="77777777" w:rsidTr="00835B56">
        <w:trPr>
          <w:trHeight w:val="290"/>
          <w:jc w:val="center"/>
        </w:trPr>
        <w:tc>
          <w:tcPr>
            <w:tcW w:w="2575" w:type="dxa"/>
            <w:tcBorders>
              <w:top w:val="nil"/>
              <w:left w:val="single" w:sz="4" w:space="0" w:color="000000"/>
              <w:bottom w:val="single" w:sz="4" w:space="0" w:color="000000"/>
              <w:right w:val="single" w:sz="4" w:space="0" w:color="000000"/>
            </w:tcBorders>
            <w:shd w:val="clear" w:color="auto" w:fill="auto"/>
            <w:vAlign w:val="bottom"/>
          </w:tcPr>
          <w:p w14:paraId="00000226" w14:textId="77777777" w:rsidR="00294ABB" w:rsidRPr="00835B56" w:rsidRDefault="00420BFB" w:rsidP="00835B56">
            <w:pPr>
              <w:spacing w:before="60" w:after="60"/>
              <w:jc w:val="left"/>
              <w:rPr>
                <w:color w:val="000000"/>
              </w:rPr>
            </w:pPr>
            <w:r w:rsidRPr="00835B56">
              <w:rPr>
                <w:color w:val="000000"/>
              </w:rPr>
              <w:t>World</w:t>
            </w:r>
          </w:p>
        </w:tc>
        <w:tc>
          <w:tcPr>
            <w:tcW w:w="1340" w:type="dxa"/>
            <w:tcBorders>
              <w:top w:val="nil"/>
              <w:left w:val="nil"/>
              <w:bottom w:val="single" w:sz="4" w:space="0" w:color="000000"/>
              <w:right w:val="single" w:sz="4" w:space="0" w:color="000000"/>
            </w:tcBorders>
            <w:shd w:val="clear" w:color="auto" w:fill="auto"/>
            <w:tcMar>
              <w:right w:w="340" w:type="dxa"/>
            </w:tcMar>
            <w:vAlign w:val="bottom"/>
          </w:tcPr>
          <w:p w14:paraId="00000227" w14:textId="77777777" w:rsidR="00294ABB" w:rsidRPr="00835B56" w:rsidRDefault="00420BFB" w:rsidP="00835B56">
            <w:pPr>
              <w:spacing w:before="60" w:after="60"/>
              <w:jc w:val="right"/>
              <w:rPr>
                <w:b/>
                <w:color w:val="000000"/>
              </w:rPr>
            </w:pPr>
            <w:r w:rsidRPr="00835B56">
              <w:rPr>
                <w:b/>
                <w:color w:val="000000"/>
              </w:rPr>
              <w:t>381.961</w:t>
            </w:r>
          </w:p>
        </w:tc>
        <w:tc>
          <w:tcPr>
            <w:tcW w:w="1341" w:type="dxa"/>
            <w:tcBorders>
              <w:top w:val="nil"/>
              <w:left w:val="nil"/>
              <w:bottom w:val="single" w:sz="4" w:space="0" w:color="000000"/>
              <w:right w:val="single" w:sz="4" w:space="0" w:color="000000"/>
            </w:tcBorders>
            <w:shd w:val="clear" w:color="auto" w:fill="auto"/>
            <w:tcMar>
              <w:right w:w="340" w:type="dxa"/>
            </w:tcMar>
            <w:vAlign w:val="bottom"/>
          </w:tcPr>
          <w:p w14:paraId="00000228" w14:textId="77777777" w:rsidR="00294ABB" w:rsidRPr="00835B56" w:rsidRDefault="00420BFB" w:rsidP="00835B56">
            <w:pPr>
              <w:spacing w:before="60" w:after="60"/>
              <w:jc w:val="right"/>
              <w:rPr>
                <w:b/>
                <w:color w:val="000000"/>
              </w:rPr>
            </w:pPr>
            <w:r w:rsidRPr="00835B56">
              <w:rPr>
                <w:b/>
                <w:color w:val="000000"/>
              </w:rPr>
              <w:t>100.00</w:t>
            </w:r>
          </w:p>
        </w:tc>
        <w:tc>
          <w:tcPr>
            <w:tcW w:w="1341" w:type="dxa"/>
            <w:tcBorders>
              <w:top w:val="nil"/>
              <w:left w:val="nil"/>
              <w:bottom w:val="single" w:sz="4" w:space="0" w:color="000000"/>
              <w:right w:val="single" w:sz="4" w:space="0" w:color="000000"/>
            </w:tcBorders>
            <w:shd w:val="clear" w:color="auto" w:fill="auto"/>
            <w:tcMar>
              <w:right w:w="340" w:type="dxa"/>
            </w:tcMar>
            <w:vAlign w:val="bottom"/>
          </w:tcPr>
          <w:p w14:paraId="00000229" w14:textId="77777777" w:rsidR="00294ABB" w:rsidRPr="00835B56" w:rsidRDefault="00420BFB" w:rsidP="00835B56">
            <w:pPr>
              <w:spacing w:before="60" w:after="60"/>
              <w:jc w:val="right"/>
              <w:rPr>
                <w:b/>
                <w:color w:val="000000"/>
              </w:rPr>
            </w:pPr>
            <w:r w:rsidRPr="00835B56">
              <w:rPr>
                <w:b/>
                <w:color w:val="000000"/>
              </w:rPr>
              <w:t>394.742</w:t>
            </w:r>
          </w:p>
        </w:tc>
        <w:tc>
          <w:tcPr>
            <w:tcW w:w="1341" w:type="dxa"/>
            <w:tcBorders>
              <w:top w:val="nil"/>
              <w:left w:val="nil"/>
              <w:bottom w:val="single" w:sz="4" w:space="0" w:color="000000"/>
              <w:right w:val="single" w:sz="4" w:space="0" w:color="000000"/>
            </w:tcBorders>
            <w:shd w:val="clear" w:color="auto" w:fill="auto"/>
            <w:tcMar>
              <w:right w:w="340" w:type="dxa"/>
            </w:tcMar>
            <w:vAlign w:val="bottom"/>
          </w:tcPr>
          <w:p w14:paraId="0000022A" w14:textId="77777777" w:rsidR="00294ABB" w:rsidRPr="00835B56" w:rsidRDefault="00420BFB" w:rsidP="00835B56">
            <w:pPr>
              <w:spacing w:before="60" w:after="60"/>
              <w:jc w:val="right"/>
              <w:rPr>
                <w:b/>
                <w:color w:val="000000"/>
              </w:rPr>
            </w:pPr>
            <w:r w:rsidRPr="00835B56">
              <w:rPr>
                <w:b/>
                <w:color w:val="000000"/>
              </w:rPr>
              <w:t>100.00</w:t>
            </w:r>
          </w:p>
        </w:tc>
      </w:tr>
    </w:tbl>
    <w:p w14:paraId="0000022B" w14:textId="77777777" w:rsidR="00294ABB" w:rsidRDefault="00294ABB">
      <w:pPr>
        <w:pBdr>
          <w:top w:val="nil"/>
          <w:left w:val="nil"/>
          <w:bottom w:val="nil"/>
          <w:right w:val="nil"/>
          <w:between w:val="nil"/>
        </w:pBdr>
        <w:spacing w:after="0"/>
        <w:rPr>
          <w:i/>
          <w:color w:val="44546A"/>
          <w:sz w:val="18"/>
          <w:szCs w:val="18"/>
        </w:rPr>
      </w:pPr>
    </w:p>
    <w:p w14:paraId="0000022C" w14:textId="28CD579B" w:rsidR="00294ABB" w:rsidRPr="00835B56" w:rsidRDefault="00420BFB">
      <w:pPr>
        <w:pBdr>
          <w:top w:val="nil"/>
          <w:left w:val="nil"/>
          <w:bottom w:val="nil"/>
          <w:right w:val="nil"/>
          <w:between w:val="nil"/>
        </w:pBdr>
        <w:spacing w:after="200"/>
        <w:ind w:firstLine="425"/>
        <w:rPr>
          <w:iCs/>
          <w:color w:val="000000" w:themeColor="text1"/>
        </w:rPr>
      </w:pPr>
      <w:r w:rsidRPr="00835B56">
        <w:rPr>
          <w:iCs/>
          <w:color w:val="000000" w:themeColor="text1"/>
        </w:rPr>
        <w:t>Source: Authors’ computations based on data from ITC, 2021</w:t>
      </w:r>
    </w:p>
    <w:p w14:paraId="0000022D" w14:textId="680F693D" w:rsidR="00294ABB" w:rsidRDefault="00420BFB" w:rsidP="00835B56">
      <w:pPr>
        <w:spacing w:line="259" w:lineRule="auto"/>
        <w:rPr>
          <w:sz w:val="22"/>
          <w:szCs w:val="22"/>
        </w:rPr>
      </w:pPr>
      <w:r>
        <w:rPr>
          <w:sz w:val="22"/>
          <w:szCs w:val="22"/>
        </w:rPr>
        <w:t>It is evident from Table 5 that the USMCA, EU28</w:t>
      </w:r>
      <w:r>
        <w:rPr>
          <w:sz w:val="22"/>
          <w:szCs w:val="22"/>
          <w:vertAlign w:val="superscript"/>
        </w:rPr>
        <w:footnoteReference w:id="16"/>
      </w:r>
      <w:r>
        <w:rPr>
          <w:sz w:val="22"/>
          <w:szCs w:val="22"/>
        </w:rPr>
        <w:t xml:space="preserve"> and SADC were South Africa’s three most important regional trading partners for cultural goods exports in 2019.</w:t>
      </w:r>
      <w:r w:rsidR="001B10E6">
        <w:rPr>
          <w:sz w:val="22"/>
          <w:szCs w:val="22"/>
        </w:rPr>
        <w:t xml:space="preserve"> </w:t>
      </w:r>
      <w:r>
        <w:rPr>
          <w:sz w:val="22"/>
          <w:szCs w:val="22"/>
        </w:rPr>
        <w:t>The top three regional export partners differed in 2018 since the rest of BRICS was ahead of SADC in the ranking that year (Cattaneo and Snowball, 2020: 22).</w:t>
      </w:r>
      <w:r w:rsidR="001B10E6">
        <w:rPr>
          <w:sz w:val="22"/>
          <w:szCs w:val="22"/>
        </w:rPr>
        <w:t xml:space="preserve"> </w:t>
      </w:r>
      <w:r>
        <w:rPr>
          <w:sz w:val="22"/>
          <w:szCs w:val="22"/>
        </w:rPr>
        <w:t>However, as the analysis in Chapter 5 on individual trading partners indicates, the high share for BRICS as an export destination for South Africa’s cultural goods exports in 2018 was due to an outlier in South Africa’s exports to China in that particular year.</w:t>
      </w:r>
      <w:r w:rsidR="001B10E6">
        <w:rPr>
          <w:sz w:val="22"/>
          <w:szCs w:val="22"/>
        </w:rPr>
        <w:t xml:space="preserve"> </w:t>
      </w:r>
      <w:r>
        <w:rPr>
          <w:sz w:val="22"/>
          <w:szCs w:val="22"/>
        </w:rPr>
        <w:t>The SADC countries as a bloc generally rank ahead of BRICS as a regional export market for South Africa’s cultural products (see Table 8 in Chapter 5 of the present mapping study).</w:t>
      </w:r>
    </w:p>
    <w:p w14:paraId="0000022E" w14:textId="5CAC417D" w:rsidR="00294ABB" w:rsidRDefault="00420BFB" w:rsidP="00835B56">
      <w:pPr>
        <w:spacing w:line="259" w:lineRule="auto"/>
        <w:rPr>
          <w:sz w:val="22"/>
          <w:szCs w:val="22"/>
        </w:rPr>
      </w:pPr>
      <w:r>
        <w:rPr>
          <w:sz w:val="22"/>
          <w:szCs w:val="22"/>
        </w:rPr>
        <w:t>USMCA (and primarily the US) received 39.1% (US$149.44 million) of South Africa’s cultural goods exports in 2019, up from 33.2% in 2018.</w:t>
      </w:r>
      <w:r w:rsidR="001B10E6">
        <w:rPr>
          <w:sz w:val="22"/>
          <w:szCs w:val="22"/>
        </w:rPr>
        <w:t xml:space="preserve"> </w:t>
      </w:r>
      <w:r>
        <w:rPr>
          <w:sz w:val="22"/>
          <w:szCs w:val="22"/>
        </w:rPr>
        <w:t>The EU28 was the destination for 22.5% (US$86.12 million) of the country’s cultural goods exports, up from 15% in 2018.</w:t>
      </w:r>
      <w:r w:rsidR="001B10E6">
        <w:rPr>
          <w:sz w:val="22"/>
          <w:szCs w:val="22"/>
        </w:rPr>
        <w:t xml:space="preserve"> </w:t>
      </w:r>
      <w:r>
        <w:rPr>
          <w:sz w:val="22"/>
          <w:szCs w:val="22"/>
        </w:rPr>
        <w:t xml:space="preserve">The SADC region accounted for 19.9% and the rest of Africa </w:t>
      </w:r>
      <w:r w:rsidR="00A96B33">
        <w:rPr>
          <w:sz w:val="22"/>
          <w:szCs w:val="22"/>
        </w:rPr>
        <w:t xml:space="preserve">for </w:t>
      </w:r>
      <w:r>
        <w:rPr>
          <w:sz w:val="22"/>
          <w:szCs w:val="22"/>
        </w:rPr>
        <w:t>3.46% in 2019, yielding a cultural goods export share of 23.36% for the continent as a whole.</w:t>
      </w:r>
      <w:r w:rsidR="001B10E6">
        <w:rPr>
          <w:sz w:val="22"/>
          <w:szCs w:val="22"/>
        </w:rPr>
        <w:t xml:space="preserve"> </w:t>
      </w:r>
      <w:r>
        <w:rPr>
          <w:sz w:val="22"/>
          <w:szCs w:val="22"/>
        </w:rPr>
        <w:t>This was marginally up from 23% in 2018.</w:t>
      </w:r>
      <w:r w:rsidR="001B10E6">
        <w:rPr>
          <w:sz w:val="22"/>
          <w:szCs w:val="22"/>
        </w:rPr>
        <w:t xml:space="preserve"> </w:t>
      </w:r>
      <w:r>
        <w:rPr>
          <w:sz w:val="22"/>
          <w:szCs w:val="22"/>
        </w:rPr>
        <w:lastRenderedPageBreak/>
        <w:t xml:space="preserve">In 2019, the BRICS market was ranked fourth as an export destination with a share of 9.06% (Table 5). </w:t>
      </w:r>
    </w:p>
    <w:p w14:paraId="0000022F" w14:textId="376DA97B" w:rsidR="00294ABB" w:rsidRDefault="00420BFB" w:rsidP="00835B56">
      <w:pPr>
        <w:spacing w:line="259" w:lineRule="auto"/>
        <w:rPr>
          <w:sz w:val="22"/>
          <w:szCs w:val="22"/>
        </w:rPr>
      </w:pPr>
      <w:r>
        <w:rPr>
          <w:sz w:val="22"/>
          <w:szCs w:val="22"/>
        </w:rPr>
        <w:t>On the import side, BRICS (largely due to China and, to a lesser extent, India) was the most important source of cultural goods imports for South Africa in 2019 with a share of 39.7% (US$156.62 million), much the same as in 2018.</w:t>
      </w:r>
      <w:r w:rsidR="001B10E6">
        <w:rPr>
          <w:sz w:val="22"/>
          <w:szCs w:val="22"/>
        </w:rPr>
        <w:t xml:space="preserve"> </w:t>
      </w:r>
      <w:r>
        <w:rPr>
          <w:sz w:val="22"/>
          <w:szCs w:val="22"/>
        </w:rPr>
        <w:t>This was followed by the EU28 with an import share of 25.8% (US$101.99 million), compared to 24% in 2018.</w:t>
      </w:r>
      <w:r w:rsidR="001B10E6">
        <w:rPr>
          <w:sz w:val="22"/>
          <w:szCs w:val="22"/>
        </w:rPr>
        <w:t xml:space="preserve"> </w:t>
      </w:r>
      <w:r>
        <w:rPr>
          <w:sz w:val="22"/>
          <w:szCs w:val="22"/>
        </w:rPr>
        <w:t>The USMCA bloc (again, mainly the US) accounted for 9.58% (US$37.8 million) of cultural goods imports in 2019, up from 8.9% in 2018.</w:t>
      </w:r>
      <w:r w:rsidR="001B10E6">
        <w:rPr>
          <w:sz w:val="22"/>
          <w:szCs w:val="22"/>
        </w:rPr>
        <w:t xml:space="preserve"> </w:t>
      </w:r>
      <w:r>
        <w:rPr>
          <w:sz w:val="22"/>
          <w:szCs w:val="22"/>
        </w:rPr>
        <w:t>In 2019, the rest of East Asia (less China) ranked next, with a share of 6.62%.</w:t>
      </w:r>
      <w:r w:rsidR="001B10E6">
        <w:rPr>
          <w:sz w:val="22"/>
          <w:szCs w:val="22"/>
        </w:rPr>
        <w:t xml:space="preserve"> </w:t>
      </w:r>
      <w:r>
        <w:rPr>
          <w:sz w:val="22"/>
          <w:szCs w:val="22"/>
        </w:rPr>
        <w:t>The SADC region accounted for only 3.44% of South Africa’s cultural goods imports in 2019, and the rest of the continent even less at 0.16%.</w:t>
      </w:r>
      <w:r w:rsidR="001B10E6">
        <w:rPr>
          <w:sz w:val="22"/>
          <w:szCs w:val="22"/>
        </w:rPr>
        <w:t xml:space="preserve"> </w:t>
      </w:r>
      <w:r>
        <w:rPr>
          <w:sz w:val="22"/>
          <w:szCs w:val="22"/>
        </w:rPr>
        <w:t>The continent’s total share of 3.6% was slightly lower than that of 2018 which was 4.07%.</w:t>
      </w:r>
    </w:p>
    <w:p w14:paraId="00000230" w14:textId="05DDF433" w:rsidR="00294ABB" w:rsidRDefault="00420BFB" w:rsidP="00835B56">
      <w:pPr>
        <w:spacing w:line="259" w:lineRule="auto"/>
        <w:rPr>
          <w:sz w:val="22"/>
          <w:szCs w:val="22"/>
        </w:rPr>
      </w:pPr>
      <w:r>
        <w:rPr>
          <w:sz w:val="22"/>
          <w:szCs w:val="22"/>
        </w:rPr>
        <w:t>In 2019, South Africa had a significant cultural goods trade surplus with USMCA of US$111.64 million, just marginally higher than in 2018.</w:t>
      </w:r>
      <w:r w:rsidR="001B10E6">
        <w:rPr>
          <w:sz w:val="22"/>
          <w:szCs w:val="22"/>
        </w:rPr>
        <w:t xml:space="preserve"> </w:t>
      </w:r>
      <w:r>
        <w:rPr>
          <w:sz w:val="22"/>
          <w:szCs w:val="22"/>
        </w:rPr>
        <w:t>It also had notable cultural goods trade surpluses with SADC and the rest of Africa (US$62.35 million and US$12.6 million respectively), and smaller surpluses with the Middle East and Latin America (less Brazil) (Table 5).</w:t>
      </w:r>
      <w:r w:rsidR="001B10E6">
        <w:rPr>
          <w:sz w:val="22"/>
          <w:szCs w:val="22"/>
        </w:rPr>
        <w:t xml:space="preserve"> </w:t>
      </w:r>
      <w:r>
        <w:rPr>
          <w:sz w:val="22"/>
          <w:szCs w:val="22"/>
        </w:rPr>
        <w:t>The trade imbalance in cultural goods trade with the rest of SADC reflects the highly unequal levels of development and industrialisation between South Africa and its SADC partners, discussed further below.</w:t>
      </w:r>
      <w:r w:rsidR="001B10E6">
        <w:rPr>
          <w:sz w:val="22"/>
          <w:szCs w:val="22"/>
        </w:rPr>
        <w:t xml:space="preserve"> </w:t>
      </w:r>
      <w:r>
        <w:rPr>
          <w:sz w:val="22"/>
          <w:szCs w:val="22"/>
        </w:rPr>
        <w:t>In the meantime, the trade surplus with the Middle East grew marginally between 2018 and 2019 and there is likely scope for further cultural good export promotion to this region, in line with the recommendations of South Africa’s 2012 Trade Policy and Strategy Framework update document (</w:t>
      </w:r>
      <w:r w:rsidR="00BE3E59">
        <w:rPr>
          <w:sz w:val="22"/>
          <w:szCs w:val="22"/>
        </w:rPr>
        <w:t>dti</w:t>
      </w:r>
      <w:r>
        <w:rPr>
          <w:sz w:val="22"/>
          <w:szCs w:val="22"/>
        </w:rPr>
        <w:t>, 2012: 6).</w:t>
      </w:r>
    </w:p>
    <w:p w14:paraId="00000231" w14:textId="3E3EE456" w:rsidR="00294ABB" w:rsidRDefault="00420BFB" w:rsidP="00835B56">
      <w:pPr>
        <w:spacing w:line="259" w:lineRule="auto"/>
        <w:rPr>
          <w:sz w:val="22"/>
          <w:szCs w:val="22"/>
        </w:rPr>
      </w:pPr>
      <w:r>
        <w:rPr>
          <w:sz w:val="22"/>
          <w:szCs w:val="22"/>
        </w:rPr>
        <w:t>Trends in South Africa’s cultural goods trade with key individual trading partners in the USMCA, EU28 and BRICS regions (namely the US, UK and China respectively) are considered individually in Chapter 5 of the current mapping study, over the period 2001 to 2020.</w:t>
      </w:r>
      <w:r w:rsidR="001B10E6">
        <w:rPr>
          <w:sz w:val="22"/>
          <w:szCs w:val="22"/>
        </w:rPr>
        <w:t xml:space="preserve"> </w:t>
      </w:r>
      <w:r>
        <w:rPr>
          <w:sz w:val="22"/>
          <w:szCs w:val="22"/>
        </w:rPr>
        <w:t>In the present chapter, the focus now turns to considering cultural goods trade with the USMCA and SADC regions as a whole more closely.</w:t>
      </w:r>
      <w:r w:rsidR="001B10E6">
        <w:rPr>
          <w:sz w:val="22"/>
          <w:szCs w:val="22"/>
        </w:rPr>
        <w:t xml:space="preserve"> </w:t>
      </w:r>
      <w:r>
        <w:rPr>
          <w:sz w:val="22"/>
          <w:szCs w:val="22"/>
        </w:rPr>
        <w:t>As noted earlier, previous SACO trade reports have examined South Africa’s cultural goods trade with BRICS, the EU and selected AU economies.</w:t>
      </w:r>
      <w:r w:rsidR="001B10E6">
        <w:rPr>
          <w:sz w:val="22"/>
          <w:szCs w:val="22"/>
        </w:rPr>
        <w:t xml:space="preserve"> </w:t>
      </w:r>
      <w:r>
        <w:rPr>
          <w:sz w:val="22"/>
          <w:szCs w:val="22"/>
        </w:rPr>
        <w:t>Since USMCA and SADC are such important cultural goods trading partners (Table 5), particularly on the export side, the regional focus in the current report seems relevant and appropriate.</w:t>
      </w:r>
    </w:p>
    <w:p w14:paraId="00000232" w14:textId="5BABACB8" w:rsidR="00294ABB" w:rsidRDefault="00420BFB" w:rsidP="00835B56">
      <w:pPr>
        <w:spacing w:line="259" w:lineRule="auto"/>
        <w:rPr>
          <w:sz w:val="22"/>
          <w:szCs w:val="22"/>
        </w:rPr>
      </w:pPr>
      <w:r>
        <w:rPr>
          <w:sz w:val="22"/>
          <w:szCs w:val="22"/>
        </w:rPr>
        <w:t>In Figures 4 and 5 below, South Africa’s cultural goods trade with the USMCA and SADC is graphed separately over time for the period 2001 to 2020.</w:t>
      </w:r>
      <w:r w:rsidR="001B10E6">
        <w:rPr>
          <w:sz w:val="22"/>
          <w:szCs w:val="22"/>
        </w:rPr>
        <w:t xml:space="preserve"> </w:t>
      </w:r>
      <w:r>
        <w:rPr>
          <w:sz w:val="22"/>
          <w:szCs w:val="22"/>
        </w:rPr>
        <w:t>As Figure 4 indicates, the USMCA bloc has become an increasingly important destination for South Africa’s cultural goods exports over the period under study.</w:t>
      </w:r>
      <w:r w:rsidR="001B10E6">
        <w:rPr>
          <w:sz w:val="22"/>
          <w:szCs w:val="22"/>
        </w:rPr>
        <w:t xml:space="preserve"> </w:t>
      </w:r>
      <w:r>
        <w:rPr>
          <w:sz w:val="22"/>
          <w:szCs w:val="22"/>
        </w:rPr>
        <w:t>The notable export growth increase after 2011 shifted the cultural trade balance into surplus from South Africa’s perspective by 2013. This surplus widened markedly between 2014 and 2016 as exports grew more steeply at the same time that imports followed a downward trend.</w:t>
      </w:r>
      <w:r w:rsidR="001B10E6">
        <w:rPr>
          <w:sz w:val="22"/>
          <w:szCs w:val="22"/>
        </w:rPr>
        <w:t xml:space="preserve"> </w:t>
      </w:r>
      <w:r>
        <w:rPr>
          <w:sz w:val="22"/>
          <w:szCs w:val="22"/>
        </w:rPr>
        <w:t>The cultural trade surplus increased further in the 2019</w:t>
      </w:r>
      <w:r w:rsidR="00A96B33">
        <w:rPr>
          <w:sz w:val="22"/>
          <w:szCs w:val="22"/>
        </w:rPr>
        <w:t>–</w:t>
      </w:r>
      <w:r>
        <w:rPr>
          <w:sz w:val="22"/>
          <w:szCs w:val="22"/>
        </w:rPr>
        <w:t>2020 period.</w:t>
      </w:r>
      <w:r w:rsidR="001B10E6">
        <w:rPr>
          <w:sz w:val="22"/>
          <w:szCs w:val="22"/>
        </w:rPr>
        <w:t xml:space="preserve"> </w:t>
      </w:r>
      <w:r>
        <w:rPr>
          <w:sz w:val="22"/>
          <w:szCs w:val="22"/>
        </w:rPr>
        <w:t>These export trends are largely driven by South Africa’s cultural goods trade with the US itself (see Chapter 5).</w:t>
      </w:r>
      <w:r w:rsidR="001B10E6">
        <w:rPr>
          <w:sz w:val="22"/>
          <w:szCs w:val="22"/>
        </w:rPr>
        <w:t xml:space="preserve"> </w:t>
      </w:r>
      <w:r>
        <w:rPr>
          <w:sz w:val="22"/>
          <w:szCs w:val="22"/>
        </w:rPr>
        <w:t>Exports are mainly concentrated in a few six-digit product categories, primarily Articles of jewellery and parts thereof, of precious metal other than silver (in the Visual Arts and Crafts domain), but also Collections and collector</w:t>
      </w:r>
      <w:r w:rsidR="00C93471">
        <w:rPr>
          <w:sz w:val="22"/>
          <w:szCs w:val="22"/>
        </w:rPr>
        <w:t>’</w:t>
      </w:r>
      <w:r>
        <w:rPr>
          <w:sz w:val="22"/>
          <w:szCs w:val="22"/>
        </w:rPr>
        <w:t>s pieces (Cultural and Natural Heritage), and Magnetic media and Media for the recording of sound or of other phenomena (both Performance and Celebration).</w:t>
      </w:r>
      <w:r w:rsidR="001B10E6">
        <w:rPr>
          <w:sz w:val="22"/>
          <w:szCs w:val="22"/>
        </w:rPr>
        <w:t xml:space="preserve"> </w:t>
      </w:r>
      <w:r>
        <w:rPr>
          <w:sz w:val="22"/>
          <w:szCs w:val="22"/>
        </w:rPr>
        <w:t>Various Visual Arts and Crafts categories are important in specific years only (such as Paintings and Collages), presumably related to particular sales in that year.</w:t>
      </w:r>
    </w:p>
    <w:p w14:paraId="00000233" w14:textId="71EE4065" w:rsidR="00294ABB" w:rsidRDefault="00420BFB" w:rsidP="00835B56">
      <w:pPr>
        <w:spacing w:line="259" w:lineRule="auto"/>
        <w:rPr>
          <w:sz w:val="22"/>
          <w:szCs w:val="22"/>
        </w:rPr>
      </w:pPr>
      <w:r>
        <w:rPr>
          <w:sz w:val="22"/>
          <w:szCs w:val="22"/>
        </w:rPr>
        <w:t>On the import side, South Africa’s cultural goods trade with USMCA is relatively less important, although the bloc was still ranked third as a source of cultural goods imports in 2019, as Table 5 indicates.</w:t>
      </w:r>
      <w:r w:rsidR="001B10E6">
        <w:rPr>
          <w:sz w:val="22"/>
          <w:szCs w:val="22"/>
        </w:rPr>
        <w:t xml:space="preserve"> </w:t>
      </w:r>
      <w:r>
        <w:rPr>
          <w:sz w:val="22"/>
          <w:szCs w:val="22"/>
        </w:rPr>
        <w:t xml:space="preserve">After peaking in 2008, South Africa’s cultural goods imports from USMCA appear </w:t>
      </w:r>
      <w:r>
        <w:rPr>
          <w:sz w:val="22"/>
          <w:szCs w:val="22"/>
        </w:rPr>
        <w:lastRenderedPageBreak/>
        <w:t>to have followed a downward trend since, with minor exceptions in 2010 and 2015.</w:t>
      </w:r>
      <w:r w:rsidR="001B10E6">
        <w:rPr>
          <w:sz w:val="22"/>
          <w:szCs w:val="22"/>
        </w:rPr>
        <w:t xml:space="preserve"> </w:t>
      </w:r>
      <w:r>
        <w:rPr>
          <w:sz w:val="22"/>
          <w:szCs w:val="22"/>
        </w:rPr>
        <w:t>This is interesting, as a cultural “hub” effect (Shin, 2015) is often associated with the US creative sector. The picture may be very different when considering cultural services trade rather than cultural goods trade, with a stronger hub effect possible in the case of cultural services. However, it also probably reflects the current lack of a reciprocal trade agreement between South Africa and the US.</w:t>
      </w:r>
      <w:r w:rsidR="001B10E6">
        <w:rPr>
          <w:sz w:val="22"/>
          <w:szCs w:val="22"/>
        </w:rPr>
        <w:t xml:space="preserve"> </w:t>
      </w:r>
      <w:r>
        <w:rPr>
          <w:sz w:val="22"/>
          <w:szCs w:val="22"/>
        </w:rPr>
        <w:t>South Africa is a beneficiary of AGOA (the African Growth and Opportunity Act), which is a non-reciprocal trade preference arrangement between the US and selected sub-Saharan African economies.</w:t>
      </w:r>
      <w:r>
        <w:t xml:space="preserve"> The </w:t>
      </w:r>
      <w:r>
        <w:rPr>
          <w:sz w:val="22"/>
          <w:szCs w:val="22"/>
        </w:rPr>
        <w:t>US provides these countries with tariff preferences on 6</w:t>
      </w:r>
      <w:r w:rsidR="00A96B33">
        <w:rPr>
          <w:sz w:val="22"/>
          <w:szCs w:val="22"/>
        </w:rPr>
        <w:t xml:space="preserve"> </w:t>
      </w:r>
      <w:r>
        <w:rPr>
          <w:sz w:val="22"/>
          <w:szCs w:val="22"/>
        </w:rPr>
        <w:t>400 tariff lines (Ismail, 2017).</w:t>
      </w:r>
      <w:r w:rsidR="001B10E6">
        <w:rPr>
          <w:sz w:val="22"/>
          <w:szCs w:val="22"/>
        </w:rPr>
        <w:t xml:space="preserve"> </w:t>
      </w:r>
      <w:r>
        <w:rPr>
          <w:sz w:val="22"/>
          <w:szCs w:val="22"/>
        </w:rPr>
        <w:t>AGOA was initiated in 2000 and renewed three times, with the latest renewal in June 2015 (coinciding with the rapid growth in South Africa’s cultural goods exports to the USMCA bloc evident in Figure 4).</w:t>
      </w:r>
      <w:r w:rsidR="001B10E6">
        <w:rPr>
          <w:sz w:val="22"/>
          <w:szCs w:val="22"/>
        </w:rPr>
        <w:t xml:space="preserve"> </w:t>
      </w:r>
      <w:r>
        <w:rPr>
          <w:sz w:val="22"/>
          <w:szCs w:val="22"/>
        </w:rPr>
        <w:t>A useful area of further research would be to investigate which cultural product trade categories (if any) are among the products for which South Africa receives tariff preferences under AGOA.</w:t>
      </w:r>
      <w:r w:rsidR="001B10E6">
        <w:rPr>
          <w:sz w:val="22"/>
          <w:szCs w:val="22"/>
        </w:rPr>
        <w:t xml:space="preserve"> </w:t>
      </w:r>
      <w:r>
        <w:rPr>
          <w:sz w:val="22"/>
          <w:szCs w:val="22"/>
        </w:rPr>
        <w:t>There is currently US pressure for AGOA to move towards reciprocity, especially in view of the EU move from unilateral tariff preference arrangements to reciprocal Economic Partnership Agreements (EPAs) with African, Caribbean and Pacific (ACP) countries.</w:t>
      </w:r>
    </w:p>
    <w:p w14:paraId="00000234" w14:textId="77777777" w:rsidR="00294ABB" w:rsidRDefault="00420BFB">
      <w:pPr>
        <w:rPr>
          <w:sz w:val="22"/>
          <w:szCs w:val="22"/>
        </w:rPr>
      </w:pPr>
      <w:r>
        <w:rPr>
          <w:noProof/>
          <w:lang w:val="en-ZA"/>
        </w:rPr>
        <w:drawing>
          <wp:inline distT="0" distB="0" distL="0" distR="0" wp14:anchorId="30F65445" wp14:editId="750B9848">
            <wp:extent cx="5731510" cy="3041015"/>
            <wp:effectExtent l="0" t="0" r="0" b="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0000235" w14:textId="356B0F47" w:rsidR="00294ABB" w:rsidRPr="00835B56" w:rsidRDefault="008B6A61" w:rsidP="00835B56">
      <w:pPr>
        <w:pStyle w:val="Caption"/>
        <w:spacing w:before="120" w:after="160" w:line="259" w:lineRule="auto"/>
        <w:contextualSpacing w:val="0"/>
        <w:rPr>
          <w:color w:val="44546A"/>
          <w:sz w:val="20"/>
          <w:szCs w:val="20"/>
        </w:rPr>
      </w:pPr>
      <w:bookmarkStart w:id="43" w:name="_heading=h.2p2csry" w:colFirst="0" w:colLast="0"/>
      <w:bookmarkStart w:id="44" w:name="_Toc92623762"/>
      <w:bookmarkEnd w:id="43"/>
      <w:r w:rsidRPr="00835B56">
        <w:rPr>
          <w:sz w:val="20"/>
          <w:szCs w:val="20"/>
        </w:rPr>
        <w:t xml:space="preserve">Figure </w:t>
      </w:r>
      <w:r w:rsidR="006B6995" w:rsidRPr="00835B56">
        <w:rPr>
          <w:sz w:val="20"/>
          <w:szCs w:val="20"/>
        </w:rPr>
        <w:fldChar w:fldCharType="begin"/>
      </w:r>
      <w:r w:rsidR="006B6995" w:rsidRPr="00835B56">
        <w:rPr>
          <w:sz w:val="20"/>
          <w:szCs w:val="20"/>
        </w:rPr>
        <w:instrText xml:space="preserve"> SEQ Figure \* ARABIC </w:instrText>
      </w:r>
      <w:r w:rsidR="006B6995" w:rsidRPr="00835B56">
        <w:rPr>
          <w:sz w:val="20"/>
          <w:szCs w:val="20"/>
        </w:rPr>
        <w:fldChar w:fldCharType="separate"/>
      </w:r>
      <w:r w:rsidR="00682412">
        <w:rPr>
          <w:noProof/>
          <w:sz w:val="20"/>
          <w:szCs w:val="20"/>
        </w:rPr>
        <w:t>4</w:t>
      </w:r>
      <w:r w:rsidR="006B6995" w:rsidRPr="00835B56">
        <w:rPr>
          <w:noProof/>
          <w:sz w:val="20"/>
          <w:szCs w:val="20"/>
        </w:rPr>
        <w:fldChar w:fldCharType="end"/>
      </w:r>
      <w:r w:rsidR="00C93471" w:rsidRPr="00835B56">
        <w:rPr>
          <w:noProof/>
          <w:sz w:val="20"/>
          <w:szCs w:val="20"/>
        </w:rPr>
        <w:t>:</w:t>
      </w:r>
      <w:r w:rsidRPr="00835B56">
        <w:rPr>
          <w:sz w:val="20"/>
          <w:szCs w:val="20"/>
        </w:rPr>
        <w:t xml:space="preserve"> </w:t>
      </w:r>
      <w:r w:rsidR="00420BFB" w:rsidRPr="00835B56">
        <w:rPr>
          <w:color w:val="44546A"/>
          <w:sz w:val="20"/>
          <w:szCs w:val="20"/>
        </w:rPr>
        <w:t xml:space="preserve">South </w:t>
      </w:r>
      <w:r w:rsidR="00C93471" w:rsidRPr="00835B56">
        <w:rPr>
          <w:color w:val="44546A"/>
          <w:sz w:val="20"/>
          <w:szCs w:val="20"/>
        </w:rPr>
        <w:t xml:space="preserve">Africa’s </w:t>
      </w:r>
      <w:r w:rsidR="00420BFB" w:rsidRPr="00835B56">
        <w:rPr>
          <w:color w:val="44546A"/>
          <w:sz w:val="20"/>
          <w:szCs w:val="20"/>
        </w:rPr>
        <w:t>cultural goods trade with USMCA 2001</w:t>
      </w:r>
      <w:r w:rsidR="007165FB" w:rsidRPr="00835B56">
        <w:rPr>
          <w:color w:val="44546A"/>
          <w:sz w:val="20"/>
          <w:szCs w:val="20"/>
        </w:rPr>
        <w:t>–</w:t>
      </w:r>
      <w:r w:rsidR="00420BFB" w:rsidRPr="00835B56">
        <w:rPr>
          <w:color w:val="44546A"/>
          <w:sz w:val="20"/>
          <w:szCs w:val="20"/>
        </w:rPr>
        <w:t>2020 (US$ millions)</w:t>
      </w:r>
      <w:bookmarkEnd w:id="44"/>
    </w:p>
    <w:p w14:paraId="00000236" w14:textId="135A80EB" w:rsidR="00294ABB" w:rsidRPr="00835B56" w:rsidRDefault="00420BFB" w:rsidP="00835B56">
      <w:pPr>
        <w:pBdr>
          <w:top w:val="nil"/>
          <w:left w:val="nil"/>
          <w:bottom w:val="nil"/>
          <w:right w:val="nil"/>
          <w:between w:val="nil"/>
        </w:pBdr>
        <w:spacing w:line="259" w:lineRule="auto"/>
        <w:rPr>
          <w:iCs/>
          <w:color w:val="000000" w:themeColor="text1"/>
          <w:sz w:val="24"/>
          <w:szCs w:val="24"/>
        </w:rPr>
      </w:pPr>
      <w:r w:rsidRPr="00835B56">
        <w:rPr>
          <w:iCs/>
          <w:color w:val="000000" w:themeColor="text1"/>
        </w:rPr>
        <w:t>Source: Authors’ computations based on nominal trade data from ITC, 2021</w:t>
      </w:r>
    </w:p>
    <w:p w14:paraId="00000237" w14:textId="507745B3" w:rsidR="00294ABB" w:rsidRDefault="00420BFB" w:rsidP="00835B56">
      <w:pPr>
        <w:spacing w:line="259" w:lineRule="auto"/>
        <w:rPr>
          <w:sz w:val="22"/>
          <w:szCs w:val="22"/>
        </w:rPr>
      </w:pPr>
      <w:r>
        <w:rPr>
          <w:sz w:val="22"/>
          <w:szCs w:val="22"/>
        </w:rPr>
        <w:t>In the case of South Africa’s cultural goods trade with SADC, Figure 5 indicates the consistent trade surplus in South Africa’s favour over the period under study.</w:t>
      </w:r>
      <w:r w:rsidR="001B10E6">
        <w:rPr>
          <w:sz w:val="22"/>
          <w:szCs w:val="22"/>
        </w:rPr>
        <w:t xml:space="preserve"> </w:t>
      </w:r>
      <w:r>
        <w:rPr>
          <w:sz w:val="22"/>
          <w:szCs w:val="22"/>
        </w:rPr>
        <w:t>The cultural goods trade surplus increased significantly in 2010.</w:t>
      </w:r>
      <w:r w:rsidR="001B10E6">
        <w:rPr>
          <w:sz w:val="22"/>
          <w:szCs w:val="22"/>
        </w:rPr>
        <w:t xml:space="preserve"> </w:t>
      </w:r>
      <w:r>
        <w:rPr>
          <w:sz w:val="22"/>
          <w:szCs w:val="22"/>
        </w:rPr>
        <w:t>However, this is likely a once-off step up due to South Africa’s trade with its SACU (Southern African Customs Union) partners being counted separately from 2010 onwards which would have a bigger effect on the export side than the import side of South Africa’s trade.</w:t>
      </w:r>
      <w:r>
        <w:rPr>
          <w:sz w:val="22"/>
          <w:szCs w:val="22"/>
          <w:vertAlign w:val="superscript"/>
        </w:rPr>
        <w:footnoteReference w:id="17"/>
      </w:r>
      <w:r w:rsidR="001B10E6">
        <w:rPr>
          <w:sz w:val="22"/>
          <w:szCs w:val="22"/>
        </w:rPr>
        <w:t xml:space="preserve"> </w:t>
      </w:r>
      <w:r>
        <w:rPr>
          <w:sz w:val="22"/>
          <w:szCs w:val="22"/>
        </w:rPr>
        <w:t>After a peak in 2010, South Africa’s cultural goods exports to SADC began to decline, increasing again between 2016 and 2018 and, interestingly, once more in 2020 during the COVID-19 pandemic.</w:t>
      </w:r>
      <w:r w:rsidR="001B10E6">
        <w:rPr>
          <w:sz w:val="22"/>
          <w:szCs w:val="22"/>
        </w:rPr>
        <w:t xml:space="preserve"> </w:t>
      </w:r>
      <w:r>
        <w:rPr>
          <w:sz w:val="22"/>
          <w:szCs w:val="22"/>
        </w:rPr>
        <w:t>South Africa’s cultural goods exports to SADC are considerably more diversified than those to USMCA which, as noted above, are concentrated in a few six-digit product categories.</w:t>
      </w:r>
      <w:r w:rsidR="001B10E6">
        <w:rPr>
          <w:sz w:val="22"/>
          <w:szCs w:val="22"/>
        </w:rPr>
        <w:t xml:space="preserve"> </w:t>
      </w:r>
      <w:r>
        <w:rPr>
          <w:sz w:val="22"/>
          <w:szCs w:val="22"/>
        </w:rPr>
        <w:t xml:space="preserve">Significant cultural good export categories to SADC include Printed books, brochures and similar printed matter (excluding those in single </w:t>
      </w:r>
      <w:r>
        <w:rPr>
          <w:sz w:val="22"/>
          <w:szCs w:val="22"/>
        </w:rPr>
        <w:lastRenderedPageBreak/>
        <w:t xml:space="preserve">sheets); Newspapers, journals and periodicals; some jewellery categories; Wood marquetry and inlaid wood; caskets and cases for jewellery or cutlery, and similar articles; and some Performance and Celebration categories related to recording and data storage. </w:t>
      </w:r>
    </w:p>
    <w:p w14:paraId="00000238" w14:textId="7EEB4DD0" w:rsidR="00294ABB" w:rsidRDefault="00420BFB" w:rsidP="00835B56">
      <w:pPr>
        <w:spacing w:line="259" w:lineRule="auto"/>
        <w:rPr>
          <w:sz w:val="22"/>
          <w:szCs w:val="22"/>
        </w:rPr>
      </w:pPr>
      <w:r>
        <w:rPr>
          <w:sz w:val="22"/>
          <w:szCs w:val="22"/>
        </w:rPr>
        <w:t>South Africa’s cultural goods imports from SADC are relatively low, both compared to cultural goods exports to SADC and compared to cultural goods imports from other regions (Table 5).</w:t>
      </w:r>
      <w:r w:rsidR="001B10E6">
        <w:rPr>
          <w:sz w:val="22"/>
          <w:szCs w:val="22"/>
        </w:rPr>
        <w:t xml:space="preserve"> </w:t>
      </w:r>
      <w:r>
        <w:rPr>
          <w:sz w:val="22"/>
          <w:szCs w:val="22"/>
        </w:rPr>
        <w:t>The significant trade imbalance in cultural goods trade with SADC is perhaps surprising, given that cultural proximity theory suggests that countries with common borders, languages and previous colonial ties would have greater cultural trade between them (Kaimann and Del Bono, 2020). Furthermore, by 2008, the SADC economies had largely completed the tariff phase-down programme for the SADC FTA, based on the 1996 SADC Trade Protocol.</w:t>
      </w:r>
      <w:r w:rsidR="001B10E6">
        <w:rPr>
          <w:sz w:val="22"/>
          <w:szCs w:val="22"/>
        </w:rPr>
        <w:t xml:space="preserve"> </w:t>
      </w:r>
      <w:r>
        <w:rPr>
          <w:sz w:val="22"/>
          <w:szCs w:val="22"/>
        </w:rPr>
        <w:t>All cultural trade product categories from the rest of SADC have duty-free access into the South African market, yet South Africa’s cultural goods imports from the region are so low. This is investigated further in Sections 4.3 and 4.4 on intra-industry trade and trade complementarity between South Africa and its regional partners.</w:t>
      </w:r>
      <w:r w:rsidR="001B10E6">
        <w:rPr>
          <w:sz w:val="22"/>
          <w:szCs w:val="22"/>
        </w:rPr>
        <w:t xml:space="preserve"> </w:t>
      </w:r>
    </w:p>
    <w:p w14:paraId="00000239" w14:textId="4E61C2F5" w:rsidR="00294ABB" w:rsidRDefault="00420BFB" w:rsidP="00835B56">
      <w:pPr>
        <w:spacing w:line="259" w:lineRule="auto"/>
        <w:rPr>
          <w:sz w:val="22"/>
          <w:szCs w:val="22"/>
        </w:rPr>
      </w:pPr>
      <w:r>
        <w:rPr>
          <w:sz w:val="22"/>
          <w:szCs w:val="22"/>
        </w:rPr>
        <w:t>Since the countries of the SADC region are at highly unequal levels of development, there is an emphasis in various SADC Protocols on developing the cultural and creative sectors of the SADC member states.</w:t>
      </w:r>
      <w:r w:rsidR="001B10E6">
        <w:rPr>
          <w:sz w:val="22"/>
          <w:szCs w:val="22"/>
        </w:rPr>
        <w:t xml:space="preserve"> </w:t>
      </w:r>
      <w:r>
        <w:rPr>
          <w:sz w:val="22"/>
          <w:szCs w:val="22"/>
        </w:rPr>
        <w:t>These include the SADC Protocol on Culture, Information and Sport (SADC, 2001) and the SADC Trade Protocol (SADC, 1996).</w:t>
      </w:r>
      <w:r w:rsidR="001B10E6">
        <w:rPr>
          <w:sz w:val="22"/>
          <w:szCs w:val="22"/>
        </w:rPr>
        <w:t xml:space="preserve"> </w:t>
      </w:r>
      <w:r>
        <w:rPr>
          <w:sz w:val="22"/>
          <w:szCs w:val="22"/>
        </w:rPr>
        <w:t>Both allow for measures to promote and protect the cultural sector, with the latter explicitly providing for measures to protect “national treasures of artistic, historic or archaeological value” (SADC, 1996).</w:t>
      </w:r>
    </w:p>
    <w:p w14:paraId="0000023A" w14:textId="77777777" w:rsidR="00294ABB" w:rsidRDefault="00420BFB">
      <w:pPr>
        <w:rPr>
          <w:sz w:val="22"/>
          <w:szCs w:val="22"/>
        </w:rPr>
      </w:pPr>
      <w:r>
        <w:rPr>
          <w:noProof/>
          <w:lang w:val="en-ZA"/>
        </w:rPr>
        <w:drawing>
          <wp:inline distT="0" distB="0" distL="0" distR="0" wp14:anchorId="58DDEB5B" wp14:editId="549ADCCC">
            <wp:extent cx="5791200" cy="2743200"/>
            <wp:effectExtent l="0" t="0" r="0" b="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000023B" w14:textId="633AA458" w:rsidR="00294ABB" w:rsidRPr="00835B56" w:rsidRDefault="008B6A61" w:rsidP="008B6A61">
      <w:pPr>
        <w:pStyle w:val="Caption"/>
        <w:rPr>
          <w:color w:val="44546A"/>
          <w:sz w:val="20"/>
          <w:szCs w:val="20"/>
        </w:rPr>
      </w:pPr>
      <w:bookmarkStart w:id="45" w:name="_heading=h.147n2zr" w:colFirst="0" w:colLast="0"/>
      <w:bookmarkStart w:id="46" w:name="_Toc92623763"/>
      <w:bookmarkEnd w:id="45"/>
      <w:r w:rsidRPr="00835B56">
        <w:rPr>
          <w:sz w:val="20"/>
          <w:szCs w:val="20"/>
        </w:rPr>
        <w:t xml:space="preserve">Figure </w:t>
      </w:r>
      <w:r w:rsidR="006B6995" w:rsidRPr="00835B56">
        <w:rPr>
          <w:sz w:val="20"/>
          <w:szCs w:val="20"/>
        </w:rPr>
        <w:fldChar w:fldCharType="begin"/>
      </w:r>
      <w:r w:rsidR="006B6995" w:rsidRPr="00835B56">
        <w:rPr>
          <w:sz w:val="20"/>
          <w:szCs w:val="20"/>
        </w:rPr>
        <w:instrText xml:space="preserve"> SEQ Figure \* ARABIC </w:instrText>
      </w:r>
      <w:r w:rsidR="006B6995" w:rsidRPr="00835B56">
        <w:rPr>
          <w:sz w:val="20"/>
          <w:szCs w:val="20"/>
        </w:rPr>
        <w:fldChar w:fldCharType="separate"/>
      </w:r>
      <w:r w:rsidR="00682412">
        <w:rPr>
          <w:noProof/>
          <w:sz w:val="20"/>
          <w:szCs w:val="20"/>
        </w:rPr>
        <w:t>5</w:t>
      </w:r>
      <w:r w:rsidR="006B6995" w:rsidRPr="00835B56">
        <w:rPr>
          <w:noProof/>
          <w:sz w:val="20"/>
          <w:szCs w:val="20"/>
        </w:rPr>
        <w:fldChar w:fldCharType="end"/>
      </w:r>
      <w:r w:rsidR="00C93471" w:rsidRPr="00835B56">
        <w:rPr>
          <w:noProof/>
          <w:sz w:val="20"/>
          <w:szCs w:val="20"/>
        </w:rPr>
        <w:t>:</w:t>
      </w:r>
      <w:r w:rsidR="00C93471" w:rsidRPr="00835B56">
        <w:rPr>
          <w:sz w:val="20"/>
          <w:szCs w:val="20"/>
        </w:rPr>
        <w:t xml:space="preserve"> </w:t>
      </w:r>
      <w:r w:rsidR="00420BFB" w:rsidRPr="00835B56">
        <w:rPr>
          <w:color w:val="44546A"/>
          <w:sz w:val="20"/>
          <w:szCs w:val="20"/>
        </w:rPr>
        <w:t xml:space="preserve">South </w:t>
      </w:r>
      <w:r w:rsidR="00C93471" w:rsidRPr="00835B56">
        <w:rPr>
          <w:color w:val="44546A"/>
          <w:sz w:val="20"/>
          <w:szCs w:val="20"/>
        </w:rPr>
        <w:t xml:space="preserve">Africa’s </w:t>
      </w:r>
      <w:r w:rsidR="00420BFB" w:rsidRPr="00835B56">
        <w:rPr>
          <w:color w:val="44546A"/>
          <w:sz w:val="20"/>
          <w:szCs w:val="20"/>
        </w:rPr>
        <w:t>cultural goods trade with SADC 2001</w:t>
      </w:r>
      <w:r w:rsidR="007165FB" w:rsidRPr="00835B56">
        <w:rPr>
          <w:color w:val="44546A"/>
          <w:sz w:val="20"/>
          <w:szCs w:val="20"/>
        </w:rPr>
        <w:t>–</w:t>
      </w:r>
      <w:r w:rsidR="00420BFB" w:rsidRPr="00835B56">
        <w:rPr>
          <w:color w:val="44546A"/>
          <w:sz w:val="20"/>
          <w:szCs w:val="20"/>
        </w:rPr>
        <w:t>2020 (US$ millions)</w:t>
      </w:r>
      <w:bookmarkEnd w:id="46"/>
    </w:p>
    <w:p w14:paraId="0000023C" w14:textId="5215F031" w:rsidR="00294ABB" w:rsidRPr="00835B56" w:rsidRDefault="00420BFB">
      <w:pPr>
        <w:pBdr>
          <w:top w:val="nil"/>
          <w:left w:val="nil"/>
          <w:bottom w:val="nil"/>
          <w:right w:val="nil"/>
          <w:between w:val="nil"/>
        </w:pBdr>
        <w:spacing w:after="200"/>
        <w:rPr>
          <w:iCs/>
          <w:color w:val="000000" w:themeColor="text1"/>
        </w:rPr>
      </w:pPr>
      <w:r w:rsidRPr="00835B56">
        <w:rPr>
          <w:iCs/>
          <w:color w:val="000000" w:themeColor="text1"/>
        </w:rPr>
        <w:t>Source: Authors’ computations based on nominal trade data from ITC, 2021</w:t>
      </w:r>
    </w:p>
    <w:p w14:paraId="0000023D" w14:textId="19289AAB" w:rsidR="00294ABB" w:rsidRDefault="00420BFB">
      <w:pPr>
        <w:rPr>
          <w:sz w:val="22"/>
          <w:szCs w:val="22"/>
        </w:rPr>
      </w:pPr>
      <w:r>
        <w:rPr>
          <w:sz w:val="22"/>
          <w:szCs w:val="22"/>
        </w:rPr>
        <w:t>Both the USMCA and SADC regions are important trading partners for South Africa in their bilateral commodity trade as well as their cultural goods trade.</w:t>
      </w:r>
      <w:r w:rsidR="001B10E6">
        <w:rPr>
          <w:sz w:val="22"/>
          <w:szCs w:val="22"/>
        </w:rPr>
        <w:t xml:space="preserve"> </w:t>
      </w:r>
      <w:r>
        <w:rPr>
          <w:sz w:val="22"/>
          <w:szCs w:val="22"/>
        </w:rPr>
        <w:t>Table 6 provides an indication of the relative importance of cultural goods trade in South Africa’s total bilateral trade with each bloc for selected years from 2012 to 2020.</w:t>
      </w:r>
      <w:r w:rsidR="001B10E6">
        <w:rPr>
          <w:sz w:val="22"/>
          <w:szCs w:val="22"/>
        </w:rPr>
        <w:t xml:space="preserve"> </w:t>
      </w:r>
      <w:r>
        <w:rPr>
          <w:sz w:val="22"/>
          <w:szCs w:val="22"/>
        </w:rPr>
        <w:t>As the table shows, South Africa’s cultural goods exports to USMCA as a proportion of total commodity exports to USMCA increased from 0.59% in 2012 to 2.1% in 2018 before declining slightly to 1.91% in 2020.</w:t>
      </w:r>
      <w:r w:rsidR="001B10E6">
        <w:rPr>
          <w:sz w:val="22"/>
          <w:szCs w:val="22"/>
        </w:rPr>
        <w:t xml:space="preserve"> </w:t>
      </w:r>
      <w:r>
        <w:rPr>
          <w:sz w:val="22"/>
          <w:szCs w:val="22"/>
        </w:rPr>
        <w:t>By contrast, in the case of SADC, South Africa’s cultural goods exports as a share of total bilateral exports to SADC fell slightly from 0.48% in 2012 to 0.43% in 2018, before increasing to 0.51% in 2020.</w:t>
      </w:r>
      <w:r w:rsidR="001B10E6">
        <w:rPr>
          <w:sz w:val="22"/>
          <w:szCs w:val="22"/>
        </w:rPr>
        <w:t xml:space="preserve"> </w:t>
      </w:r>
      <w:r>
        <w:rPr>
          <w:sz w:val="22"/>
          <w:szCs w:val="22"/>
        </w:rPr>
        <w:t xml:space="preserve">On the import side, the share of cultural imports in total commodity imports from USMCA was higher in 2015 than 2012 (0.8% versus 0.71%), but then declined thereafter, reaching 0.49% </w:t>
      </w:r>
      <w:r>
        <w:rPr>
          <w:sz w:val="22"/>
          <w:szCs w:val="22"/>
        </w:rPr>
        <w:lastRenderedPageBreak/>
        <w:t>in 2020.</w:t>
      </w:r>
      <w:r w:rsidR="001B10E6">
        <w:rPr>
          <w:sz w:val="22"/>
          <w:szCs w:val="22"/>
        </w:rPr>
        <w:t xml:space="preserve"> </w:t>
      </w:r>
      <w:r>
        <w:rPr>
          <w:sz w:val="22"/>
          <w:szCs w:val="22"/>
        </w:rPr>
        <w:t>In the case of SADC, the import share fell more dramatically, from 0.66% in 2012 to just 0.22% in the context of the COVID-19 pandemic.</w:t>
      </w:r>
    </w:p>
    <w:p w14:paraId="74FE075A" w14:textId="4BE8CE3E" w:rsidR="008B6A61" w:rsidRDefault="00420BFB" w:rsidP="008B6A61">
      <w:pPr>
        <w:rPr>
          <w:sz w:val="22"/>
          <w:szCs w:val="22"/>
        </w:rPr>
      </w:pPr>
      <w:r>
        <w:rPr>
          <w:sz w:val="22"/>
          <w:szCs w:val="22"/>
        </w:rPr>
        <w:t>The shares in the table also indicate that, for South Africa’s cultural trade with USMCA, cultural goods exports are (except in 2012) a greater share of bilateral trade with USMCA than cultural goods imports.</w:t>
      </w:r>
      <w:r w:rsidR="001B10E6">
        <w:rPr>
          <w:sz w:val="22"/>
          <w:szCs w:val="22"/>
        </w:rPr>
        <w:t xml:space="preserve"> </w:t>
      </w:r>
      <w:r>
        <w:rPr>
          <w:sz w:val="22"/>
          <w:szCs w:val="22"/>
        </w:rPr>
        <w:t>This finding also applies in the case of SADC and is unsurprising in view of the trend analysis above.</w:t>
      </w:r>
      <w:bookmarkStart w:id="47" w:name="_heading=h.3o7alnk" w:colFirst="0" w:colLast="0"/>
      <w:bookmarkEnd w:id="47"/>
    </w:p>
    <w:p w14:paraId="0000023F" w14:textId="3CEBB5B4" w:rsidR="00294ABB" w:rsidRPr="00835B56" w:rsidRDefault="008B6A61" w:rsidP="008B6A61">
      <w:pPr>
        <w:pStyle w:val="Caption"/>
        <w:rPr>
          <w:color w:val="auto"/>
          <w:sz w:val="24"/>
          <w:szCs w:val="24"/>
        </w:rPr>
      </w:pPr>
      <w:bookmarkStart w:id="48" w:name="_Toc92623706"/>
      <w:r w:rsidRPr="00835B56">
        <w:rPr>
          <w:sz w:val="20"/>
          <w:szCs w:val="20"/>
        </w:rPr>
        <w:t xml:space="preserve">Table </w:t>
      </w:r>
      <w:r w:rsidR="006B6995" w:rsidRPr="00835B56">
        <w:rPr>
          <w:sz w:val="20"/>
          <w:szCs w:val="20"/>
        </w:rPr>
        <w:fldChar w:fldCharType="begin"/>
      </w:r>
      <w:r w:rsidR="006B6995" w:rsidRPr="00835B56">
        <w:rPr>
          <w:sz w:val="20"/>
          <w:szCs w:val="20"/>
        </w:rPr>
        <w:instrText xml:space="preserve"> SEQ Table \* ARABIC </w:instrText>
      </w:r>
      <w:r w:rsidR="006B6995" w:rsidRPr="00835B56">
        <w:rPr>
          <w:sz w:val="20"/>
          <w:szCs w:val="20"/>
        </w:rPr>
        <w:fldChar w:fldCharType="separate"/>
      </w:r>
      <w:r w:rsidR="00682412">
        <w:rPr>
          <w:noProof/>
          <w:sz w:val="20"/>
          <w:szCs w:val="20"/>
        </w:rPr>
        <w:t>6</w:t>
      </w:r>
      <w:r w:rsidR="006B6995" w:rsidRPr="00835B56">
        <w:rPr>
          <w:noProof/>
          <w:sz w:val="20"/>
          <w:szCs w:val="20"/>
        </w:rPr>
        <w:fldChar w:fldCharType="end"/>
      </w:r>
      <w:r w:rsidR="00C93471" w:rsidRPr="00835B56">
        <w:rPr>
          <w:noProof/>
          <w:sz w:val="20"/>
          <w:szCs w:val="20"/>
        </w:rPr>
        <w:t>:</w:t>
      </w:r>
      <w:r w:rsidRPr="00835B56">
        <w:rPr>
          <w:sz w:val="20"/>
          <w:szCs w:val="20"/>
        </w:rPr>
        <w:t xml:space="preserve"> </w:t>
      </w:r>
      <w:r w:rsidR="00420BFB" w:rsidRPr="00835B56">
        <w:rPr>
          <w:color w:val="44546A"/>
          <w:sz w:val="20"/>
          <w:szCs w:val="20"/>
        </w:rPr>
        <w:t>South Africa</w:t>
      </w:r>
      <w:r w:rsidR="00C93471" w:rsidRPr="00835B56">
        <w:rPr>
          <w:color w:val="44546A"/>
          <w:sz w:val="20"/>
          <w:szCs w:val="20"/>
        </w:rPr>
        <w:t>’</w:t>
      </w:r>
      <w:r w:rsidR="00420BFB" w:rsidRPr="00835B56">
        <w:rPr>
          <w:color w:val="44546A"/>
          <w:sz w:val="20"/>
          <w:szCs w:val="20"/>
        </w:rPr>
        <w:t>s cultural goods trade with USMCA and SADC: percentage shares in total bilateral trade</w:t>
      </w:r>
      <w:bookmarkEnd w:id="48"/>
    </w:p>
    <w:tbl>
      <w:tblPr>
        <w:tblStyle w:val="a4"/>
        <w:tblW w:w="9072" w:type="dxa"/>
        <w:jc w:val="center"/>
        <w:tblLayout w:type="fixed"/>
        <w:tblLook w:val="0400" w:firstRow="0" w:lastRow="0" w:firstColumn="0" w:lastColumn="0" w:noHBand="0" w:noVBand="1"/>
      </w:tblPr>
      <w:tblGrid>
        <w:gridCol w:w="3000"/>
        <w:gridCol w:w="759"/>
        <w:gridCol w:w="759"/>
        <w:gridCol w:w="759"/>
        <w:gridCol w:w="759"/>
        <w:gridCol w:w="759"/>
        <w:gridCol w:w="759"/>
        <w:gridCol w:w="759"/>
        <w:gridCol w:w="759"/>
      </w:tblGrid>
      <w:tr w:rsidR="005604B5" w14:paraId="7E1C37AC" w14:textId="77777777" w:rsidTr="00835B56">
        <w:trPr>
          <w:trHeight w:val="290"/>
          <w:jc w:val="center"/>
        </w:trPr>
        <w:tc>
          <w:tcPr>
            <w:tcW w:w="3000" w:type="dxa"/>
            <w:tcBorders>
              <w:top w:val="single" w:sz="8" w:space="0" w:color="000000"/>
              <w:left w:val="single" w:sz="8" w:space="0" w:color="000000"/>
              <w:bottom w:val="nil"/>
              <w:right w:val="single" w:sz="8" w:space="0" w:color="000000"/>
            </w:tcBorders>
            <w:shd w:val="clear" w:color="auto" w:fill="auto"/>
            <w:tcMar>
              <w:right w:w="28" w:type="dxa"/>
            </w:tcMar>
            <w:vAlign w:val="bottom"/>
          </w:tcPr>
          <w:p w14:paraId="00000240" w14:textId="77777777" w:rsidR="005604B5" w:rsidRDefault="005604B5" w:rsidP="00835B56">
            <w:pPr>
              <w:spacing w:before="60" w:after="60"/>
              <w:jc w:val="left"/>
              <w:rPr>
                <w:b/>
                <w:color w:val="000000"/>
                <w:sz w:val="18"/>
                <w:szCs w:val="18"/>
              </w:rPr>
            </w:pPr>
            <w:r>
              <w:rPr>
                <w:b/>
                <w:color w:val="000000"/>
                <w:sz w:val="18"/>
                <w:szCs w:val="18"/>
              </w:rPr>
              <w:t> </w:t>
            </w:r>
          </w:p>
        </w:tc>
        <w:tc>
          <w:tcPr>
            <w:tcW w:w="3036" w:type="dxa"/>
            <w:gridSpan w:val="4"/>
            <w:tcBorders>
              <w:top w:val="single" w:sz="8" w:space="0" w:color="000000"/>
              <w:left w:val="nil"/>
              <w:bottom w:val="single" w:sz="4" w:space="0" w:color="000000"/>
              <w:right w:val="single" w:sz="8" w:space="0" w:color="000000"/>
            </w:tcBorders>
            <w:shd w:val="clear" w:color="auto" w:fill="auto"/>
            <w:tcMar>
              <w:right w:w="28" w:type="dxa"/>
            </w:tcMar>
            <w:vAlign w:val="bottom"/>
          </w:tcPr>
          <w:p w14:paraId="00000244" w14:textId="5D73E5AB" w:rsidR="005604B5" w:rsidRDefault="005604B5" w:rsidP="00835B56">
            <w:pPr>
              <w:spacing w:before="60" w:after="60"/>
              <w:jc w:val="center"/>
              <w:rPr>
                <w:b/>
                <w:color w:val="000000"/>
                <w:sz w:val="18"/>
                <w:szCs w:val="18"/>
              </w:rPr>
            </w:pPr>
            <w:r>
              <w:rPr>
                <w:color w:val="000000"/>
                <w:sz w:val="18"/>
                <w:szCs w:val="18"/>
              </w:rPr>
              <w:t>USMCA</w:t>
            </w:r>
          </w:p>
        </w:tc>
        <w:tc>
          <w:tcPr>
            <w:tcW w:w="3036" w:type="dxa"/>
            <w:gridSpan w:val="4"/>
            <w:tcBorders>
              <w:top w:val="single" w:sz="8" w:space="0" w:color="000000"/>
              <w:left w:val="nil"/>
              <w:bottom w:val="single" w:sz="4" w:space="0" w:color="000000"/>
              <w:right w:val="single" w:sz="8" w:space="0" w:color="000000"/>
            </w:tcBorders>
            <w:shd w:val="clear" w:color="auto" w:fill="auto"/>
            <w:tcMar>
              <w:right w:w="28" w:type="dxa"/>
            </w:tcMar>
            <w:vAlign w:val="bottom"/>
          </w:tcPr>
          <w:p w14:paraId="00000248" w14:textId="17B07B6F" w:rsidR="005604B5" w:rsidRDefault="005604B5" w:rsidP="00835B56">
            <w:pPr>
              <w:spacing w:before="60" w:after="60"/>
              <w:jc w:val="center"/>
              <w:rPr>
                <w:b/>
                <w:color w:val="000000"/>
                <w:sz w:val="18"/>
                <w:szCs w:val="18"/>
              </w:rPr>
            </w:pPr>
            <w:r>
              <w:rPr>
                <w:color w:val="000000"/>
                <w:sz w:val="18"/>
                <w:szCs w:val="18"/>
              </w:rPr>
              <w:t>SADC</w:t>
            </w:r>
            <w:r>
              <w:rPr>
                <w:b/>
                <w:color w:val="000000"/>
                <w:sz w:val="18"/>
                <w:szCs w:val="18"/>
              </w:rPr>
              <w:t> </w:t>
            </w:r>
          </w:p>
        </w:tc>
      </w:tr>
      <w:tr w:rsidR="00294ABB" w14:paraId="1B90BA92" w14:textId="77777777" w:rsidTr="00835B56">
        <w:trPr>
          <w:trHeight w:val="290"/>
          <w:jc w:val="center"/>
        </w:trPr>
        <w:tc>
          <w:tcPr>
            <w:tcW w:w="3000" w:type="dxa"/>
            <w:tcBorders>
              <w:top w:val="single" w:sz="4" w:space="0" w:color="000000"/>
              <w:left w:val="single" w:sz="8" w:space="0" w:color="000000"/>
              <w:bottom w:val="single" w:sz="4" w:space="0" w:color="000000"/>
              <w:right w:val="single" w:sz="8" w:space="0" w:color="000000"/>
            </w:tcBorders>
            <w:shd w:val="clear" w:color="auto" w:fill="auto"/>
            <w:tcMar>
              <w:right w:w="28" w:type="dxa"/>
            </w:tcMar>
            <w:vAlign w:val="bottom"/>
          </w:tcPr>
          <w:p w14:paraId="00000249" w14:textId="77777777" w:rsidR="00294ABB" w:rsidRDefault="00420BFB" w:rsidP="00835B56">
            <w:pPr>
              <w:spacing w:before="60" w:after="60"/>
              <w:jc w:val="left"/>
              <w:rPr>
                <w:b/>
                <w:color w:val="000000"/>
                <w:sz w:val="18"/>
                <w:szCs w:val="18"/>
              </w:rPr>
            </w:pPr>
            <w:r>
              <w:rPr>
                <w:b/>
                <w:color w:val="000000"/>
                <w:sz w:val="18"/>
                <w:szCs w:val="18"/>
              </w:rPr>
              <w:t>Shares in total bilateral trade (%)</w:t>
            </w:r>
          </w:p>
        </w:tc>
        <w:tc>
          <w:tcPr>
            <w:tcW w:w="759" w:type="dxa"/>
            <w:tcBorders>
              <w:top w:val="nil"/>
              <w:left w:val="nil"/>
              <w:bottom w:val="single" w:sz="4" w:space="0" w:color="000000"/>
              <w:right w:val="single" w:sz="4" w:space="0" w:color="000000"/>
            </w:tcBorders>
            <w:shd w:val="clear" w:color="auto" w:fill="auto"/>
            <w:tcMar>
              <w:right w:w="28" w:type="dxa"/>
            </w:tcMar>
            <w:vAlign w:val="bottom"/>
          </w:tcPr>
          <w:p w14:paraId="0000024A" w14:textId="77777777" w:rsidR="00294ABB" w:rsidRDefault="00420BFB" w:rsidP="00835B56">
            <w:pPr>
              <w:spacing w:before="60" w:after="60"/>
              <w:jc w:val="center"/>
              <w:rPr>
                <w:b/>
                <w:color w:val="000000"/>
                <w:sz w:val="18"/>
                <w:szCs w:val="18"/>
              </w:rPr>
            </w:pPr>
            <w:r>
              <w:rPr>
                <w:b/>
                <w:color w:val="000000"/>
                <w:sz w:val="18"/>
                <w:szCs w:val="18"/>
              </w:rPr>
              <w:t>2012</w:t>
            </w:r>
          </w:p>
        </w:tc>
        <w:tc>
          <w:tcPr>
            <w:tcW w:w="759" w:type="dxa"/>
            <w:tcBorders>
              <w:top w:val="nil"/>
              <w:left w:val="nil"/>
              <w:bottom w:val="single" w:sz="4" w:space="0" w:color="000000"/>
              <w:right w:val="single" w:sz="4" w:space="0" w:color="000000"/>
            </w:tcBorders>
            <w:shd w:val="clear" w:color="auto" w:fill="auto"/>
            <w:tcMar>
              <w:right w:w="28" w:type="dxa"/>
            </w:tcMar>
            <w:vAlign w:val="bottom"/>
          </w:tcPr>
          <w:p w14:paraId="0000024B" w14:textId="77777777" w:rsidR="00294ABB" w:rsidRDefault="00420BFB" w:rsidP="00835B56">
            <w:pPr>
              <w:spacing w:before="60" w:after="60"/>
              <w:jc w:val="center"/>
              <w:rPr>
                <w:b/>
                <w:color w:val="000000"/>
                <w:sz w:val="18"/>
                <w:szCs w:val="18"/>
              </w:rPr>
            </w:pPr>
            <w:r>
              <w:rPr>
                <w:b/>
                <w:color w:val="000000"/>
                <w:sz w:val="18"/>
                <w:szCs w:val="18"/>
              </w:rPr>
              <w:t>2015</w:t>
            </w:r>
          </w:p>
        </w:tc>
        <w:tc>
          <w:tcPr>
            <w:tcW w:w="759" w:type="dxa"/>
            <w:tcBorders>
              <w:top w:val="nil"/>
              <w:left w:val="nil"/>
              <w:bottom w:val="single" w:sz="4" w:space="0" w:color="000000"/>
              <w:right w:val="single" w:sz="4" w:space="0" w:color="000000"/>
            </w:tcBorders>
            <w:shd w:val="clear" w:color="auto" w:fill="auto"/>
            <w:tcMar>
              <w:right w:w="28" w:type="dxa"/>
            </w:tcMar>
            <w:vAlign w:val="bottom"/>
          </w:tcPr>
          <w:p w14:paraId="0000024C" w14:textId="77777777" w:rsidR="00294ABB" w:rsidRDefault="00420BFB" w:rsidP="00835B56">
            <w:pPr>
              <w:spacing w:before="60" w:after="60"/>
              <w:jc w:val="center"/>
              <w:rPr>
                <w:b/>
                <w:color w:val="000000"/>
                <w:sz w:val="18"/>
                <w:szCs w:val="18"/>
              </w:rPr>
            </w:pPr>
            <w:r>
              <w:rPr>
                <w:b/>
                <w:color w:val="000000"/>
                <w:sz w:val="18"/>
                <w:szCs w:val="18"/>
              </w:rPr>
              <w:t>2018</w:t>
            </w:r>
          </w:p>
        </w:tc>
        <w:tc>
          <w:tcPr>
            <w:tcW w:w="759" w:type="dxa"/>
            <w:tcBorders>
              <w:top w:val="nil"/>
              <w:left w:val="nil"/>
              <w:bottom w:val="single" w:sz="4" w:space="0" w:color="000000"/>
              <w:right w:val="single" w:sz="8" w:space="0" w:color="000000"/>
            </w:tcBorders>
            <w:shd w:val="clear" w:color="auto" w:fill="auto"/>
            <w:tcMar>
              <w:right w:w="28" w:type="dxa"/>
            </w:tcMar>
            <w:vAlign w:val="bottom"/>
          </w:tcPr>
          <w:p w14:paraId="0000024D" w14:textId="77777777" w:rsidR="00294ABB" w:rsidRDefault="00420BFB" w:rsidP="00835B56">
            <w:pPr>
              <w:spacing w:before="60" w:after="60"/>
              <w:jc w:val="center"/>
              <w:rPr>
                <w:b/>
                <w:color w:val="000000"/>
                <w:sz w:val="18"/>
                <w:szCs w:val="18"/>
              </w:rPr>
            </w:pPr>
            <w:r>
              <w:rPr>
                <w:b/>
                <w:color w:val="000000"/>
                <w:sz w:val="18"/>
                <w:szCs w:val="18"/>
              </w:rPr>
              <w:t>2020</w:t>
            </w:r>
          </w:p>
        </w:tc>
        <w:tc>
          <w:tcPr>
            <w:tcW w:w="759" w:type="dxa"/>
            <w:tcBorders>
              <w:top w:val="nil"/>
              <w:left w:val="nil"/>
              <w:bottom w:val="single" w:sz="4" w:space="0" w:color="000000"/>
              <w:right w:val="single" w:sz="4" w:space="0" w:color="000000"/>
            </w:tcBorders>
            <w:shd w:val="clear" w:color="auto" w:fill="auto"/>
            <w:tcMar>
              <w:right w:w="28" w:type="dxa"/>
            </w:tcMar>
            <w:vAlign w:val="bottom"/>
          </w:tcPr>
          <w:p w14:paraId="0000024E" w14:textId="77777777" w:rsidR="00294ABB" w:rsidRDefault="00420BFB" w:rsidP="00835B56">
            <w:pPr>
              <w:spacing w:before="60" w:after="60"/>
              <w:jc w:val="center"/>
              <w:rPr>
                <w:b/>
                <w:color w:val="000000"/>
                <w:sz w:val="18"/>
                <w:szCs w:val="18"/>
              </w:rPr>
            </w:pPr>
            <w:r>
              <w:rPr>
                <w:b/>
                <w:color w:val="000000"/>
                <w:sz w:val="18"/>
                <w:szCs w:val="18"/>
              </w:rPr>
              <w:t>2012</w:t>
            </w:r>
          </w:p>
        </w:tc>
        <w:tc>
          <w:tcPr>
            <w:tcW w:w="759" w:type="dxa"/>
            <w:tcBorders>
              <w:top w:val="nil"/>
              <w:left w:val="nil"/>
              <w:bottom w:val="single" w:sz="4" w:space="0" w:color="000000"/>
              <w:right w:val="single" w:sz="4" w:space="0" w:color="000000"/>
            </w:tcBorders>
            <w:shd w:val="clear" w:color="auto" w:fill="auto"/>
            <w:tcMar>
              <w:right w:w="28" w:type="dxa"/>
            </w:tcMar>
            <w:vAlign w:val="bottom"/>
          </w:tcPr>
          <w:p w14:paraId="0000024F" w14:textId="77777777" w:rsidR="00294ABB" w:rsidRDefault="00420BFB" w:rsidP="00835B56">
            <w:pPr>
              <w:spacing w:before="60" w:after="60"/>
              <w:jc w:val="center"/>
              <w:rPr>
                <w:b/>
                <w:color w:val="000000"/>
                <w:sz w:val="18"/>
                <w:szCs w:val="18"/>
              </w:rPr>
            </w:pPr>
            <w:r>
              <w:rPr>
                <w:b/>
                <w:color w:val="000000"/>
                <w:sz w:val="18"/>
                <w:szCs w:val="18"/>
              </w:rPr>
              <w:t>2015</w:t>
            </w:r>
          </w:p>
        </w:tc>
        <w:tc>
          <w:tcPr>
            <w:tcW w:w="759" w:type="dxa"/>
            <w:tcBorders>
              <w:top w:val="nil"/>
              <w:left w:val="nil"/>
              <w:bottom w:val="single" w:sz="4" w:space="0" w:color="000000"/>
              <w:right w:val="single" w:sz="4" w:space="0" w:color="000000"/>
            </w:tcBorders>
            <w:shd w:val="clear" w:color="auto" w:fill="auto"/>
            <w:tcMar>
              <w:right w:w="28" w:type="dxa"/>
            </w:tcMar>
            <w:vAlign w:val="bottom"/>
          </w:tcPr>
          <w:p w14:paraId="00000250" w14:textId="77777777" w:rsidR="00294ABB" w:rsidRDefault="00420BFB" w:rsidP="00835B56">
            <w:pPr>
              <w:spacing w:before="60" w:after="60"/>
              <w:jc w:val="center"/>
              <w:rPr>
                <w:b/>
                <w:color w:val="000000"/>
                <w:sz w:val="18"/>
                <w:szCs w:val="18"/>
              </w:rPr>
            </w:pPr>
            <w:r>
              <w:rPr>
                <w:b/>
                <w:color w:val="000000"/>
                <w:sz w:val="18"/>
                <w:szCs w:val="18"/>
              </w:rPr>
              <w:t>2018</w:t>
            </w:r>
          </w:p>
        </w:tc>
        <w:tc>
          <w:tcPr>
            <w:tcW w:w="759" w:type="dxa"/>
            <w:tcBorders>
              <w:top w:val="nil"/>
              <w:left w:val="nil"/>
              <w:bottom w:val="single" w:sz="4" w:space="0" w:color="000000"/>
              <w:right w:val="single" w:sz="8" w:space="0" w:color="000000"/>
            </w:tcBorders>
            <w:shd w:val="clear" w:color="auto" w:fill="auto"/>
            <w:tcMar>
              <w:right w:w="28" w:type="dxa"/>
            </w:tcMar>
            <w:vAlign w:val="bottom"/>
          </w:tcPr>
          <w:p w14:paraId="00000251" w14:textId="77777777" w:rsidR="00294ABB" w:rsidRDefault="00420BFB" w:rsidP="00835B56">
            <w:pPr>
              <w:spacing w:before="60" w:after="60"/>
              <w:jc w:val="center"/>
              <w:rPr>
                <w:b/>
                <w:color w:val="000000"/>
                <w:sz w:val="18"/>
                <w:szCs w:val="18"/>
              </w:rPr>
            </w:pPr>
            <w:r>
              <w:rPr>
                <w:b/>
                <w:color w:val="000000"/>
                <w:sz w:val="18"/>
                <w:szCs w:val="18"/>
              </w:rPr>
              <w:t>2020</w:t>
            </w:r>
          </w:p>
        </w:tc>
      </w:tr>
      <w:tr w:rsidR="00294ABB" w14:paraId="1A523AE6" w14:textId="77777777" w:rsidTr="00835B56">
        <w:trPr>
          <w:trHeight w:val="290"/>
          <w:jc w:val="center"/>
        </w:trPr>
        <w:tc>
          <w:tcPr>
            <w:tcW w:w="3000" w:type="dxa"/>
            <w:tcBorders>
              <w:top w:val="nil"/>
              <w:left w:val="single" w:sz="8" w:space="0" w:color="000000"/>
              <w:bottom w:val="single" w:sz="4" w:space="0" w:color="000000"/>
              <w:right w:val="single" w:sz="8" w:space="0" w:color="000000"/>
            </w:tcBorders>
            <w:shd w:val="clear" w:color="auto" w:fill="auto"/>
            <w:tcMar>
              <w:right w:w="28" w:type="dxa"/>
            </w:tcMar>
            <w:vAlign w:val="bottom"/>
          </w:tcPr>
          <w:p w14:paraId="00000252" w14:textId="77777777" w:rsidR="00294ABB" w:rsidRDefault="00420BFB" w:rsidP="00835B56">
            <w:pPr>
              <w:spacing w:before="60" w:after="60"/>
              <w:jc w:val="left"/>
              <w:rPr>
                <w:color w:val="000000"/>
                <w:sz w:val="18"/>
                <w:szCs w:val="18"/>
              </w:rPr>
            </w:pPr>
            <w:r>
              <w:rPr>
                <w:color w:val="000000"/>
                <w:sz w:val="18"/>
                <w:szCs w:val="18"/>
              </w:rPr>
              <w:t>Cultural goods export share</w:t>
            </w:r>
          </w:p>
        </w:tc>
        <w:tc>
          <w:tcPr>
            <w:tcW w:w="759" w:type="dxa"/>
            <w:tcBorders>
              <w:top w:val="nil"/>
              <w:left w:val="nil"/>
              <w:bottom w:val="single" w:sz="4" w:space="0" w:color="000000"/>
              <w:right w:val="single" w:sz="4" w:space="0" w:color="000000"/>
            </w:tcBorders>
            <w:shd w:val="clear" w:color="auto" w:fill="auto"/>
            <w:tcMar>
              <w:right w:w="28" w:type="dxa"/>
            </w:tcMar>
            <w:vAlign w:val="bottom"/>
          </w:tcPr>
          <w:p w14:paraId="00000253" w14:textId="77777777" w:rsidR="00294ABB" w:rsidRDefault="00420BFB" w:rsidP="00835B56">
            <w:pPr>
              <w:spacing w:before="60" w:after="60"/>
              <w:jc w:val="center"/>
              <w:rPr>
                <w:color w:val="000000"/>
                <w:sz w:val="18"/>
                <w:szCs w:val="18"/>
              </w:rPr>
            </w:pPr>
            <w:r>
              <w:rPr>
                <w:color w:val="000000"/>
                <w:sz w:val="18"/>
                <w:szCs w:val="18"/>
              </w:rPr>
              <w:t>0.59</w:t>
            </w:r>
          </w:p>
        </w:tc>
        <w:tc>
          <w:tcPr>
            <w:tcW w:w="759" w:type="dxa"/>
            <w:tcBorders>
              <w:top w:val="nil"/>
              <w:left w:val="nil"/>
              <w:bottom w:val="single" w:sz="4" w:space="0" w:color="000000"/>
              <w:right w:val="single" w:sz="4" w:space="0" w:color="000000"/>
            </w:tcBorders>
            <w:shd w:val="clear" w:color="auto" w:fill="auto"/>
            <w:tcMar>
              <w:right w:w="28" w:type="dxa"/>
            </w:tcMar>
            <w:vAlign w:val="bottom"/>
          </w:tcPr>
          <w:p w14:paraId="00000254" w14:textId="77777777" w:rsidR="00294ABB" w:rsidRDefault="00420BFB" w:rsidP="00835B56">
            <w:pPr>
              <w:spacing w:before="60" w:after="60"/>
              <w:jc w:val="center"/>
              <w:rPr>
                <w:color w:val="000000"/>
                <w:sz w:val="18"/>
                <w:szCs w:val="18"/>
              </w:rPr>
            </w:pPr>
            <w:r>
              <w:rPr>
                <w:color w:val="000000"/>
                <w:sz w:val="18"/>
                <w:szCs w:val="18"/>
              </w:rPr>
              <w:t>1.59</w:t>
            </w:r>
          </w:p>
        </w:tc>
        <w:tc>
          <w:tcPr>
            <w:tcW w:w="759" w:type="dxa"/>
            <w:tcBorders>
              <w:top w:val="nil"/>
              <w:left w:val="nil"/>
              <w:bottom w:val="single" w:sz="4" w:space="0" w:color="000000"/>
              <w:right w:val="single" w:sz="4" w:space="0" w:color="000000"/>
            </w:tcBorders>
            <w:shd w:val="clear" w:color="auto" w:fill="auto"/>
            <w:tcMar>
              <w:right w:w="28" w:type="dxa"/>
            </w:tcMar>
            <w:vAlign w:val="bottom"/>
          </w:tcPr>
          <w:p w14:paraId="00000255" w14:textId="77777777" w:rsidR="00294ABB" w:rsidRDefault="00420BFB" w:rsidP="00835B56">
            <w:pPr>
              <w:spacing w:before="60" w:after="60"/>
              <w:jc w:val="center"/>
              <w:rPr>
                <w:color w:val="000000"/>
                <w:sz w:val="18"/>
                <w:szCs w:val="18"/>
              </w:rPr>
            </w:pPr>
            <w:r>
              <w:rPr>
                <w:color w:val="000000"/>
                <w:sz w:val="18"/>
                <w:szCs w:val="18"/>
              </w:rPr>
              <w:t>2.10</w:t>
            </w:r>
          </w:p>
        </w:tc>
        <w:tc>
          <w:tcPr>
            <w:tcW w:w="759" w:type="dxa"/>
            <w:tcBorders>
              <w:top w:val="nil"/>
              <w:left w:val="nil"/>
              <w:bottom w:val="single" w:sz="4" w:space="0" w:color="000000"/>
              <w:right w:val="single" w:sz="8" w:space="0" w:color="000000"/>
            </w:tcBorders>
            <w:shd w:val="clear" w:color="auto" w:fill="auto"/>
            <w:tcMar>
              <w:right w:w="28" w:type="dxa"/>
            </w:tcMar>
            <w:vAlign w:val="bottom"/>
          </w:tcPr>
          <w:p w14:paraId="00000256" w14:textId="77777777" w:rsidR="00294ABB" w:rsidRDefault="00420BFB" w:rsidP="00835B56">
            <w:pPr>
              <w:spacing w:before="60" w:after="60"/>
              <w:jc w:val="center"/>
              <w:rPr>
                <w:color w:val="000000"/>
                <w:sz w:val="18"/>
                <w:szCs w:val="18"/>
              </w:rPr>
            </w:pPr>
            <w:r>
              <w:rPr>
                <w:color w:val="000000"/>
                <w:sz w:val="18"/>
                <w:szCs w:val="18"/>
              </w:rPr>
              <w:t>1.91</w:t>
            </w:r>
          </w:p>
        </w:tc>
        <w:tc>
          <w:tcPr>
            <w:tcW w:w="759" w:type="dxa"/>
            <w:tcBorders>
              <w:top w:val="nil"/>
              <w:left w:val="nil"/>
              <w:bottom w:val="single" w:sz="4" w:space="0" w:color="000000"/>
              <w:right w:val="single" w:sz="4" w:space="0" w:color="000000"/>
            </w:tcBorders>
            <w:shd w:val="clear" w:color="auto" w:fill="auto"/>
            <w:tcMar>
              <w:right w:w="28" w:type="dxa"/>
            </w:tcMar>
            <w:vAlign w:val="bottom"/>
          </w:tcPr>
          <w:p w14:paraId="00000257" w14:textId="77777777" w:rsidR="00294ABB" w:rsidRDefault="00420BFB" w:rsidP="00835B56">
            <w:pPr>
              <w:spacing w:before="60" w:after="60"/>
              <w:jc w:val="center"/>
              <w:rPr>
                <w:color w:val="000000"/>
                <w:sz w:val="18"/>
                <w:szCs w:val="18"/>
              </w:rPr>
            </w:pPr>
            <w:r>
              <w:rPr>
                <w:color w:val="000000"/>
                <w:sz w:val="18"/>
                <w:szCs w:val="18"/>
              </w:rPr>
              <w:t>0.48</w:t>
            </w:r>
          </w:p>
        </w:tc>
        <w:tc>
          <w:tcPr>
            <w:tcW w:w="759" w:type="dxa"/>
            <w:tcBorders>
              <w:top w:val="nil"/>
              <w:left w:val="nil"/>
              <w:bottom w:val="single" w:sz="4" w:space="0" w:color="000000"/>
              <w:right w:val="single" w:sz="4" w:space="0" w:color="000000"/>
            </w:tcBorders>
            <w:shd w:val="clear" w:color="auto" w:fill="auto"/>
            <w:tcMar>
              <w:right w:w="28" w:type="dxa"/>
            </w:tcMar>
            <w:vAlign w:val="bottom"/>
          </w:tcPr>
          <w:p w14:paraId="00000258" w14:textId="77777777" w:rsidR="00294ABB" w:rsidRDefault="00420BFB" w:rsidP="00835B56">
            <w:pPr>
              <w:spacing w:before="60" w:after="60"/>
              <w:jc w:val="center"/>
              <w:rPr>
                <w:color w:val="000000"/>
                <w:sz w:val="18"/>
                <w:szCs w:val="18"/>
              </w:rPr>
            </w:pPr>
            <w:r>
              <w:rPr>
                <w:color w:val="000000"/>
                <w:sz w:val="18"/>
                <w:szCs w:val="18"/>
              </w:rPr>
              <w:t>0.46</w:t>
            </w:r>
          </w:p>
        </w:tc>
        <w:tc>
          <w:tcPr>
            <w:tcW w:w="759" w:type="dxa"/>
            <w:tcBorders>
              <w:top w:val="nil"/>
              <w:left w:val="nil"/>
              <w:bottom w:val="single" w:sz="4" w:space="0" w:color="000000"/>
              <w:right w:val="single" w:sz="4" w:space="0" w:color="000000"/>
            </w:tcBorders>
            <w:shd w:val="clear" w:color="auto" w:fill="auto"/>
            <w:tcMar>
              <w:right w:w="28" w:type="dxa"/>
            </w:tcMar>
            <w:vAlign w:val="bottom"/>
          </w:tcPr>
          <w:p w14:paraId="00000259" w14:textId="77777777" w:rsidR="00294ABB" w:rsidRDefault="00420BFB" w:rsidP="00835B56">
            <w:pPr>
              <w:spacing w:before="60" w:after="60"/>
              <w:jc w:val="center"/>
              <w:rPr>
                <w:color w:val="000000"/>
                <w:sz w:val="18"/>
                <w:szCs w:val="18"/>
              </w:rPr>
            </w:pPr>
            <w:r>
              <w:rPr>
                <w:color w:val="000000"/>
                <w:sz w:val="18"/>
                <w:szCs w:val="18"/>
              </w:rPr>
              <w:t>0.43</w:t>
            </w:r>
          </w:p>
        </w:tc>
        <w:tc>
          <w:tcPr>
            <w:tcW w:w="759" w:type="dxa"/>
            <w:tcBorders>
              <w:top w:val="nil"/>
              <w:left w:val="nil"/>
              <w:bottom w:val="single" w:sz="4" w:space="0" w:color="000000"/>
              <w:right w:val="single" w:sz="8" w:space="0" w:color="000000"/>
            </w:tcBorders>
            <w:shd w:val="clear" w:color="auto" w:fill="auto"/>
            <w:tcMar>
              <w:right w:w="28" w:type="dxa"/>
            </w:tcMar>
            <w:vAlign w:val="bottom"/>
          </w:tcPr>
          <w:p w14:paraId="0000025A" w14:textId="77777777" w:rsidR="00294ABB" w:rsidRDefault="00420BFB" w:rsidP="00835B56">
            <w:pPr>
              <w:spacing w:before="60" w:after="60"/>
              <w:jc w:val="center"/>
              <w:rPr>
                <w:color w:val="000000"/>
                <w:sz w:val="18"/>
                <w:szCs w:val="18"/>
              </w:rPr>
            </w:pPr>
            <w:r>
              <w:rPr>
                <w:color w:val="000000"/>
                <w:sz w:val="18"/>
                <w:szCs w:val="18"/>
              </w:rPr>
              <w:t>0.51</w:t>
            </w:r>
          </w:p>
        </w:tc>
      </w:tr>
      <w:tr w:rsidR="00294ABB" w14:paraId="5FAA4472" w14:textId="77777777" w:rsidTr="00835B56">
        <w:trPr>
          <w:trHeight w:val="290"/>
          <w:jc w:val="center"/>
        </w:trPr>
        <w:tc>
          <w:tcPr>
            <w:tcW w:w="3000" w:type="dxa"/>
            <w:tcBorders>
              <w:top w:val="single" w:sz="4" w:space="0" w:color="000000"/>
              <w:left w:val="single" w:sz="8" w:space="0" w:color="000000"/>
              <w:bottom w:val="single" w:sz="4" w:space="0" w:color="auto"/>
              <w:right w:val="single" w:sz="8" w:space="0" w:color="000000"/>
            </w:tcBorders>
            <w:shd w:val="clear" w:color="auto" w:fill="auto"/>
            <w:tcMar>
              <w:right w:w="28" w:type="dxa"/>
            </w:tcMar>
            <w:vAlign w:val="bottom"/>
          </w:tcPr>
          <w:p w14:paraId="0000025B" w14:textId="77777777" w:rsidR="00294ABB" w:rsidRDefault="00420BFB" w:rsidP="00835B56">
            <w:pPr>
              <w:spacing w:before="60" w:after="60"/>
              <w:jc w:val="left"/>
              <w:rPr>
                <w:color w:val="000000"/>
                <w:sz w:val="18"/>
                <w:szCs w:val="18"/>
              </w:rPr>
            </w:pPr>
            <w:r>
              <w:rPr>
                <w:color w:val="000000"/>
                <w:sz w:val="18"/>
                <w:szCs w:val="18"/>
              </w:rPr>
              <w:t>Cultural goods import share</w:t>
            </w:r>
          </w:p>
        </w:tc>
        <w:tc>
          <w:tcPr>
            <w:tcW w:w="759" w:type="dxa"/>
            <w:tcBorders>
              <w:top w:val="single" w:sz="4" w:space="0" w:color="000000"/>
              <w:left w:val="nil"/>
              <w:bottom w:val="single" w:sz="4" w:space="0" w:color="auto"/>
              <w:right w:val="single" w:sz="4" w:space="0" w:color="000000"/>
            </w:tcBorders>
            <w:shd w:val="clear" w:color="auto" w:fill="auto"/>
            <w:tcMar>
              <w:right w:w="28" w:type="dxa"/>
            </w:tcMar>
            <w:vAlign w:val="bottom"/>
          </w:tcPr>
          <w:p w14:paraId="0000025C" w14:textId="77777777" w:rsidR="00294ABB" w:rsidRDefault="00420BFB" w:rsidP="00835B56">
            <w:pPr>
              <w:spacing w:before="60" w:after="60"/>
              <w:jc w:val="center"/>
              <w:rPr>
                <w:color w:val="000000"/>
                <w:sz w:val="18"/>
                <w:szCs w:val="18"/>
              </w:rPr>
            </w:pPr>
            <w:r>
              <w:rPr>
                <w:color w:val="000000"/>
                <w:sz w:val="18"/>
                <w:szCs w:val="18"/>
              </w:rPr>
              <w:t>0.71</w:t>
            </w:r>
          </w:p>
        </w:tc>
        <w:tc>
          <w:tcPr>
            <w:tcW w:w="759" w:type="dxa"/>
            <w:tcBorders>
              <w:top w:val="single" w:sz="4" w:space="0" w:color="000000"/>
              <w:left w:val="nil"/>
              <w:bottom w:val="single" w:sz="4" w:space="0" w:color="auto"/>
              <w:right w:val="single" w:sz="4" w:space="0" w:color="000000"/>
            </w:tcBorders>
            <w:shd w:val="clear" w:color="auto" w:fill="auto"/>
            <w:tcMar>
              <w:right w:w="28" w:type="dxa"/>
            </w:tcMar>
            <w:vAlign w:val="bottom"/>
          </w:tcPr>
          <w:p w14:paraId="0000025D" w14:textId="77777777" w:rsidR="00294ABB" w:rsidRDefault="00420BFB" w:rsidP="00835B56">
            <w:pPr>
              <w:spacing w:before="60" w:after="60"/>
              <w:jc w:val="center"/>
              <w:rPr>
                <w:color w:val="000000"/>
                <w:sz w:val="18"/>
                <w:szCs w:val="18"/>
              </w:rPr>
            </w:pPr>
            <w:r>
              <w:rPr>
                <w:color w:val="000000"/>
                <w:sz w:val="18"/>
                <w:szCs w:val="18"/>
              </w:rPr>
              <w:t>0.80</w:t>
            </w:r>
          </w:p>
        </w:tc>
        <w:tc>
          <w:tcPr>
            <w:tcW w:w="759" w:type="dxa"/>
            <w:tcBorders>
              <w:top w:val="single" w:sz="4" w:space="0" w:color="000000"/>
              <w:left w:val="nil"/>
              <w:bottom w:val="single" w:sz="4" w:space="0" w:color="auto"/>
              <w:right w:val="single" w:sz="4" w:space="0" w:color="000000"/>
            </w:tcBorders>
            <w:shd w:val="clear" w:color="auto" w:fill="auto"/>
            <w:tcMar>
              <w:right w:w="28" w:type="dxa"/>
            </w:tcMar>
            <w:vAlign w:val="bottom"/>
          </w:tcPr>
          <w:p w14:paraId="0000025E" w14:textId="77777777" w:rsidR="00294ABB" w:rsidRDefault="00420BFB" w:rsidP="00835B56">
            <w:pPr>
              <w:spacing w:before="60" w:after="60"/>
              <w:jc w:val="center"/>
              <w:rPr>
                <w:color w:val="000000"/>
                <w:sz w:val="18"/>
                <w:szCs w:val="18"/>
              </w:rPr>
            </w:pPr>
            <w:r>
              <w:rPr>
                <w:color w:val="000000"/>
                <w:sz w:val="18"/>
                <w:szCs w:val="18"/>
              </w:rPr>
              <w:t>0.64</w:t>
            </w:r>
          </w:p>
        </w:tc>
        <w:tc>
          <w:tcPr>
            <w:tcW w:w="759" w:type="dxa"/>
            <w:tcBorders>
              <w:top w:val="single" w:sz="4" w:space="0" w:color="000000"/>
              <w:left w:val="nil"/>
              <w:bottom w:val="single" w:sz="4" w:space="0" w:color="auto"/>
              <w:right w:val="single" w:sz="8" w:space="0" w:color="000000"/>
            </w:tcBorders>
            <w:shd w:val="clear" w:color="auto" w:fill="auto"/>
            <w:tcMar>
              <w:right w:w="28" w:type="dxa"/>
            </w:tcMar>
            <w:vAlign w:val="bottom"/>
          </w:tcPr>
          <w:p w14:paraId="0000025F" w14:textId="77777777" w:rsidR="00294ABB" w:rsidRDefault="00420BFB" w:rsidP="00835B56">
            <w:pPr>
              <w:spacing w:before="60" w:after="60"/>
              <w:jc w:val="center"/>
              <w:rPr>
                <w:color w:val="000000"/>
                <w:sz w:val="18"/>
                <w:szCs w:val="18"/>
              </w:rPr>
            </w:pPr>
            <w:r>
              <w:rPr>
                <w:color w:val="000000"/>
                <w:sz w:val="18"/>
                <w:szCs w:val="18"/>
              </w:rPr>
              <w:t>0.49</w:t>
            </w:r>
          </w:p>
        </w:tc>
        <w:tc>
          <w:tcPr>
            <w:tcW w:w="759" w:type="dxa"/>
            <w:tcBorders>
              <w:top w:val="single" w:sz="4" w:space="0" w:color="000000"/>
              <w:left w:val="nil"/>
              <w:bottom w:val="single" w:sz="4" w:space="0" w:color="auto"/>
              <w:right w:val="single" w:sz="4" w:space="0" w:color="000000"/>
            </w:tcBorders>
            <w:shd w:val="clear" w:color="auto" w:fill="auto"/>
            <w:tcMar>
              <w:right w:w="28" w:type="dxa"/>
            </w:tcMar>
            <w:vAlign w:val="bottom"/>
          </w:tcPr>
          <w:p w14:paraId="00000260" w14:textId="77777777" w:rsidR="00294ABB" w:rsidRDefault="00420BFB" w:rsidP="00835B56">
            <w:pPr>
              <w:spacing w:before="60" w:after="60"/>
              <w:jc w:val="center"/>
              <w:rPr>
                <w:color w:val="000000"/>
                <w:sz w:val="18"/>
                <w:szCs w:val="18"/>
              </w:rPr>
            </w:pPr>
            <w:r>
              <w:rPr>
                <w:color w:val="000000"/>
                <w:sz w:val="18"/>
                <w:szCs w:val="18"/>
              </w:rPr>
              <w:t>0.66</w:t>
            </w:r>
          </w:p>
        </w:tc>
        <w:tc>
          <w:tcPr>
            <w:tcW w:w="759" w:type="dxa"/>
            <w:tcBorders>
              <w:top w:val="single" w:sz="4" w:space="0" w:color="000000"/>
              <w:left w:val="nil"/>
              <w:bottom w:val="single" w:sz="4" w:space="0" w:color="auto"/>
              <w:right w:val="single" w:sz="4" w:space="0" w:color="000000"/>
            </w:tcBorders>
            <w:shd w:val="clear" w:color="auto" w:fill="auto"/>
            <w:tcMar>
              <w:right w:w="28" w:type="dxa"/>
            </w:tcMar>
            <w:vAlign w:val="bottom"/>
          </w:tcPr>
          <w:p w14:paraId="00000261" w14:textId="77777777" w:rsidR="00294ABB" w:rsidRDefault="00420BFB" w:rsidP="00835B56">
            <w:pPr>
              <w:spacing w:before="60" w:after="60"/>
              <w:jc w:val="center"/>
              <w:rPr>
                <w:color w:val="000000"/>
                <w:sz w:val="18"/>
                <w:szCs w:val="18"/>
              </w:rPr>
            </w:pPr>
            <w:r>
              <w:rPr>
                <w:color w:val="000000"/>
                <w:sz w:val="18"/>
                <w:szCs w:val="18"/>
              </w:rPr>
              <w:t>0.45</w:t>
            </w:r>
          </w:p>
        </w:tc>
        <w:tc>
          <w:tcPr>
            <w:tcW w:w="759" w:type="dxa"/>
            <w:tcBorders>
              <w:top w:val="single" w:sz="4" w:space="0" w:color="000000"/>
              <w:left w:val="nil"/>
              <w:bottom w:val="single" w:sz="4" w:space="0" w:color="auto"/>
              <w:right w:val="single" w:sz="4" w:space="0" w:color="000000"/>
            </w:tcBorders>
            <w:shd w:val="clear" w:color="auto" w:fill="auto"/>
            <w:tcMar>
              <w:right w:w="28" w:type="dxa"/>
            </w:tcMar>
            <w:vAlign w:val="bottom"/>
          </w:tcPr>
          <w:p w14:paraId="00000262" w14:textId="77777777" w:rsidR="00294ABB" w:rsidRDefault="00420BFB" w:rsidP="00835B56">
            <w:pPr>
              <w:spacing w:before="60" w:after="60"/>
              <w:jc w:val="center"/>
              <w:rPr>
                <w:color w:val="000000"/>
                <w:sz w:val="18"/>
                <w:szCs w:val="18"/>
              </w:rPr>
            </w:pPr>
            <w:r>
              <w:rPr>
                <w:color w:val="000000"/>
                <w:sz w:val="18"/>
                <w:szCs w:val="18"/>
              </w:rPr>
              <w:t>0.30</w:t>
            </w:r>
          </w:p>
        </w:tc>
        <w:tc>
          <w:tcPr>
            <w:tcW w:w="759" w:type="dxa"/>
            <w:tcBorders>
              <w:top w:val="single" w:sz="4" w:space="0" w:color="000000"/>
              <w:left w:val="nil"/>
              <w:bottom w:val="single" w:sz="4" w:space="0" w:color="auto"/>
              <w:right w:val="single" w:sz="8" w:space="0" w:color="000000"/>
            </w:tcBorders>
            <w:shd w:val="clear" w:color="auto" w:fill="auto"/>
            <w:tcMar>
              <w:right w:w="28" w:type="dxa"/>
            </w:tcMar>
            <w:vAlign w:val="bottom"/>
          </w:tcPr>
          <w:p w14:paraId="00000263" w14:textId="77777777" w:rsidR="00294ABB" w:rsidRDefault="00420BFB" w:rsidP="00835B56">
            <w:pPr>
              <w:spacing w:before="60" w:after="60"/>
              <w:jc w:val="center"/>
              <w:rPr>
                <w:color w:val="000000"/>
                <w:sz w:val="18"/>
                <w:szCs w:val="18"/>
              </w:rPr>
            </w:pPr>
            <w:r>
              <w:rPr>
                <w:color w:val="000000"/>
                <w:sz w:val="18"/>
                <w:szCs w:val="18"/>
              </w:rPr>
              <w:t>0.22</w:t>
            </w:r>
          </w:p>
        </w:tc>
      </w:tr>
    </w:tbl>
    <w:p w14:paraId="2A201AED" w14:textId="77777777" w:rsidR="005604B5" w:rsidRDefault="005604B5">
      <w:pPr>
        <w:pBdr>
          <w:top w:val="nil"/>
          <w:left w:val="nil"/>
          <w:bottom w:val="nil"/>
          <w:right w:val="nil"/>
          <w:between w:val="nil"/>
        </w:pBdr>
        <w:spacing w:after="200"/>
        <w:rPr>
          <w:i/>
          <w:color w:val="44546A"/>
          <w:sz w:val="18"/>
          <w:szCs w:val="18"/>
        </w:rPr>
      </w:pPr>
    </w:p>
    <w:p w14:paraId="0000026D" w14:textId="7A9169F7" w:rsidR="00294ABB" w:rsidRPr="00835B56" w:rsidRDefault="00420BFB" w:rsidP="00835B56">
      <w:pPr>
        <w:pBdr>
          <w:top w:val="nil"/>
          <w:left w:val="nil"/>
          <w:bottom w:val="nil"/>
          <w:right w:val="nil"/>
          <w:between w:val="nil"/>
        </w:pBdr>
        <w:spacing w:line="259" w:lineRule="auto"/>
        <w:rPr>
          <w:iCs/>
          <w:color w:val="000000" w:themeColor="text1"/>
          <w:sz w:val="24"/>
          <w:szCs w:val="24"/>
        </w:rPr>
      </w:pPr>
      <w:r w:rsidRPr="00835B56">
        <w:rPr>
          <w:iCs/>
          <w:color w:val="000000" w:themeColor="text1"/>
        </w:rPr>
        <w:t>Source: Authors’ computations based on nominal trade data from ITC, 2021</w:t>
      </w:r>
    </w:p>
    <w:p w14:paraId="0000026E" w14:textId="65D984EA" w:rsidR="00294ABB" w:rsidRDefault="00420BFB" w:rsidP="00835B56">
      <w:pPr>
        <w:spacing w:line="259" w:lineRule="auto"/>
        <w:rPr>
          <w:sz w:val="22"/>
          <w:szCs w:val="22"/>
        </w:rPr>
      </w:pPr>
      <w:r>
        <w:rPr>
          <w:sz w:val="22"/>
          <w:szCs w:val="22"/>
        </w:rPr>
        <w:t>Finally, in this section, Table 7 depicts the results of an investigation into South Africa’s trade with each regional bloc by cultural domain for 2019 and 2020, with a focus on the differential impact of the pandemic on bilateral cultural goods trade in each domain.</w:t>
      </w:r>
      <w:r w:rsidR="001B10E6">
        <w:rPr>
          <w:sz w:val="22"/>
          <w:szCs w:val="22"/>
        </w:rPr>
        <w:t xml:space="preserve"> </w:t>
      </w:r>
      <w:r>
        <w:rPr>
          <w:sz w:val="22"/>
          <w:szCs w:val="22"/>
        </w:rPr>
        <w:t>For each domain in each of the two years, the table shows cultural goods exports, imports and the trade balance in current US$ millions.</w:t>
      </w:r>
    </w:p>
    <w:p w14:paraId="0000026F" w14:textId="70F4C0BB" w:rsidR="00294ABB" w:rsidRDefault="00420BFB" w:rsidP="00835B56">
      <w:pPr>
        <w:spacing w:line="259" w:lineRule="auto"/>
        <w:rPr>
          <w:sz w:val="22"/>
          <w:szCs w:val="22"/>
        </w:rPr>
      </w:pPr>
      <w:r>
        <w:rPr>
          <w:sz w:val="22"/>
          <w:szCs w:val="22"/>
        </w:rPr>
        <w:t>South Africa’s cultural goods exports to USMCA in 2019 were dominated by exports from the Visual Arts and Crafts domain, followed some way behind by Cultural and Natural Heritage and Performance and Celebration.</w:t>
      </w:r>
      <w:r>
        <w:rPr>
          <w:sz w:val="22"/>
          <w:szCs w:val="22"/>
          <w:vertAlign w:val="superscript"/>
        </w:rPr>
        <w:footnoteReference w:id="18"/>
      </w:r>
      <w:r>
        <w:rPr>
          <w:sz w:val="22"/>
          <w:szCs w:val="22"/>
        </w:rPr>
        <w:t xml:space="preserve"> These domains showed a cultural trade surplus for South Africa in 2019.</w:t>
      </w:r>
      <w:r w:rsidR="001B10E6">
        <w:rPr>
          <w:sz w:val="22"/>
          <w:szCs w:val="22"/>
        </w:rPr>
        <w:t xml:space="preserve"> </w:t>
      </w:r>
      <w:r>
        <w:rPr>
          <w:sz w:val="22"/>
          <w:szCs w:val="22"/>
        </w:rPr>
        <w:t>There was a deficit in Books and Press trade with the USMCA, but this was not enough to offset the surplus in the other domains. There was no noticeable trade in the Audio-visual and Interactive Media domain and a small deficit in Design and Creative Services.</w:t>
      </w:r>
      <w:r w:rsidR="001B10E6">
        <w:rPr>
          <w:sz w:val="22"/>
          <w:szCs w:val="22"/>
        </w:rPr>
        <w:t xml:space="preserve"> </w:t>
      </w:r>
      <w:r>
        <w:rPr>
          <w:sz w:val="22"/>
          <w:szCs w:val="22"/>
        </w:rPr>
        <w:t>It is possible that bilateral goods trade data collection for the Audio-visual and Interactive Media domain needs to be improved, however it is important to remember that services trade data is also important for this sector.</w:t>
      </w:r>
    </w:p>
    <w:p w14:paraId="00000270" w14:textId="1AA93B75" w:rsidR="00294ABB" w:rsidRDefault="00420BFB" w:rsidP="00835B56">
      <w:pPr>
        <w:spacing w:line="259" w:lineRule="auto"/>
        <w:rPr>
          <w:sz w:val="22"/>
          <w:szCs w:val="22"/>
        </w:rPr>
      </w:pPr>
      <w:r>
        <w:rPr>
          <w:sz w:val="22"/>
          <w:szCs w:val="22"/>
        </w:rPr>
        <w:t>While South Africa’s cultural exports to USMCA fell slightly in 2020, overall, during the COVID-19 pandemic, there were differences across the cultural domains. Visual Arts and Crafts exports to USMCA actually increased, as did Books and Press (the latter off a much lower base, however).</w:t>
      </w:r>
      <w:r w:rsidR="001B10E6">
        <w:rPr>
          <w:sz w:val="22"/>
          <w:szCs w:val="22"/>
        </w:rPr>
        <w:t xml:space="preserve"> </w:t>
      </w:r>
      <w:r>
        <w:rPr>
          <w:sz w:val="22"/>
          <w:szCs w:val="22"/>
        </w:rPr>
        <w:t>Cultural and Natural Heritage exports to USMCA declined and so did Performance and Celebration.</w:t>
      </w:r>
      <w:r w:rsidR="001B10E6">
        <w:rPr>
          <w:sz w:val="22"/>
          <w:szCs w:val="22"/>
        </w:rPr>
        <w:t xml:space="preserve"> </w:t>
      </w:r>
      <w:r>
        <w:rPr>
          <w:sz w:val="22"/>
          <w:szCs w:val="22"/>
        </w:rPr>
        <w:t>On the import side, cultural goods imports from USMCA fell across all the domains, but the decrease was most significant in the case of Books and Press.</w:t>
      </w:r>
      <w:r w:rsidR="001B10E6">
        <w:rPr>
          <w:sz w:val="22"/>
          <w:szCs w:val="22"/>
        </w:rPr>
        <w:t xml:space="preserve"> </w:t>
      </w:r>
      <w:r>
        <w:rPr>
          <w:sz w:val="22"/>
          <w:szCs w:val="22"/>
        </w:rPr>
        <w:t>The cultural trade deficit with Books and Press therefore fell by nearly half, while the Visual Arts and Crafts surplus widened.</w:t>
      </w:r>
      <w:r w:rsidR="001B10E6">
        <w:rPr>
          <w:sz w:val="22"/>
          <w:szCs w:val="22"/>
        </w:rPr>
        <w:t xml:space="preserve"> </w:t>
      </w:r>
      <w:r>
        <w:rPr>
          <w:sz w:val="22"/>
          <w:szCs w:val="22"/>
        </w:rPr>
        <w:t>However, the surplus with USMCA in Cultural and Natural Heritage narrowed in 2020, and the surplus in Performance and Celebration turned into a deficit.</w:t>
      </w:r>
    </w:p>
    <w:p w14:paraId="00000271" w14:textId="39F2C9DD" w:rsidR="00294ABB" w:rsidRDefault="00420BFB" w:rsidP="00835B56">
      <w:pPr>
        <w:spacing w:line="259" w:lineRule="auto"/>
        <w:rPr>
          <w:sz w:val="22"/>
          <w:szCs w:val="22"/>
        </w:rPr>
      </w:pPr>
      <w:r>
        <w:rPr>
          <w:sz w:val="22"/>
          <w:szCs w:val="22"/>
        </w:rPr>
        <w:t>In the case of SADC, cultural goods exports in 2019 were dominated by the Books and Press domain followed by Visual Arts and Crafts and Performance and Celebration.</w:t>
      </w:r>
      <w:r w:rsidR="001B10E6">
        <w:rPr>
          <w:sz w:val="22"/>
          <w:szCs w:val="22"/>
        </w:rPr>
        <w:t xml:space="preserve"> </w:t>
      </w:r>
      <w:r>
        <w:rPr>
          <w:sz w:val="22"/>
          <w:szCs w:val="22"/>
        </w:rPr>
        <w:t>Although cultural goods imports were much lower across the board than exports, the largest import domains were also Books and Press and Visual Arts and Crafts in 2019.</w:t>
      </w:r>
      <w:r w:rsidR="001B10E6">
        <w:rPr>
          <w:sz w:val="22"/>
          <w:szCs w:val="22"/>
        </w:rPr>
        <w:t xml:space="preserve"> </w:t>
      </w:r>
      <w:r>
        <w:rPr>
          <w:sz w:val="22"/>
          <w:szCs w:val="22"/>
        </w:rPr>
        <w:t>South Africa’s cultural trade balance was positive across all the domains in 2019, except for a slight deficit in Cultural and Natural Heritage trade with SADC.</w:t>
      </w:r>
      <w:r w:rsidR="001B10E6">
        <w:rPr>
          <w:sz w:val="22"/>
          <w:szCs w:val="22"/>
        </w:rPr>
        <w:t xml:space="preserve"> </w:t>
      </w:r>
      <w:r>
        <w:rPr>
          <w:sz w:val="22"/>
          <w:szCs w:val="22"/>
        </w:rPr>
        <w:t xml:space="preserve">The trade surplus was most notable in Books and Press </w:t>
      </w:r>
      <w:r>
        <w:rPr>
          <w:sz w:val="22"/>
          <w:szCs w:val="22"/>
        </w:rPr>
        <w:lastRenderedPageBreak/>
        <w:t>trade with SADC.</w:t>
      </w:r>
      <w:r w:rsidR="001B10E6">
        <w:rPr>
          <w:sz w:val="22"/>
          <w:szCs w:val="22"/>
        </w:rPr>
        <w:t xml:space="preserve"> </w:t>
      </w:r>
      <w:r>
        <w:rPr>
          <w:sz w:val="22"/>
          <w:szCs w:val="22"/>
        </w:rPr>
        <w:t>Interestingly, this is the domain for which South Africa has the largest deficit with USMCA.</w:t>
      </w:r>
    </w:p>
    <w:p w14:paraId="00000272" w14:textId="7E9A2079" w:rsidR="00294ABB" w:rsidRDefault="00420BFB" w:rsidP="00835B56">
      <w:pPr>
        <w:spacing w:line="259" w:lineRule="auto"/>
        <w:rPr>
          <w:sz w:val="22"/>
          <w:szCs w:val="22"/>
        </w:rPr>
      </w:pPr>
      <w:r>
        <w:rPr>
          <w:sz w:val="22"/>
          <w:szCs w:val="22"/>
        </w:rPr>
        <w:t>South Africa’s cultural goods exports to SADC actually increased overall (as noted previously) in 2020, during the COVID-19 pandemic.</w:t>
      </w:r>
      <w:r w:rsidR="001B10E6">
        <w:rPr>
          <w:sz w:val="22"/>
          <w:szCs w:val="22"/>
        </w:rPr>
        <w:t xml:space="preserve"> </w:t>
      </w:r>
      <w:r>
        <w:rPr>
          <w:sz w:val="22"/>
          <w:szCs w:val="22"/>
        </w:rPr>
        <w:t>Exports to SADC grew in the Performance and Celebration domain and in Books and Press.</w:t>
      </w:r>
      <w:r w:rsidR="001B10E6">
        <w:rPr>
          <w:sz w:val="22"/>
          <w:szCs w:val="22"/>
        </w:rPr>
        <w:t xml:space="preserve"> </w:t>
      </w:r>
      <w:r>
        <w:rPr>
          <w:sz w:val="22"/>
          <w:szCs w:val="22"/>
        </w:rPr>
        <w:t>Cultural and Natural Heritage exports to SADC fell slightly in 2020, as did Visual Arts and Crafts.</w:t>
      </w:r>
      <w:r w:rsidR="001B10E6">
        <w:rPr>
          <w:sz w:val="22"/>
          <w:szCs w:val="22"/>
        </w:rPr>
        <w:t xml:space="preserve"> </w:t>
      </w:r>
      <w:r>
        <w:rPr>
          <w:sz w:val="22"/>
          <w:szCs w:val="22"/>
        </w:rPr>
        <w:t>Although Cultural and Natural Heritage exports declined, imports declined by more, narrowing South Africa’s deficit with SADC in this domain to virtually zero.</w:t>
      </w:r>
      <w:r w:rsidR="001B10E6">
        <w:rPr>
          <w:sz w:val="22"/>
          <w:szCs w:val="22"/>
        </w:rPr>
        <w:t xml:space="preserve"> </w:t>
      </w:r>
      <w:r>
        <w:rPr>
          <w:sz w:val="22"/>
          <w:szCs w:val="22"/>
        </w:rPr>
        <w:t>Cultural goods imports from SADC decreased in all the domains.</w:t>
      </w:r>
      <w:r w:rsidR="001B10E6">
        <w:rPr>
          <w:sz w:val="22"/>
          <w:szCs w:val="22"/>
        </w:rPr>
        <w:t xml:space="preserve"> </w:t>
      </w:r>
      <w:r>
        <w:rPr>
          <w:sz w:val="22"/>
          <w:szCs w:val="22"/>
        </w:rPr>
        <w:t>The cultural trade surplus with SADC grew notably in Books and Press, and also increased slightly in Performance and Celebration. The surplus narrowed somewhat in Visual Arts and Crafts, as exports to SADC in this domain decreased a bit more than imports in 2020.</w:t>
      </w:r>
    </w:p>
    <w:p w14:paraId="00000273" w14:textId="77777777" w:rsidR="00294ABB" w:rsidRDefault="00420BFB" w:rsidP="00835B56">
      <w:pPr>
        <w:spacing w:line="259" w:lineRule="auto"/>
        <w:rPr>
          <w:sz w:val="22"/>
          <w:szCs w:val="22"/>
        </w:rPr>
      </w:pPr>
      <w:r>
        <w:rPr>
          <w:sz w:val="22"/>
          <w:szCs w:val="22"/>
        </w:rPr>
        <w:t>On balance it appears that the South Africa’s Books and Press domain has performed comparatively well during the pandemic, while Visual Arts and Crafts (the country’s most significant cultural goods export sector) has been fairly resilient to the shock.</w:t>
      </w:r>
    </w:p>
    <w:p w14:paraId="00000275" w14:textId="57D15B4F" w:rsidR="00294ABB" w:rsidRPr="00835B56" w:rsidRDefault="008B6A61" w:rsidP="008B6A61">
      <w:pPr>
        <w:pStyle w:val="Caption"/>
        <w:rPr>
          <w:color w:val="44546A"/>
          <w:sz w:val="22"/>
          <w:szCs w:val="22"/>
        </w:rPr>
      </w:pPr>
      <w:bookmarkStart w:id="49" w:name="_heading=h.23ckvvd" w:colFirst="0" w:colLast="0"/>
      <w:bookmarkStart w:id="50" w:name="_Toc92623707"/>
      <w:bookmarkEnd w:id="49"/>
      <w:r w:rsidRPr="00BF296C">
        <w:t xml:space="preserve">Table </w:t>
      </w:r>
      <w:r w:rsidR="001D6EEC">
        <w:fldChar w:fldCharType="begin"/>
      </w:r>
      <w:r w:rsidR="001D6EEC">
        <w:instrText xml:space="preserve"> SEQ Table \* ARABIC </w:instrText>
      </w:r>
      <w:r w:rsidR="001D6EEC">
        <w:fldChar w:fldCharType="separate"/>
      </w:r>
      <w:r w:rsidR="00682412">
        <w:rPr>
          <w:noProof/>
        </w:rPr>
        <w:t>7</w:t>
      </w:r>
      <w:r w:rsidR="001D6EEC">
        <w:rPr>
          <w:noProof/>
        </w:rPr>
        <w:fldChar w:fldCharType="end"/>
      </w:r>
      <w:r w:rsidR="00C93471" w:rsidRPr="00BF296C">
        <w:rPr>
          <w:noProof/>
        </w:rPr>
        <w:t>:</w:t>
      </w:r>
      <w:r w:rsidRPr="00BF296C">
        <w:t xml:space="preserve"> </w:t>
      </w:r>
      <w:r w:rsidR="00420BFB" w:rsidRPr="00835B56">
        <w:rPr>
          <w:color w:val="44546A"/>
        </w:rPr>
        <w:t>South Africa</w:t>
      </w:r>
      <w:r w:rsidR="00C93471" w:rsidRPr="00835B56">
        <w:rPr>
          <w:color w:val="44546A"/>
        </w:rPr>
        <w:t>’</w:t>
      </w:r>
      <w:r w:rsidR="00420BFB" w:rsidRPr="00835B56">
        <w:rPr>
          <w:color w:val="44546A"/>
        </w:rPr>
        <w:t>s cultural goods trade by domain with USMCA and SADC, 2019 and 2020</w:t>
      </w:r>
      <w:bookmarkEnd w:id="50"/>
    </w:p>
    <w:tbl>
      <w:tblPr>
        <w:tblStyle w:val="a5"/>
        <w:tblW w:w="9980" w:type="dxa"/>
        <w:jc w:val="center"/>
        <w:tblLayout w:type="fixed"/>
        <w:tblLook w:val="0400" w:firstRow="0" w:lastRow="0" w:firstColumn="0" w:lastColumn="0" w:noHBand="0" w:noVBand="1"/>
      </w:tblPr>
      <w:tblGrid>
        <w:gridCol w:w="2480"/>
        <w:gridCol w:w="1071"/>
        <w:gridCol w:w="1071"/>
        <w:gridCol w:w="1072"/>
        <w:gridCol w:w="1071"/>
        <w:gridCol w:w="1072"/>
        <w:gridCol w:w="1071"/>
        <w:gridCol w:w="1072"/>
      </w:tblGrid>
      <w:tr w:rsidR="00294ABB" w14:paraId="2849B0D5" w14:textId="77777777" w:rsidTr="00835B56">
        <w:trPr>
          <w:jc w:val="center"/>
        </w:trPr>
        <w:tc>
          <w:tcPr>
            <w:tcW w:w="2480" w:type="dxa"/>
            <w:tcBorders>
              <w:top w:val="single" w:sz="8" w:space="0" w:color="000000"/>
              <w:left w:val="single" w:sz="8" w:space="0" w:color="000000"/>
              <w:bottom w:val="single" w:sz="8" w:space="0" w:color="000000"/>
              <w:right w:val="single" w:sz="4" w:space="0" w:color="000000"/>
            </w:tcBorders>
            <w:shd w:val="clear" w:color="auto" w:fill="auto"/>
            <w:vAlign w:val="center"/>
          </w:tcPr>
          <w:p w14:paraId="00000276" w14:textId="77777777" w:rsidR="00294ABB" w:rsidRDefault="00420BFB">
            <w:pPr>
              <w:spacing w:after="0"/>
              <w:jc w:val="center"/>
              <w:rPr>
                <w:color w:val="000000"/>
                <w:sz w:val="18"/>
                <w:szCs w:val="18"/>
              </w:rPr>
            </w:pPr>
            <w:r>
              <w:rPr>
                <w:color w:val="000000"/>
                <w:sz w:val="18"/>
                <w:szCs w:val="18"/>
              </w:rPr>
              <w:t>Cultural trade in US$ millions</w:t>
            </w:r>
          </w:p>
        </w:tc>
        <w:tc>
          <w:tcPr>
            <w:tcW w:w="1071" w:type="dxa"/>
            <w:tcBorders>
              <w:top w:val="single" w:sz="8" w:space="0" w:color="000000"/>
              <w:left w:val="nil"/>
              <w:bottom w:val="single" w:sz="8" w:space="0" w:color="000000"/>
              <w:right w:val="single" w:sz="4" w:space="0" w:color="000000"/>
            </w:tcBorders>
            <w:shd w:val="clear" w:color="auto" w:fill="auto"/>
            <w:tcMar>
              <w:left w:w="28" w:type="dxa"/>
              <w:right w:w="28" w:type="dxa"/>
            </w:tcMar>
          </w:tcPr>
          <w:p w14:paraId="00000277" w14:textId="14335408" w:rsidR="00294ABB" w:rsidRDefault="00420BFB">
            <w:pPr>
              <w:spacing w:after="0"/>
              <w:jc w:val="center"/>
              <w:rPr>
                <w:color w:val="000000"/>
                <w:sz w:val="18"/>
                <w:szCs w:val="18"/>
              </w:rPr>
            </w:pPr>
            <w:r>
              <w:rPr>
                <w:color w:val="000000"/>
                <w:sz w:val="18"/>
                <w:szCs w:val="18"/>
              </w:rPr>
              <w:t xml:space="preserve">A. </w:t>
            </w:r>
            <w:r w:rsidR="001E0796">
              <w:rPr>
                <w:color w:val="000000"/>
                <w:sz w:val="18"/>
                <w:szCs w:val="18"/>
              </w:rPr>
              <w:br/>
            </w:r>
            <w:r>
              <w:rPr>
                <w:color w:val="000000"/>
                <w:sz w:val="18"/>
                <w:szCs w:val="18"/>
              </w:rPr>
              <w:t>Cultural and Natural Heritage</w:t>
            </w:r>
          </w:p>
        </w:tc>
        <w:tc>
          <w:tcPr>
            <w:tcW w:w="1071" w:type="dxa"/>
            <w:tcBorders>
              <w:top w:val="single" w:sz="8" w:space="0" w:color="000000"/>
              <w:left w:val="nil"/>
              <w:bottom w:val="single" w:sz="8" w:space="0" w:color="000000"/>
              <w:right w:val="single" w:sz="4" w:space="0" w:color="000000"/>
            </w:tcBorders>
            <w:shd w:val="clear" w:color="auto" w:fill="auto"/>
            <w:tcMar>
              <w:left w:w="28" w:type="dxa"/>
              <w:right w:w="28" w:type="dxa"/>
            </w:tcMar>
          </w:tcPr>
          <w:p w14:paraId="00000278" w14:textId="77777777" w:rsidR="00294ABB" w:rsidRDefault="00420BFB">
            <w:pPr>
              <w:spacing w:after="0"/>
              <w:jc w:val="center"/>
              <w:rPr>
                <w:color w:val="000000"/>
                <w:sz w:val="18"/>
                <w:szCs w:val="18"/>
              </w:rPr>
            </w:pPr>
            <w:r>
              <w:rPr>
                <w:color w:val="000000"/>
                <w:sz w:val="18"/>
                <w:szCs w:val="18"/>
              </w:rPr>
              <w:t xml:space="preserve">B. </w:t>
            </w:r>
            <w:r w:rsidRPr="00835B56">
              <w:rPr>
                <w:color w:val="000000"/>
                <w:spacing w:val="-20"/>
                <w:sz w:val="18"/>
                <w:szCs w:val="18"/>
              </w:rPr>
              <w:t>Performance</w:t>
            </w:r>
            <w:r>
              <w:rPr>
                <w:color w:val="000000"/>
                <w:sz w:val="18"/>
                <w:szCs w:val="18"/>
              </w:rPr>
              <w:t xml:space="preserve"> and Celebration</w:t>
            </w:r>
          </w:p>
        </w:tc>
        <w:tc>
          <w:tcPr>
            <w:tcW w:w="1072" w:type="dxa"/>
            <w:tcBorders>
              <w:top w:val="single" w:sz="8" w:space="0" w:color="000000"/>
              <w:left w:val="nil"/>
              <w:bottom w:val="single" w:sz="8" w:space="0" w:color="000000"/>
              <w:right w:val="single" w:sz="4" w:space="0" w:color="000000"/>
            </w:tcBorders>
            <w:shd w:val="clear" w:color="auto" w:fill="auto"/>
            <w:tcMar>
              <w:left w:w="28" w:type="dxa"/>
              <w:right w:w="28" w:type="dxa"/>
            </w:tcMar>
          </w:tcPr>
          <w:p w14:paraId="00000279" w14:textId="1D1F9EF3" w:rsidR="00294ABB" w:rsidRDefault="00420BFB">
            <w:pPr>
              <w:spacing w:after="0"/>
              <w:jc w:val="center"/>
              <w:rPr>
                <w:color w:val="000000"/>
                <w:sz w:val="18"/>
                <w:szCs w:val="18"/>
              </w:rPr>
            </w:pPr>
            <w:r>
              <w:rPr>
                <w:color w:val="000000"/>
                <w:sz w:val="18"/>
                <w:szCs w:val="18"/>
              </w:rPr>
              <w:t xml:space="preserve">C. </w:t>
            </w:r>
            <w:r w:rsidR="001E0796">
              <w:rPr>
                <w:color w:val="000000"/>
                <w:sz w:val="18"/>
                <w:szCs w:val="18"/>
              </w:rPr>
              <w:br/>
            </w:r>
            <w:r>
              <w:rPr>
                <w:color w:val="000000"/>
                <w:sz w:val="18"/>
                <w:szCs w:val="18"/>
              </w:rPr>
              <w:t>Visual Arts and Crafts</w:t>
            </w:r>
          </w:p>
        </w:tc>
        <w:tc>
          <w:tcPr>
            <w:tcW w:w="1071" w:type="dxa"/>
            <w:tcBorders>
              <w:top w:val="single" w:sz="8" w:space="0" w:color="000000"/>
              <w:left w:val="nil"/>
              <w:bottom w:val="single" w:sz="8" w:space="0" w:color="000000"/>
              <w:right w:val="single" w:sz="4" w:space="0" w:color="000000"/>
            </w:tcBorders>
            <w:shd w:val="clear" w:color="auto" w:fill="auto"/>
            <w:tcMar>
              <w:left w:w="28" w:type="dxa"/>
              <w:right w:w="28" w:type="dxa"/>
            </w:tcMar>
          </w:tcPr>
          <w:p w14:paraId="0000027A" w14:textId="63F65651" w:rsidR="00294ABB" w:rsidRDefault="00420BFB">
            <w:pPr>
              <w:spacing w:after="0"/>
              <w:jc w:val="center"/>
              <w:rPr>
                <w:color w:val="000000"/>
                <w:sz w:val="18"/>
                <w:szCs w:val="18"/>
              </w:rPr>
            </w:pPr>
            <w:r>
              <w:rPr>
                <w:color w:val="000000"/>
                <w:sz w:val="18"/>
                <w:szCs w:val="18"/>
              </w:rPr>
              <w:t xml:space="preserve">D. </w:t>
            </w:r>
            <w:r w:rsidR="001E0796">
              <w:rPr>
                <w:color w:val="000000"/>
                <w:sz w:val="18"/>
                <w:szCs w:val="18"/>
              </w:rPr>
              <w:br/>
            </w:r>
            <w:r>
              <w:rPr>
                <w:color w:val="000000"/>
                <w:sz w:val="18"/>
                <w:szCs w:val="18"/>
              </w:rPr>
              <w:t>Books and Press</w:t>
            </w:r>
          </w:p>
        </w:tc>
        <w:tc>
          <w:tcPr>
            <w:tcW w:w="1072" w:type="dxa"/>
            <w:tcBorders>
              <w:top w:val="single" w:sz="8" w:space="0" w:color="000000"/>
              <w:left w:val="nil"/>
              <w:bottom w:val="single" w:sz="8" w:space="0" w:color="000000"/>
              <w:right w:val="single" w:sz="4" w:space="0" w:color="000000"/>
            </w:tcBorders>
            <w:shd w:val="clear" w:color="auto" w:fill="auto"/>
            <w:tcMar>
              <w:left w:w="28" w:type="dxa"/>
              <w:right w:w="28" w:type="dxa"/>
            </w:tcMar>
          </w:tcPr>
          <w:p w14:paraId="0000027B" w14:textId="5E5C4606" w:rsidR="00294ABB" w:rsidRDefault="00420BFB">
            <w:pPr>
              <w:spacing w:after="0"/>
              <w:jc w:val="center"/>
              <w:rPr>
                <w:color w:val="000000"/>
                <w:sz w:val="18"/>
                <w:szCs w:val="18"/>
              </w:rPr>
            </w:pPr>
            <w:r>
              <w:rPr>
                <w:color w:val="000000"/>
                <w:sz w:val="18"/>
                <w:szCs w:val="18"/>
              </w:rPr>
              <w:t xml:space="preserve">E. </w:t>
            </w:r>
            <w:r w:rsidR="001E0796">
              <w:rPr>
                <w:color w:val="000000"/>
                <w:sz w:val="18"/>
                <w:szCs w:val="18"/>
              </w:rPr>
              <w:br/>
            </w:r>
            <w:r>
              <w:rPr>
                <w:color w:val="000000"/>
                <w:sz w:val="18"/>
                <w:szCs w:val="18"/>
              </w:rPr>
              <w:t>Audio-visual and Interactive Media</w:t>
            </w:r>
          </w:p>
        </w:tc>
        <w:tc>
          <w:tcPr>
            <w:tcW w:w="1071" w:type="dxa"/>
            <w:tcBorders>
              <w:top w:val="single" w:sz="8" w:space="0" w:color="000000"/>
              <w:left w:val="nil"/>
              <w:bottom w:val="single" w:sz="8" w:space="0" w:color="000000"/>
              <w:right w:val="single" w:sz="4" w:space="0" w:color="000000"/>
            </w:tcBorders>
            <w:shd w:val="clear" w:color="auto" w:fill="auto"/>
            <w:tcMar>
              <w:left w:w="28" w:type="dxa"/>
              <w:right w:w="28" w:type="dxa"/>
            </w:tcMar>
          </w:tcPr>
          <w:p w14:paraId="0000027C" w14:textId="4D47E0E0" w:rsidR="00294ABB" w:rsidRDefault="00420BFB">
            <w:pPr>
              <w:spacing w:after="0"/>
              <w:jc w:val="center"/>
              <w:rPr>
                <w:color w:val="000000"/>
                <w:sz w:val="18"/>
                <w:szCs w:val="18"/>
              </w:rPr>
            </w:pPr>
            <w:r>
              <w:rPr>
                <w:color w:val="000000"/>
                <w:sz w:val="18"/>
                <w:szCs w:val="18"/>
              </w:rPr>
              <w:t xml:space="preserve">F. </w:t>
            </w:r>
            <w:r w:rsidR="001E0796">
              <w:rPr>
                <w:color w:val="000000"/>
                <w:sz w:val="18"/>
                <w:szCs w:val="18"/>
              </w:rPr>
              <w:br/>
            </w:r>
            <w:r>
              <w:rPr>
                <w:color w:val="000000"/>
                <w:sz w:val="18"/>
                <w:szCs w:val="18"/>
              </w:rPr>
              <w:t>Design and Creative Services</w:t>
            </w:r>
          </w:p>
        </w:tc>
        <w:tc>
          <w:tcPr>
            <w:tcW w:w="1072" w:type="dxa"/>
            <w:tcBorders>
              <w:top w:val="single" w:sz="8" w:space="0" w:color="000000"/>
              <w:left w:val="nil"/>
              <w:bottom w:val="single" w:sz="8" w:space="0" w:color="000000"/>
              <w:right w:val="single" w:sz="8" w:space="0" w:color="000000"/>
            </w:tcBorders>
            <w:shd w:val="clear" w:color="auto" w:fill="auto"/>
            <w:tcMar>
              <w:left w:w="28" w:type="dxa"/>
              <w:right w:w="28" w:type="dxa"/>
            </w:tcMar>
          </w:tcPr>
          <w:p w14:paraId="7F8995ED" w14:textId="77777777" w:rsidR="000B60AD" w:rsidRDefault="000B60AD">
            <w:pPr>
              <w:spacing w:after="0"/>
              <w:jc w:val="center"/>
              <w:rPr>
                <w:color w:val="000000"/>
                <w:sz w:val="18"/>
                <w:szCs w:val="18"/>
              </w:rPr>
            </w:pPr>
          </w:p>
          <w:p w14:paraId="0000027D" w14:textId="547AA144" w:rsidR="00294ABB" w:rsidRDefault="00420BFB">
            <w:pPr>
              <w:spacing w:after="0"/>
              <w:jc w:val="center"/>
              <w:rPr>
                <w:color w:val="000000"/>
                <w:sz w:val="18"/>
                <w:szCs w:val="18"/>
              </w:rPr>
            </w:pPr>
            <w:r>
              <w:rPr>
                <w:color w:val="000000"/>
                <w:sz w:val="18"/>
                <w:szCs w:val="18"/>
              </w:rPr>
              <w:t>Total cultural trade A to F</w:t>
            </w:r>
          </w:p>
        </w:tc>
      </w:tr>
      <w:tr w:rsidR="00294ABB" w14:paraId="2E11A3D6" w14:textId="77777777" w:rsidTr="00835B56">
        <w:trPr>
          <w:trHeight w:val="290"/>
          <w:jc w:val="center"/>
        </w:trPr>
        <w:tc>
          <w:tcPr>
            <w:tcW w:w="2480" w:type="dxa"/>
            <w:tcBorders>
              <w:top w:val="nil"/>
              <w:left w:val="single" w:sz="8" w:space="0" w:color="000000"/>
              <w:bottom w:val="single" w:sz="4" w:space="0" w:color="000000"/>
              <w:right w:val="single" w:sz="4" w:space="0" w:color="000000"/>
            </w:tcBorders>
            <w:shd w:val="clear" w:color="auto" w:fill="auto"/>
            <w:vAlign w:val="center"/>
          </w:tcPr>
          <w:p w14:paraId="0000027E" w14:textId="77777777" w:rsidR="00294ABB" w:rsidRDefault="00420BFB">
            <w:pPr>
              <w:spacing w:after="0"/>
              <w:jc w:val="left"/>
              <w:rPr>
                <w:b/>
                <w:color w:val="000000"/>
                <w:sz w:val="18"/>
                <w:szCs w:val="18"/>
              </w:rPr>
            </w:pPr>
            <w:r>
              <w:rPr>
                <w:b/>
                <w:color w:val="000000"/>
                <w:sz w:val="18"/>
                <w:szCs w:val="18"/>
              </w:rPr>
              <w:t>2019</w:t>
            </w:r>
          </w:p>
        </w:tc>
        <w:tc>
          <w:tcPr>
            <w:tcW w:w="1071" w:type="dxa"/>
            <w:tcBorders>
              <w:top w:val="nil"/>
              <w:left w:val="nil"/>
              <w:bottom w:val="single" w:sz="4" w:space="0" w:color="000000"/>
              <w:right w:val="single" w:sz="4" w:space="0" w:color="000000"/>
            </w:tcBorders>
            <w:shd w:val="clear" w:color="auto" w:fill="auto"/>
            <w:vAlign w:val="center"/>
          </w:tcPr>
          <w:p w14:paraId="0000027F" w14:textId="77777777" w:rsidR="00294ABB" w:rsidRDefault="00420BFB">
            <w:pPr>
              <w:spacing w:after="0"/>
              <w:jc w:val="center"/>
              <w:rPr>
                <w:color w:val="000000"/>
                <w:sz w:val="18"/>
                <w:szCs w:val="18"/>
              </w:rPr>
            </w:pPr>
            <w:r>
              <w:rPr>
                <w:color w:val="000000"/>
                <w:sz w:val="18"/>
                <w:szCs w:val="18"/>
              </w:rPr>
              <w:t> </w:t>
            </w:r>
          </w:p>
        </w:tc>
        <w:tc>
          <w:tcPr>
            <w:tcW w:w="1071" w:type="dxa"/>
            <w:tcBorders>
              <w:top w:val="nil"/>
              <w:left w:val="nil"/>
              <w:bottom w:val="single" w:sz="4" w:space="0" w:color="000000"/>
              <w:right w:val="single" w:sz="4" w:space="0" w:color="000000"/>
            </w:tcBorders>
            <w:shd w:val="clear" w:color="auto" w:fill="auto"/>
            <w:vAlign w:val="center"/>
          </w:tcPr>
          <w:p w14:paraId="00000280" w14:textId="77777777" w:rsidR="00294ABB" w:rsidRDefault="00420BFB">
            <w:pPr>
              <w:spacing w:after="0"/>
              <w:jc w:val="center"/>
              <w:rPr>
                <w:color w:val="000000"/>
                <w:sz w:val="18"/>
                <w:szCs w:val="18"/>
              </w:rPr>
            </w:pPr>
            <w:r>
              <w:rPr>
                <w:color w:val="000000"/>
                <w:sz w:val="18"/>
                <w:szCs w:val="18"/>
              </w:rPr>
              <w:t> </w:t>
            </w:r>
          </w:p>
        </w:tc>
        <w:tc>
          <w:tcPr>
            <w:tcW w:w="1072" w:type="dxa"/>
            <w:tcBorders>
              <w:top w:val="nil"/>
              <w:left w:val="nil"/>
              <w:bottom w:val="single" w:sz="4" w:space="0" w:color="000000"/>
              <w:right w:val="single" w:sz="4" w:space="0" w:color="000000"/>
            </w:tcBorders>
            <w:shd w:val="clear" w:color="auto" w:fill="auto"/>
            <w:vAlign w:val="center"/>
          </w:tcPr>
          <w:p w14:paraId="00000281" w14:textId="77777777" w:rsidR="00294ABB" w:rsidRDefault="00420BFB">
            <w:pPr>
              <w:spacing w:after="0"/>
              <w:jc w:val="center"/>
              <w:rPr>
                <w:color w:val="000000"/>
                <w:sz w:val="18"/>
                <w:szCs w:val="18"/>
              </w:rPr>
            </w:pPr>
            <w:r>
              <w:rPr>
                <w:color w:val="000000"/>
                <w:sz w:val="18"/>
                <w:szCs w:val="18"/>
              </w:rPr>
              <w:t> </w:t>
            </w:r>
          </w:p>
        </w:tc>
        <w:tc>
          <w:tcPr>
            <w:tcW w:w="1071" w:type="dxa"/>
            <w:tcBorders>
              <w:top w:val="nil"/>
              <w:left w:val="nil"/>
              <w:bottom w:val="single" w:sz="4" w:space="0" w:color="000000"/>
              <w:right w:val="single" w:sz="4" w:space="0" w:color="000000"/>
            </w:tcBorders>
            <w:shd w:val="clear" w:color="auto" w:fill="auto"/>
            <w:vAlign w:val="center"/>
          </w:tcPr>
          <w:p w14:paraId="00000282" w14:textId="77777777" w:rsidR="00294ABB" w:rsidRDefault="00420BFB">
            <w:pPr>
              <w:spacing w:after="0"/>
              <w:jc w:val="center"/>
              <w:rPr>
                <w:color w:val="000000"/>
                <w:sz w:val="18"/>
                <w:szCs w:val="18"/>
              </w:rPr>
            </w:pPr>
            <w:r>
              <w:rPr>
                <w:color w:val="000000"/>
                <w:sz w:val="18"/>
                <w:szCs w:val="18"/>
              </w:rPr>
              <w:t> </w:t>
            </w:r>
          </w:p>
        </w:tc>
        <w:tc>
          <w:tcPr>
            <w:tcW w:w="1072" w:type="dxa"/>
            <w:tcBorders>
              <w:top w:val="nil"/>
              <w:left w:val="nil"/>
              <w:bottom w:val="single" w:sz="4" w:space="0" w:color="000000"/>
              <w:right w:val="single" w:sz="4" w:space="0" w:color="000000"/>
            </w:tcBorders>
            <w:shd w:val="clear" w:color="auto" w:fill="auto"/>
            <w:vAlign w:val="center"/>
          </w:tcPr>
          <w:p w14:paraId="00000283" w14:textId="77777777" w:rsidR="00294ABB" w:rsidRDefault="00420BFB">
            <w:pPr>
              <w:spacing w:after="0"/>
              <w:jc w:val="center"/>
              <w:rPr>
                <w:color w:val="000000"/>
                <w:sz w:val="18"/>
                <w:szCs w:val="18"/>
              </w:rPr>
            </w:pPr>
            <w:r>
              <w:rPr>
                <w:color w:val="000000"/>
                <w:sz w:val="18"/>
                <w:szCs w:val="18"/>
              </w:rPr>
              <w:t> </w:t>
            </w:r>
          </w:p>
        </w:tc>
        <w:tc>
          <w:tcPr>
            <w:tcW w:w="1071" w:type="dxa"/>
            <w:tcBorders>
              <w:top w:val="nil"/>
              <w:left w:val="nil"/>
              <w:bottom w:val="single" w:sz="4" w:space="0" w:color="000000"/>
              <w:right w:val="single" w:sz="4" w:space="0" w:color="000000"/>
            </w:tcBorders>
            <w:shd w:val="clear" w:color="auto" w:fill="auto"/>
            <w:vAlign w:val="center"/>
          </w:tcPr>
          <w:p w14:paraId="00000284" w14:textId="77777777" w:rsidR="00294ABB" w:rsidRDefault="00420BFB">
            <w:pPr>
              <w:spacing w:after="0"/>
              <w:jc w:val="center"/>
              <w:rPr>
                <w:color w:val="000000"/>
                <w:sz w:val="18"/>
                <w:szCs w:val="18"/>
              </w:rPr>
            </w:pPr>
            <w:r>
              <w:rPr>
                <w:color w:val="000000"/>
                <w:sz w:val="18"/>
                <w:szCs w:val="18"/>
              </w:rPr>
              <w:t> </w:t>
            </w:r>
          </w:p>
        </w:tc>
        <w:tc>
          <w:tcPr>
            <w:tcW w:w="1072" w:type="dxa"/>
            <w:tcBorders>
              <w:top w:val="nil"/>
              <w:left w:val="nil"/>
              <w:bottom w:val="single" w:sz="4" w:space="0" w:color="000000"/>
              <w:right w:val="single" w:sz="8" w:space="0" w:color="000000"/>
            </w:tcBorders>
            <w:shd w:val="clear" w:color="auto" w:fill="auto"/>
            <w:vAlign w:val="center"/>
          </w:tcPr>
          <w:p w14:paraId="00000285" w14:textId="77777777" w:rsidR="00294ABB" w:rsidRDefault="00420BFB">
            <w:pPr>
              <w:spacing w:after="0"/>
              <w:jc w:val="center"/>
              <w:rPr>
                <w:color w:val="000000"/>
                <w:sz w:val="18"/>
                <w:szCs w:val="18"/>
              </w:rPr>
            </w:pPr>
            <w:r>
              <w:rPr>
                <w:color w:val="000000"/>
                <w:sz w:val="18"/>
                <w:szCs w:val="18"/>
              </w:rPr>
              <w:t> </w:t>
            </w:r>
          </w:p>
        </w:tc>
      </w:tr>
      <w:tr w:rsidR="00294ABB" w14:paraId="75C71504" w14:textId="77777777" w:rsidTr="00835B56">
        <w:trPr>
          <w:trHeight w:val="290"/>
          <w:jc w:val="center"/>
        </w:trPr>
        <w:tc>
          <w:tcPr>
            <w:tcW w:w="2480" w:type="dxa"/>
            <w:tcBorders>
              <w:top w:val="nil"/>
              <w:left w:val="single" w:sz="8" w:space="0" w:color="000000"/>
              <w:bottom w:val="single" w:sz="4" w:space="0" w:color="000000"/>
              <w:right w:val="single" w:sz="4" w:space="0" w:color="000000"/>
            </w:tcBorders>
            <w:shd w:val="clear" w:color="auto" w:fill="auto"/>
            <w:vAlign w:val="center"/>
          </w:tcPr>
          <w:p w14:paraId="00000286" w14:textId="3C7D067B" w:rsidR="00294ABB" w:rsidRDefault="00420BFB" w:rsidP="00835B56">
            <w:pPr>
              <w:tabs>
                <w:tab w:val="left" w:pos="794"/>
              </w:tabs>
              <w:spacing w:after="0"/>
              <w:jc w:val="left"/>
              <w:rPr>
                <w:color w:val="000000"/>
                <w:sz w:val="18"/>
                <w:szCs w:val="18"/>
              </w:rPr>
            </w:pPr>
            <w:r>
              <w:rPr>
                <w:color w:val="000000"/>
                <w:sz w:val="18"/>
                <w:szCs w:val="18"/>
              </w:rPr>
              <w:t>USMCA</w:t>
            </w:r>
            <w:r w:rsidR="00331A64">
              <w:rPr>
                <w:color w:val="000000"/>
                <w:sz w:val="18"/>
                <w:szCs w:val="18"/>
              </w:rPr>
              <w:tab/>
            </w:r>
            <w:r>
              <w:rPr>
                <w:color w:val="000000"/>
                <w:sz w:val="18"/>
                <w:szCs w:val="18"/>
              </w:rPr>
              <w:t>Cultural exports</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87" w14:textId="77777777" w:rsidR="00294ABB" w:rsidRDefault="00420BFB" w:rsidP="00835B56">
            <w:pPr>
              <w:spacing w:after="0"/>
              <w:jc w:val="right"/>
              <w:rPr>
                <w:color w:val="000000"/>
                <w:sz w:val="18"/>
                <w:szCs w:val="18"/>
              </w:rPr>
            </w:pPr>
            <w:r>
              <w:rPr>
                <w:color w:val="000000"/>
                <w:sz w:val="18"/>
                <w:szCs w:val="18"/>
              </w:rPr>
              <w:t>14.248</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88" w14:textId="77777777" w:rsidR="00294ABB" w:rsidRDefault="00420BFB" w:rsidP="00835B56">
            <w:pPr>
              <w:spacing w:after="0"/>
              <w:jc w:val="right"/>
              <w:rPr>
                <w:color w:val="000000"/>
                <w:sz w:val="18"/>
                <w:szCs w:val="18"/>
              </w:rPr>
            </w:pPr>
            <w:r>
              <w:rPr>
                <w:color w:val="000000"/>
                <w:sz w:val="18"/>
                <w:szCs w:val="18"/>
              </w:rPr>
              <w:t>9.954</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289" w14:textId="77777777" w:rsidR="00294ABB" w:rsidRDefault="00420BFB" w:rsidP="00835B56">
            <w:pPr>
              <w:spacing w:after="0"/>
              <w:jc w:val="right"/>
              <w:rPr>
                <w:color w:val="000000"/>
                <w:sz w:val="18"/>
                <w:szCs w:val="18"/>
              </w:rPr>
            </w:pPr>
            <w:r>
              <w:rPr>
                <w:color w:val="000000"/>
                <w:sz w:val="18"/>
                <w:szCs w:val="18"/>
              </w:rPr>
              <w:t>124.692</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8A" w14:textId="77777777" w:rsidR="00294ABB" w:rsidRDefault="00420BFB" w:rsidP="00835B56">
            <w:pPr>
              <w:spacing w:after="0"/>
              <w:jc w:val="right"/>
              <w:rPr>
                <w:color w:val="000000"/>
                <w:sz w:val="18"/>
                <w:szCs w:val="18"/>
              </w:rPr>
            </w:pPr>
            <w:r>
              <w:rPr>
                <w:color w:val="000000"/>
                <w:sz w:val="18"/>
                <w:szCs w:val="18"/>
              </w:rPr>
              <w:t>0.546</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28B" w14:textId="77777777" w:rsidR="00294ABB" w:rsidRDefault="00420BFB" w:rsidP="00835B56">
            <w:pPr>
              <w:spacing w:after="0"/>
              <w:jc w:val="right"/>
              <w:rPr>
                <w:color w:val="000000"/>
                <w:sz w:val="18"/>
                <w:szCs w:val="18"/>
              </w:rPr>
            </w:pPr>
            <w:r>
              <w:rPr>
                <w:color w:val="000000"/>
                <w:sz w:val="18"/>
                <w:szCs w:val="18"/>
              </w:rPr>
              <w:t>0.000</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8C" w14:textId="77777777" w:rsidR="00294ABB" w:rsidRDefault="00420BFB" w:rsidP="00835B56">
            <w:pPr>
              <w:spacing w:after="0"/>
              <w:jc w:val="right"/>
              <w:rPr>
                <w:color w:val="000000"/>
                <w:sz w:val="18"/>
                <w:szCs w:val="18"/>
              </w:rPr>
            </w:pPr>
            <w:r>
              <w:rPr>
                <w:color w:val="000000"/>
                <w:sz w:val="18"/>
                <w:szCs w:val="18"/>
              </w:rPr>
              <w:t>0.000</w:t>
            </w:r>
          </w:p>
        </w:tc>
        <w:tc>
          <w:tcPr>
            <w:tcW w:w="1072" w:type="dxa"/>
            <w:tcBorders>
              <w:top w:val="nil"/>
              <w:left w:val="nil"/>
              <w:bottom w:val="single" w:sz="4" w:space="0" w:color="000000"/>
              <w:right w:val="single" w:sz="8" w:space="0" w:color="000000"/>
            </w:tcBorders>
            <w:shd w:val="clear" w:color="auto" w:fill="auto"/>
            <w:tcMar>
              <w:right w:w="227" w:type="dxa"/>
            </w:tcMar>
            <w:vAlign w:val="center"/>
          </w:tcPr>
          <w:p w14:paraId="0000028D" w14:textId="77777777" w:rsidR="00294ABB" w:rsidRDefault="00420BFB" w:rsidP="00835B56">
            <w:pPr>
              <w:spacing w:after="0"/>
              <w:jc w:val="right"/>
              <w:rPr>
                <w:color w:val="000000"/>
                <w:sz w:val="18"/>
                <w:szCs w:val="18"/>
              </w:rPr>
            </w:pPr>
            <w:r>
              <w:rPr>
                <w:color w:val="000000"/>
                <w:sz w:val="18"/>
                <w:szCs w:val="18"/>
              </w:rPr>
              <w:t>149.44</w:t>
            </w:r>
          </w:p>
        </w:tc>
      </w:tr>
      <w:tr w:rsidR="00294ABB" w14:paraId="717E3735" w14:textId="77777777" w:rsidTr="00835B56">
        <w:trPr>
          <w:trHeight w:val="290"/>
          <w:jc w:val="center"/>
        </w:trPr>
        <w:tc>
          <w:tcPr>
            <w:tcW w:w="2480" w:type="dxa"/>
            <w:tcBorders>
              <w:top w:val="nil"/>
              <w:left w:val="single" w:sz="8" w:space="0" w:color="000000"/>
              <w:bottom w:val="single" w:sz="4" w:space="0" w:color="000000"/>
              <w:right w:val="single" w:sz="4" w:space="0" w:color="000000"/>
            </w:tcBorders>
            <w:shd w:val="clear" w:color="auto" w:fill="auto"/>
            <w:vAlign w:val="center"/>
          </w:tcPr>
          <w:p w14:paraId="0000028E" w14:textId="046DDE59" w:rsidR="00294ABB" w:rsidRDefault="00331A64" w:rsidP="00835B56">
            <w:pPr>
              <w:tabs>
                <w:tab w:val="left" w:pos="794"/>
              </w:tabs>
              <w:spacing w:after="0"/>
              <w:rPr>
                <w:color w:val="000000"/>
                <w:sz w:val="18"/>
                <w:szCs w:val="18"/>
              </w:rPr>
            </w:pPr>
            <w:r>
              <w:rPr>
                <w:color w:val="000000"/>
                <w:sz w:val="18"/>
                <w:szCs w:val="18"/>
              </w:rPr>
              <w:tab/>
            </w:r>
            <w:r w:rsidR="00420BFB">
              <w:rPr>
                <w:color w:val="000000"/>
                <w:sz w:val="18"/>
                <w:szCs w:val="18"/>
              </w:rPr>
              <w:t>Cultural imports</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8F" w14:textId="77777777" w:rsidR="00294ABB" w:rsidRDefault="00420BFB" w:rsidP="00835B56">
            <w:pPr>
              <w:spacing w:after="0"/>
              <w:jc w:val="right"/>
              <w:rPr>
                <w:color w:val="000000"/>
                <w:sz w:val="18"/>
                <w:szCs w:val="18"/>
              </w:rPr>
            </w:pPr>
            <w:r>
              <w:rPr>
                <w:color w:val="000000"/>
                <w:sz w:val="18"/>
                <w:szCs w:val="18"/>
              </w:rPr>
              <w:t>0.210</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90" w14:textId="77777777" w:rsidR="00294ABB" w:rsidRDefault="00420BFB" w:rsidP="00835B56">
            <w:pPr>
              <w:spacing w:after="0"/>
              <w:jc w:val="right"/>
              <w:rPr>
                <w:color w:val="000000"/>
                <w:sz w:val="18"/>
                <w:szCs w:val="18"/>
              </w:rPr>
            </w:pPr>
            <w:r>
              <w:rPr>
                <w:color w:val="000000"/>
                <w:sz w:val="18"/>
                <w:szCs w:val="18"/>
              </w:rPr>
              <w:t>7.789</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291" w14:textId="77777777" w:rsidR="00294ABB" w:rsidRDefault="00420BFB" w:rsidP="00835B56">
            <w:pPr>
              <w:spacing w:after="0"/>
              <w:jc w:val="right"/>
              <w:rPr>
                <w:color w:val="000000"/>
                <w:sz w:val="18"/>
                <w:szCs w:val="18"/>
              </w:rPr>
            </w:pPr>
            <w:r>
              <w:rPr>
                <w:color w:val="000000"/>
                <w:sz w:val="18"/>
                <w:szCs w:val="18"/>
              </w:rPr>
              <w:t>6.347</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92" w14:textId="77777777" w:rsidR="00294ABB" w:rsidRDefault="00420BFB" w:rsidP="00835B56">
            <w:pPr>
              <w:spacing w:after="0"/>
              <w:jc w:val="right"/>
              <w:rPr>
                <w:color w:val="000000"/>
                <w:sz w:val="18"/>
                <w:szCs w:val="18"/>
              </w:rPr>
            </w:pPr>
            <w:r>
              <w:rPr>
                <w:color w:val="000000"/>
                <w:sz w:val="18"/>
                <w:szCs w:val="18"/>
              </w:rPr>
              <w:t>23.448</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293" w14:textId="77777777" w:rsidR="00294ABB" w:rsidRDefault="00420BFB" w:rsidP="00835B56">
            <w:pPr>
              <w:spacing w:after="0"/>
              <w:jc w:val="right"/>
              <w:rPr>
                <w:color w:val="000000"/>
                <w:sz w:val="18"/>
                <w:szCs w:val="18"/>
              </w:rPr>
            </w:pPr>
            <w:r>
              <w:rPr>
                <w:color w:val="000000"/>
                <w:sz w:val="18"/>
                <w:szCs w:val="18"/>
              </w:rPr>
              <w:t>0.000</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94" w14:textId="77777777" w:rsidR="00294ABB" w:rsidRDefault="00420BFB" w:rsidP="00835B56">
            <w:pPr>
              <w:spacing w:after="0"/>
              <w:jc w:val="right"/>
              <w:rPr>
                <w:color w:val="000000"/>
                <w:sz w:val="18"/>
                <w:szCs w:val="18"/>
              </w:rPr>
            </w:pPr>
            <w:r>
              <w:rPr>
                <w:color w:val="000000"/>
                <w:sz w:val="18"/>
                <w:szCs w:val="18"/>
              </w:rPr>
              <w:t>0.004</w:t>
            </w:r>
          </w:p>
        </w:tc>
        <w:tc>
          <w:tcPr>
            <w:tcW w:w="1072" w:type="dxa"/>
            <w:tcBorders>
              <w:top w:val="nil"/>
              <w:left w:val="nil"/>
              <w:bottom w:val="single" w:sz="4" w:space="0" w:color="000000"/>
              <w:right w:val="single" w:sz="8" w:space="0" w:color="000000"/>
            </w:tcBorders>
            <w:shd w:val="clear" w:color="auto" w:fill="auto"/>
            <w:tcMar>
              <w:right w:w="227" w:type="dxa"/>
            </w:tcMar>
            <w:vAlign w:val="center"/>
          </w:tcPr>
          <w:p w14:paraId="00000295" w14:textId="77777777" w:rsidR="00294ABB" w:rsidRDefault="00420BFB" w:rsidP="00835B56">
            <w:pPr>
              <w:spacing w:after="0"/>
              <w:jc w:val="right"/>
              <w:rPr>
                <w:color w:val="000000"/>
                <w:sz w:val="18"/>
                <w:szCs w:val="18"/>
              </w:rPr>
            </w:pPr>
            <w:r>
              <w:rPr>
                <w:color w:val="000000"/>
                <w:sz w:val="18"/>
                <w:szCs w:val="18"/>
              </w:rPr>
              <w:t>37.798</w:t>
            </w:r>
          </w:p>
        </w:tc>
      </w:tr>
      <w:tr w:rsidR="00294ABB" w14:paraId="1218D6BB" w14:textId="77777777" w:rsidTr="00835B56">
        <w:trPr>
          <w:trHeight w:val="290"/>
          <w:jc w:val="center"/>
        </w:trPr>
        <w:tc>
          <w:tcPr>
            <w:tcW w:w="2480" w:type="dxa"/>
            <w:tcBorders>
              <w:top w:val="nil"/>
              <w:left w:val="single" w:sz="8" w:space="0" w:color="000000"/>
              <w:bottom w:val="single" w:sz="4" w:space="0" w:color="000000"/>
              <w:right w:val="single" w:sz="4" w:space="0" w:color="000000"/>
            </w:tcBorders>
            <w:shd w:val="clear" w:color="auto" w:fill="auto"/>
            <w:vAlign w:val="center"/>
          </w:tcPr>
          <w:p w14:paraId="00000296" w14:textId="77777777" w:rsidR="00294ABB" w:rsidRDefault="00420BFB" w:rsidP="00835B56">
            <w:pPr>
              <w:tabs>
                <w:tab w:val="left" w:pos="794"/>
              </w:tabs>
              <w:spacing w:after="0"/>
              <w:jc w:val="right"/>
              <w:rPr>
                <w:i/>
                <w:color w:val="000000"/>
                <w:sz w:val="18"/>
                <w:szCs w:val="18"/>
              </w:rPr>
            </w:pPr>
            <w:r>
              <w:rPr>
                <w:i/>
                <w:color w:val="000000"/>
                <w:sz w:val="18"/>
                <w:szCs w:val="18"/>
              </w:rPr>
              <w:t>Cultural trade balance</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97" w14:textId="77777777" w:rsidR="00294ABB" w:rsidRDefault="00420BFB" w:rsidP="00835B56">
            <w:pPr>
              <w:spacing w:after="0"/>
              <w:jc w:val="right"/>
              <w:rPr>
                <w:i/>
                <w:color w:val="000000"/>
                <w:sz w:val="18"/>
                <w:szCs w:val="18"/>
              </w:rPr>
            </w:pPr>
            <w:r>
              <w:rPr>
                <w:i/>
                <w:color w:val="000000"/>
                <w:sz w:val="18"/>
                <w:szCs w:val="18"/>
              </w:rPr>
              <w:t>14.038</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98" w14:textId="77777777" w:rsidR="00294ABB" w:rsidRDefault="00420BFB" w:rsidP="00835B56">
            <w:pPr>
              <w:spacing w:after="0"/>
              <w:jc w:val="right"/>
              <w:rPr>
                <w:i/>
                <w:color w:val="000000"/>
                <w:sz w:val="18"/>
                <w:szCs w:val="18"/>
              </w:rPr>
            </w:pPr>
            <w:r>
              <w:rPr>
                <w:i/>
                <w:color w:val="000000"/>
                <w:sz w:val="18"/>
                <w:szCs w:val="18"/>
              </w:rPr>
              <w:t>2.165</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299" w14:textId="77777777" w:rsidR="00294ABB" w:rsidRDefault="00420BFB" w:rsidP="00835B56">
            <w:pPr>
              <w:spacing w:after="0"/>
              <w:jc w:val="right"/>
              <w:rPr>
                <w:i/>
                <w:color w:val="000000"/>
                <w:sz w:val="18"/>
                <w:szCs w:val="18"/>
              </w:rPr>
            </w:pPr>
            <w:r>
              <w:rPr>
                <w:i/>
                <w:color w:val="000000"/>
                <w:sz w:val="18"/>
                <w:szCs w:val="18"/>
              </w:rPr>
              <w:t>118.345</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9A" w14:textId="77777777" w:rsidR="00294ABB" w:rsidRDefault="00420BFB" w:rsidP="00835B56">
            <w:pPr>
              <w:spacing w:after="0"/>
              <w:jc w:val="right"/>
              <w:rPr>
                <w:i/>
                <w:color w:val="000000"/>
                <w:sz w:val="18"/>
                <w:szCs w:val="18"/>
              </w:rPr>
            </w:pPr>
            <w:r>
              <w:rPr>
                <w:i/>
                <w:color w:val="000000"/>
                <w:sz w:val="18"/>
                <w:szCs w:val="18"/>
              </w:rPr>
              <w:t>-22.902</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29B" w14:textId="77777777" w:rsidR="00294ABB" w:rsidRDefault="00420BFB" w:rsidP="00835B56">
            <w:pPr>
              <w:spacing w:after="0"/>
              <w:jc w:val="right"/>
              <w:rPr>
                <w:i/>
                <w:color w:val="000000"/>
                <w:sz w:val="18"/>
                <w:szCs w:val="18"/>
              </w:rPr>
            </w:pPr>
            <w:r>
              <w:rPr>
                <w:i/>
                <w:color w:val="000000"/>
                <w:sz w:val="18"/>
                <w:szCs w:val="18"/>
              </w:rPr>
              <w:t>0.000</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9C" w14:textId="77777777" w:rsidR="00294ABB" w:rsidRDefault="00420BFB" w:rsidP="00835B56">
            <w:pPr>
              <w:spacing w:after="0"/>
              <w:jc w:val="right"/>
              <w:rPr>
                <w:i/>
                <w:color w:val="000000"/>
                <w:sz w:val="18"/>
                <w:szCs w:val="18"/>
              </w:rPr>
            </w:pPr>
            <w:r>
              <w:rPr>
                <w:i/>
                <w:color w:val="000000"/>
                <w:sz w:val="18"/>
                <w:szCs w:val="18"/>
              </w:rPr>
              <w:t>-0.004</w:t>
            </w:r>
          </w:p>
        </w:tc>
        <w:tc>
          <w:tcPr>
            <w:tcW w:w="1072" w:type="dxa"/>
            <w:tcBorders>
              <w:top w:val="nil"/>
              <w:left w:val="nil"/>
              <w:bottom w:val="single" w:sz="4" w:space="0" w:color="000000"/>
              <w:right w:val="single" w:sz="8" w:space="0" w:color="000000"/>
            </w:tcBorders>
            <w:shd w:val="clear" w:color="auto" w:fill="auto"/>
            <w:tcMar>
              <w:right w:w="227" w:type="dxa"/>
            </w:tcMar>
            <w:vAlign w:val="center"/>
          </w:tcPr>
          <w:p w14:paraId="0000029D" w14:textId="77777777" w:rsidR="00294ABB" w:rsidRDefault="00420BFB" w:rsidP="00835B56">
            <w:pPr>
              <w:spacing w:after="0"/>
              <w:jc w:val="right"/>
              <w:rPr>
                <w:i/>
                <w:color w:val="000000"/>
                <w:sz w:val="18"/>
                <w:szCs w:val="18"/>
              </w:rPr>
            </w:pPr>
            <w:r>
              <w:rPr>
                <w:i/>
                <w:color w:val="000000"/>
                <w:sz w:val="18"/>
                <w:szCs w:val="18"/>
              </w:rPr>
              <w:t>111.642</w:t>
            </w:r>
          </w:p>
        </w:tc>
      </w:tr>
      <w:tr w:rsidR="00294ABB" w14:paraId="5DF27BC1" w14:textId="77777777" w:rsidTr="00835B56">
        <w:trPr>
          <w:trHeight w:val="290"/>
          <w:jc w:val="center"/>
        </w:trPr>
        <w:tc>
          <w:tcPr>
            <w:tcW w:w="2480" w:type="dxa"/>
            <w:tcBorders>
              <w:top w:val="nil"/>
              <w:left w:val="single" w:sz="8" w:space="0" w:color="000000"/>
              <w:bottom w:val="single" w:sz="4" w:space="0" w:color="000000"/>
              <w:right w:val="single" w:sz="4" w:space="0" w:color="000000"/>
            </w:tcBorders>
            <w:shd w:val="clear" w:color="auto" w:fill="auto"/>
            <w:vAlign w:val="center"/>
          </w:tcPr>
          <w:p w14:paraId="0000029E" w14:textId="77777777" w:rsidR="00294ABB" w:rsidRDefault="00420BFB" w:rsidP="00835B56">
            <w:pPr>
              <w:tabs>
                <w:tab w:val="left" w:pos="794"/>
              </w:tabs>
              <w:spacing w:after="0"/>
              <w:jc w:val="left"/>
              <w:rPr>
                <w:b/>
                <w:color w:val="000000"/>
                <w:sz w:val="18"/>
                <w:szCs w:val="18"/>
              </w:rPr>
            </w:pPr>
            <w:r>
              <w:rPr>
                <w:b/>
                <w:color w:val="000000"/>
                <w:sz w:val="18"/>
                <w:szCs w:val="18"/>
              </w:rPr>
              <w:t>2020</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9F" w14:textId="77777777" w:rsidR="00294ABB" w:rsidRDefault="00420BFB" w:rsidP="00835B56">
            <w:pPr>
              <w:spacing w:after="0"/>
              <w:jc w:val="right"/>
              <w:rPr>
                <w:color w:val="000000"/>
                <w:sz w:val="18"/>
                <w:szCs w:val="18"/>
              </w:rPr>
            </w:pPr>
            <w:r>
              <w:rPr>
                <w:color w:val="000000"/>
                <w:sz w:val="18"/>
                <w:szCs w:val="18"/>
              </w:rPr>
              <w:t> </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A0" w14:textId="77777777" w:rsidR="00294ABB" w:rsidRDefault="00420BFB" w:rsidP="00835B56">
            <w:pPr>
              <w:spacing w:after="0"/>
              <w:jc w:val="right"/>
              <w:rPr>
                <w:color w:val="000000"/>
                <w:sz w:val="18"/>
                <w:szCs w:val="18"/>
              </w:rPr>
            </w:pPr>
            <w:r>
              <w:rPr>
                <w:color w:val="000000"/>
                <w:sz w:val="18"/>
                <w:szCs w:val="18"/>
              </w:rPr>
              <w:t> </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2A1" w14:textId="77777777" w:rsidR="00294ABB" w:rsidRDefault="00420BFB" w:rsidP="00835B56">
            <w:pPr>
              <w:spacing w:after="0"/>
              <w:jc w:val="right"/>
              <w:rPr>
                <w:color w:val="000000"/>
                <w:sz w:val="18"/>
                <w:szCs w:val="18"/>
              </w:rPr>
            </w:pPr>
            <w:r>
              <w:rPr>
                <w:color w:val="000000"/>
                <w:sz w:val="18"/>
                <w:szCs w:val="18"/>
              </w:rPr>
              <w:t> </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A2" w14:textId="77777777" w:rsidR="00294ABB" w:rsidRDefault="00420BFB" w:rsidP="00835B56">
            <w:pPr>
              <w:spacing w:after="0"/>
              <w:jc w:val="right"/>
              <w:rPr>
                <w:color w:val="000000"/>
                <w:sz w:val="18"/>
                <w:szCs w:val="18"/>
              </w:rPr>
            </w:pPr>
            <w:r>
              <w:rPr>
                <w:color w:val="000000"/>
                <w:sz w:val="18"/>
                <w:szCs w:val="18"/>
              </w:rPr>
              <w:t> </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2A3" w14:textId="77777777" w:rsidR="00294ABB" w:rsidRDefault="00420BFB" w:rsidP="00835B56">
            <w:pPr>
              <w:spacing w:after="0"/>
              <w:jc w:val="right"/>
              <w:rPr>
                <w:color w:val="000000"/>
                <w:sz w:val="18"/>
                <w:szCs w:val="18"/>
              </w:rPr>
            </w:pPr>
            <w:r>
              <w:rPr>
                <w:color w:val="000000"/>
                <w:sz w:val="18"/>
                <w:szCs w:val="18"/>
              </w:rPr>
              <w:t> </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A4" w14:textId="77777777" w:rsidR="00294ABB" w:rsidRDefault="00420BFB" w:rsidP="00835B56">
            <w:pPr>
              <w:spacing w:after="0"/>
              <w:jc w:val="right"/>
              <w:rPr>
                <w:color w:val="000000"/>
                <w:sz w:val="18"/>
                <w:szCs w:val="18"/>
              </w:rPr>
            </w:pPr>
            <w:r>
              <w:rPr>
                <w:color w:val="000000"/>
                <w:sz w:val="18"/>
                <w:szCs w:val="18"/>
              </w:rPr>
              <w:t> </w:t>
            </w:r>
          </w:p>
        </w:tc>
        <w:tc>
          <w:tcPr>
            <w:tcW w:w="1072" w:type="dxa"/>
            <w:tcBorders>
              <w:top w:val="nil"/>
              <w:left w:val="nil"/>
              <w:bottom w:val="single" w:sz="4" w:space="0" w:color="000000"/>
              <w:right w:val="single" w:sz="8" w:space="0" w:color="000000"/>
            </w:tcBorders>
            <w:shd w:val="clear" w:color="auto" w:fill="auto"/>
            <w:tcMar>
              <w:right w:w="227" w:type="dxa"/>
            </w:tcMar>
            <w:vAlign w:val="center"/>
          </w:tcPr>
          <w:p w14:paraId="000002A5" w14:textId="77777777" w:rsidR="00294ABB" w:rsidRDefault="00420BFB" w:rsidP="00835B56">
            <w:pPr>
              <w:spacing w:after="0"/>
              <w:jc w:val="right"/>
              <w:rPr>
                <w:color w:val="000000"/>
                <w:sz w:val="18"/>
                <w:szCs w:val="18"/>
              </w:rPr>
            </w:pPr>
            <w:r>
              <w:rPr>
                <w:color w:val="000000"/>
                <w:sz w:val="18"/>
                <w:szCs w:val="18"/>
              </w:rPr>
              <w:t> </w:t>
            </w:r>
          </w:p>
        </w:tc>
      </w:tr>
      <w:tr w:rsidR="00294ABB" w14:paraId="3A828151" w14:textId="77777777" w:rsidTr="00835B56">
        <w:trPr>
          <w:trHeight w:val="290"/>
          <w:jc w:val="center"/>
        </w:trPr>
        <w:tc>
          <w:tcPr>
            <w:tcW w:w="2480" w:type="dxa"/>
            <w:tcBorders>
              <w:top w:val="nil"/>
              <w:left w:val="single" w:sz="8" w:space="0" w:color="000000"/>
              <w:bottom w:val="single" w:sz="4" w:space="0" w:color="000000"/>
              <w:right w:val="single" w:sz="4" w:space="0" w:color="000000"/>
            </w:tcBorders>
            <w:shd w:val="clear" w:color="auto" w:fill="auto"/>
            <w:vAlign w:val="center"/>
          </w:tcPr>
          <w:p w14:paraId="000002A6" w14:textId="236E7B65" w:rsidR="00294ABB" w:rsidRDefault="00420BFB" w:rsidP="00835B56">
            <w:pPr>
              <w:tabs>
                <w:tab w:val="left" w:pos="794"/>
              </w:tabs>
              <w:spacing w:after="0"/>
              <w:jc w:val="left"/>
              <w:rPr>
                <w:color w:val="000000"/>
                <w:sz w:val="18"/>
                <w:szCs w:val="18"/>
              </w:rPr>
            </w:pPr>
            <w:r>
              <w:rPr>
                <w:color w:val="000000"/>
                <w:sz w:val="18"/>
                <w:szCs w:val="18"/>
              </w:rPr>
              <w:t>USMCA</w:t>
            </w:r>
            <w:r w:rsidR="00331A64">
              <w:rPr>
                <w:color w:val="000000"/>
                <w:sz w:val="18"/>
                <w:szCs w:val="18"/>
              </w:rPr>
              <w:tab/>
            </w:r>
            <w:r>
              <w:rPr>
                <w:color w:val="000000"/>
                <w:sz w:val="18"/>
                <w:szCs w:val="18"/>
              </w:rPr>
              <w:t>Cultural exports</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A7" w14:textId="77777777" w:rsidR="00294ABB" w:rsidRDefault="00420BFB" w:rsidP="00835B56">
            <w:pPr>
              <w:spacing w:after="0"/>
              <w:jc w:val="right"/>
              <w:rPr>
                <w:color w:val="000000"/>
                <w:sz w:val="18"/>
                <w:szCs w:val="18"/>
              </w:rPr>
            </w:pPr>
            <w:r>
              <w:rPr>
                <w:color w:val="000000"/>
                <w:sz w:val="18"/>
                <w:szCs w:val="18"/>
              </w:rPr>
              <w:t>10.393</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A8" w14:textId="77777777" w:rsidR="00294ABB" w:rsidRDefault="00420BFB" w:rsidP="00835B56">
            <w:pPr>
              <w:spacing w:after="0"/>
              <w:jc w:val="right"/>
              <w:rPr>
                <w:color w:val="000000"/>
                <w:sz w:val="18"/>
                <w:szCs w:val="18"/>
              </w:rPr>
            </w:pPr>
            <w:r>
              <w:rPr>
                <w:color w:val="000000"/>
                <w:sz w:val="18"/>
                <w:szCs w:val="18"/>
              </w:rPr>
              <w:t>4.637</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2A9" w14:textId="77777777" w:rsidR="00294ABB" w:rsidRDefault="00420BFB" w:rsidP="00835B56">
            <w:pPr>
              <w:spacing w:after="0"/>
              <w:jc w:val="right"/>
              <w:rPr>
                <w:color w:val="000000"/>
                <w:sz w:val="18"/>
                <w:szCs w:val="18"/>
              </w:rPr>
            </w:pPr>
            <w:r>
              <w:rPr>
                <w:color w:val="000000"/>
                <w:sz w:val="18"/>
                <w:szCs w:val="18"/>
              </w:rPr>
              <w:t>130.552</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AA" w14:textId="77777777" w:rsidR="00294ABB" w:rsidRDefault="00420BFB" w:rsidP="00835B56">
            <w:pPr>
              <w:spacing w:after="0"/>
              <w:jc w:val="right"/>
              <w:rPr>
                <w:color w:val="000000"/>
                <w:sz w:val="18"/>
                <w:szCs w:val="18"/>
              </w:rPr>
            </w:pPr>
            <w:r>
              <w:rPr>
                <w:color w:val="000000"/>
                <w:sz w:val="18"/>
                <w:szCs w:val="18"/>
              </w:rPr>
              <w:t>0.960</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2AB" w14:textId="77777777" w:rsidR="00294ABB" w:rsidRDefault="00420BFB" w:rsidP="00835B56">
            <w:pPr>
              <w:spacing w:after="0"/>
              <w:jc w:val="right"/>
              <w:rPr>
                <w:color w:val="000000"/>
                <w:sz w:val="18"/>
                <w:szCs w:val="18"/>
              </w:rPr>
            </w:pPr>
            <w:r>
              <w:rPr>
                <w:color w:val="000000"/>
                <w:sz w:val="18"/>
                <w:szCs w:val="18"/>
              </w:rPr>
              <w:t>0.000</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AC" w14:textId="77777777" w:rsidR="00294ABB" w:rsidRDefault="00420BFB" w:rsidP="00835B56">
            <w:pPr>
              <w:spacing w:after="0"/>
              <w:jc w:val="right"/>
              <w:rPr>
                <w:color w:val="000000"/>
                <w:sz w:val="18"/>
                <w:szCs w:val="18"/>
              </w:rPr>
            </w:pPr>
            <w:r>
              <w:rPr>
                <w:color w:val="000000"/>
                <w:sz w:val="18"/>
                <w:szCs w:val="18"/>
              </w:rPr>
              <w:t>0.000</w:t>
            </w:r>
          </w:p>
        </w:tc>
        <w:tc>
          <w:tcPr>
            <w:tcW w:w="1072" w:type="dxa"/>
            <w:tcBorders>
              <w:top w:val="nil"/>
              <w:left w:val="nil"/>
              <w:bottom w:val="single" w:sz="4" w:space="0" w:color="000000"/>
              <w:right w:val="single" w:sz="8" w:space="0" w:color="000000"/>
            </w:tcBorders>
            <w:shd w:val="clear" w:color="auto" w:fill="auto"/>
            <w:tcMar>
              <w:right w:w="227" w:type="dxa"/>
            </w:tcMar>
            <w:vAlign w:val="center"/>
          </w:tcPr>
          <w:p w14:paraId="000002AD" w14:textId="77777777" w:rsidR="00294ABB" w:rsidRDefault="00420BFB" w:rsidP="00835B56">
            <w:pPr>
              <w:spacing w:after="0"/>
              <w:jc w:val="right"/>
              <w:rPr>
                <w:color w:val="000000"/>
                <w:sz w:val="18"/>
                <w:szCs w:val="18"/>
              </w:rPr>
            </w:pPr>
            <w:r>
              <w:rPr>
                <w:color w:val="000000"/>
                <w:sz w:val="18"/>
                <w:szCs w:val="18"/>
              </w:rPr>
              <w:t>146.542</w:t>
            </w:r>
          </w:p>
        </w:tc>
      </w:tr>
      <w:tr w:rsidR="00294ABB" w14:paraId="3BA7D0F9" w14:textId="77777777" w:rsidTr="00835B56">
        <w:trPr>
          <w:trHeight w:val="290"/>
          <w:jc w:val="center"/>
        </w:trPr>
        <w:tc>
          <w:tcPr>
            <w:tcW w:w="2480" w:type="dxa"/>
            <w:tcBorders>
              <w:top w:val="nil"/>
              <w:left w:val="single" w:sz="8" w:space="0" w:color="000000"/>
              <w:bottom w:val="single" w:sz="4" w:space="0" w:color="000000"/>
              <w:right w:val="single" w:sz="4" w:space="0" w:color="000000"/>
            </w:tcBorders>
            <w:shd w:val="clear" w:color="auto" w:fill="auto"/>
            <w:vAlign w:val="center"/>
          </w:tcPr>
          <w:p w14:paraId="000002AE" w14:textId="066B193C" w:rsidR="00294ABB" w:rsidRDefault="00331A64" w:rsidP="00835B56">
            <w:pPr>
              <w:tabs>
                <w:tab w:val="left" w:pos="794"/>
              </w:tabs>
              <w:spacing w:after="0"/>
              <w:rPr>
                <w:color w:val="000000"/>
                <w:sz w:val="18"/>
                <w:szCs w:val="18"/>
              </w:rPr>
            </w:pPr>
            <w:r>
              <w:rPr>
                <w:color w:val="000000"/>
                <w:sz w:val="18"/>
                <w:szCs w:val="18"/>
              </w:rPr>
              <w:tab/>
            </w:r>
            <w:r w:rsidR="00420BFB">
              <w:rPr>
                <w:color w:val="000000"/>
                <w:sz w:val="18"/>
                <w:szCs w:val="18"/>
              </w:rPr>
              <w:t>Cultural imports</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AF" w14:textId="77777777" w:rsidR="00294ABB" w:rsidRDefault="00420BFB" w:rsidP="00835B56">
            <w:pPr>
              <w:spacing w:after="0"/>
              <w:jc w:val="right"/>
              <w:rPr>
                <w:color w:val="000000"/>
                <w:sz w:val="18"/>
                <w:szCs w:val="18"/>
              </w:rPr>
            </w:pPr>
            <w:r>
              <w:rPr>
                <w:color w:val="000000"/>
                <w:sz w:val="18"/>
                <w:szCs w:val="18"/>
              </w:rPr>
              <w:t>0.071</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B0" w14:textId="77777777" w:rsidR="00294ABB" w:rsidRDefault="00420BFB" w:rsidP="00835B56">
            <w:pPr>
              <w:spacing w:after="0"/>
              <w:jc w:val="right"/>
              <w:rPr>
                <w:color w:val="000000"/>
                <w:sz w:val="18"/>
                <w:szCs w:val="18"/>
              </w:rPr>
            </w:pPr>
            <w:r>
              <w:rPr>
                <w:color w:val="000000"/>
                <w:sz w:val="18"/>
                <w:szCs w:val="18"/>
              </w:rPr>
              <w:t>5.692</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2B1" w14:textId="77777777" w:rsidR="00294ABB" w:rsidRDefault="00420BFB" w:rsidP="00835B56">
            <w:pPr>
              <w:spacing w:after="0"/>
              <w:jc w:val="right"/>
              <w:rPr>
                <w:color w:val="000000"/>
                <w:sz w:val="18"/>
                <w:szCs w:val="18"/>
              </w:rPr>
            </w:pPr>
            <w:r>
              <w:rPr>
                <w:color w:val="000000"/>
                <w:sz w:val="18"/>
                <w:szCs w:val="18"/>
              </w:rPr>
              <w:t>5.478</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B2" w14:textId="77777777" w:rsidR="00294ABB" w:rsidRDefault="00420BFB" w:rsidP="00835B56">
            <w:pPr>
              <w:spacing w:after="0"/>
              <w:jc w:val="right"/>
              <w:rPr>
                <w:color w:val="000000"/>
                <w:sz w:val="18"/>
                <w:szCs w:val="18"/>
              </w:rPr>
            </w:pPr>
            <w:r>
              <w:rPr>
                <w:color w:val="000000"/>
                <w:sz w:val="18"/>
                <w:szCs w:val="18"/>
              </w:rPr>
              <w:t>13.826</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2B3" w14:textId="77777777" w:rsidR="00294ABB" w:rsidRDefault="00420BFB" w:rsidP="00835B56">
            <w:pPr>
              <w:spacing w:after="0"/>
              <w:jc w:val="right"/>
              <w:rPr>
                <w:color w:val="000000"/>
                <w:sz w:val="18"/>
                <w:szCs w:val="18"/>
              </w:rPr>
            </w:pPr>
            <w:r>
              <w:rPr>
                <w:color w:val="000000"/>
                <w:sz w:val="18"/>
                <w:szCs w:val="18"/>
              </w:rPr>
              <w:t>0.000</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B4" w14:textId="77777777" w:rsidR="00294ABB" w:rsidRDefault="00420BFB" w:rsidP="00835B56">
            <w:pPr>
              <w:spacing w:after="0"/>
              <w:jc w:val="right"/>
              <w:rPr>
                <w:color w:val="000000"/>
                <w:sz w:val="18"/>
                <w:szCs w:val="18"/>
              </w:rPr>
            </w:pPr>
            <w:r>
              <w:rPr>
                <w:color w:val="000000"/>
                <w:sz w:val="18"/>
                <w:szCs w:val="18"/>
              </w:rPr>
              <w:t>0.001</w:t>
            </w:r>
          </w:p>
        </w:tc>
        <w:tc>
          <w:tcPr>
            <w:tcW w:w="1072" w:type="dxa"/>
            <w:tcBorders>
              <w:top w:val="nil"/>
              <w:left w:val="nil"/>
              <w:bottom w:val="single" w:sz="4" w:space="0" w:color="000000"/>
              <w:right w:val="single" w:sz="8" w:space="0" w:color="000000"/>
            </w:tcBorders>
            <w:shd w:val="clear" w:color="auto" w:fill="auto"/>
            <w:tcMar>
              <w:right w:w="227" w:type="dxa"/>
            </w:tcMar>
            <w:vAlign w:val="center"/>
          </w:tcPr>
          <w:p w14:paraId="000002B5" w14:textId="77777777" w:rsidR="00294ABB" w:rsidRDefault="00420BFB" w:rsidP="00835B56">
            <w:pPr>
              <w:spacing w:after="0"/>
              <w:jc w:val="right"/>
              <w:rPr>
                <w:color w:val="000000"/>
                <w:sz w:val="18"/>
                <w:szCs w:val="18"/>
              </w:rPr>
            </w:pPr>
            <w:r>
              <w:rPr>
                <w:color w:val="000000"/>
                <w:sz w:val="18"/>
                <w:szCs w:val="18"/>
              </w:rPr>
              <w:t>25.068</w:t>
            </w:r>
          </w:p>
        </w:tc>
      </w:tr>
      <w:tr w:rsidR="00294ABB" w14:paraId="3008C46A" w14:textId="77777777" w:rsidTr="00835B56">
        <w:trPr>
          <w:trHeight w:val="300"/>
          <w:jc w:val="center"/>
        </w:trPr>
        <w:tc>
          <w:tcPr>
            <w:tcW w:w="2480" w:type="dxa"/>
            <w:tcBorders>
              <w:top w:val="nil"/>
              <w:left w:val="single" w:sz="8" w:space="0" w:color="000000"/>
              <w:bottom w:val="single" w:sz="8" w:space="0" w:color="000000"/>
              <w:right w:val="single" w:sz="4" w:space="0" w:color="000000"/>
            </w:tcBorders>
            <w:shd w:val="clear" w:color="auto" w:fill="auto"/>
            <w:vAlign w:val="center"/>
          </w:tcPr>
          <w:p w14:paraId="000002B6" w14:textId="77777777" w:rsidR="00294ABB" w:rsidRDefault="00420BFB" w:rsidP="00835B56">
            <w:pPr>
              <w:tabs>
                <w:tab w:val="left" w:pos="794"/>
              </w:tabs>
              <w:spacing w:after="0"/>
              <w:jc w:val="right"/>
              <w:rPr>
                <w:i/>
                <w:color w:val="000000"/>
                <w:sz w:val="18"/>
                <w:szCs w:val="18"/>
              </w:rPr>
            </w:pPr>
            <w:r>
              <w:rPr>
                <w:i/>
                <w:color w:val="000000"/>
                <w:sz w:val="18"/>
                <w:szCs w:val="18"/>
              </w:rPr>
              <w:t>Cultural trade balance</w:t>
            </w:r>
          </w:p>
        </w:tc>
        <w:tc>
          <w:tcPr>
            <w:tcW w:w="1071" w:type="dxa"/>
            <w:tcBorders>
              <w:top w:val="nil"/>
              <w:left w:val="nil"/>
              <w:bottom w:val="single" w:sz="8" w:space="0" w:color="000000"/>
              <w:right w:val="single" w:sz="4" w:space="0" w:color="000000"/>
            </w:tcBorders>
            <w:shd w:val="clear" w:color="auto" w:fill="auto"/>
            <w:tcMar>
              <w:right w:w="227" w:type="dxa"/>
            </w:tcMar>
            <w:vAlign w:val="center"/>
          </w:tcPr>
          <w:p w14:paraId="000002B7" w14:textId="77777777" w:rsidR="00294ABB" w:rsidRDefault="00420BFB" w:rsidP="00835B56">
            <w:pPr>
              <w:spacing w:after="0"/>
              <w:jc w:val="right"/>
              <w:rPr>
                <w:i/>
                <w:color w:val="000000"/>
                <w:sz w:val="18"/>
                <w:szCs w:val="18"/>
              </w:rPr>
            </w:pPr>
            <w:r>
              <w:rPr>
                <w:i/>
                <w:color w:val="000000"/>
                <w:sz w:val="18"/>
                <w:szCs w:val="18"/>
              </w:rPr>
              <w:t>10.322</w:t>
            </w:r>
          </w:p>
        </w:tc>
        <w:tc>
          <w:tcPr>
            <w:tcW w:w="1071" w:type="dxa"/>
            <w:tcBorders>
              <w:top w:val="nil"/>
              <w:left w:val="nil"/>
              <w:bottom w:val="single" w:sz="8" w:space="0" w:color="000000"/>
              <w:right w:val="single" w:sz="4" w:space="0" w:color="000000"/>
            </w:tcBorders>
            <w:shd w:val="clear" w:color="auto" w:fill="auto"/>
            <w:tcMar>
              <w:right w:w="227" w:type="dxa"/>
            </w:tcMar>
            <w:vAlign w:val="center"/>
          </w:tcPr>
          <w:p w14:paraId="000002B8" w14:textId="77777777" w:rsidR="00294ABB" w:rsidRDefault="00420BFB" w:rsidP="00835B56">
            <w:pPr>
              <w:spacing w:after="0"/>
              <w:jc w:val="right"/>
              <w:rPr>
                <w:i/>
                <w:color w:val="000000"/>
                <w:sz w:val="18"/>
                <w:szCs w:val="18"/>
              </w:rPr>
            </w:pPr>
            <w:r>
              <w:rPr>
                <w:i/>
                <w:color w:val="000000"/>
                <w:sz w:val="18"/>
                <w:szCs w:val="18"/>
              </w:rPr>
              <w:t>-1.055</w:t>
            </w:r>
          </w:p>
        </w:tc>
        <w:tc>
          <w:tcPr>
            <w:tcW w:w="1072" w:type="dxa"/>
            <w:tcBorders>
              <w:top w:val="nil"/>
              <w:left w:val="nil"/>
              <w:bottom w:val="single" w:sz="8" w:space="0" w:color="000000"/>
              <w:right w:val="single" w:sz="4" w:space="0" w:color="000000"/>
            </w:tcBorders>
            <w:shd w:val="clear" w:color="auto" w:fill="auto"/>
            <w:tcMar>
              <w:right w:w="227" w:type="dxa"/>
            </w:tcMar>
            <w:vAlign w:val="center"/>
          </w:tcPr>
          <w:p w14:paraId="000002B9" w14:textId="77777777" w:rsidR="00294ABB" w:rsidRDefault="00420BFB" w:rsidP="00835B56">
            <w:pPr>
              <w:spacing w:after="0"/>
              <w:jc w:val="right"/>
              <w:rPr>
                <w:i/>
                <w:color w:val="000000"/>
                <w:sz w:val="18"/>
                <w:szCs w:val="18"/>
              </w:rPr>
            </w:pPr>
            <w:r>
              <w:rPr>
                <w:i/>
                <w:color w:val="000000"/>
                <w:sz w:val="18"/>
                <w:szCs w:val="18"/>
              </w:rPr>
              <w:t>125.074</w:t>
            </w:r>
          </w:p>
        </w:tc>
        <w:tc>
          <w:tcPr>
            <w:tcW w:w="1071" w:type="dxa"/>
            <w:tcBorders>
              <w:top w:val="nil"/>
              <w:left w:val="nil"/>
              <w:bottom w:val="single" w:sz="8" w:space="0" w:color="000000"/>
              <w:right w:val="single" w:sz="4" w:space="0" w:color="000000"/>
            </w:tcBorders>
            <w:shd w:val="clear" w:color="auto" w:fill="auto"/>
            <w:tcMar>
              <w:right w:w="227" w:type="dxa"/>
            </w:tcMar>
            <w:vAlign w:val="center"/>
          </w:tcPr>
          <w:p w14:paraId="000002BA" w14:textId="77777777" w:rsidR="00294ABB" w:rsidRDefault="00420BFB" w:rsidP="00835B56">
            <w:pPr>
              <w:spacing w:after="0"/>
              <w:jc w:val="right"/>
              <w:rPr>
                <w:i/>
                <w:color w:val="000000"/>
                <w:sz w:val="18"/>
                <w:szCs w:val="18"/>
              </w:rPr>
            </w:pPr>
            <w:r>
              <w:rPr>
                <w:i/>
                <w:color w:val="000000"/>
                <w:sz w:val="18"/>
                <w:szCs w:val="18"/>
              </w:rPr>
              <w:t>-12.866</w:t>
            </w:r>
          </w:p>
        </w:tc>
        <w:tc>
          <w:tcPr>
            <w:tcW w:w="1072" w:type="dxa"/>
            <w:tcBorders>
              <w:top w:val="nil"/>
              <w:left w:val="nil"/>
              <w:bottom w:val="single" w:sz="8" w:space="0" w:color="000000"/>
              <w:right w:val="single" w:sz="4" w:space="0" w:color="000000"/>
            </w:tcBorders>
            <w:shd w:val="clear" w:color="auto" w:fill="auto"/>
            <w:tcMar>
              <w:right w:w="227" w:type="dxa"/>
            </w:tcMar>
            <w:vAlign w:val="center"/>
          </w:tcPr>
          <w:p w14:paraId="000002BB" w14:textId="77777777" w:rsidR="00294ABB" w:rsidRDefault="00420BFB" w:rsidP="00835B56">
            <w:pPr>
              <w:spacing w:after="0"/>
              <w:jc w:val="right"/>
              <w:rPr>
                <w:i/>
                <w:color w:val="000000"/>
                <w:sz w:val="18"/>
                <w:szCs w:val="18"/>
              </w:rPr>
            </w:pPr>
            <w:r>
              <w:rPr>
                <w:i/>
                <w:color w:val="000000"/>
                <w:sz w:val="18"/>
                <w:szCs w:val="18"/>
              </w:rPr>
              <w:t>0.000</w:t>
            </w:r>
          </w:p>
        </w:tc>
        <w:tc>
          <w:tcPr>
            <w:tcW w:w="1071" w:type="dxa"/>
            <w:tcBorders>
              <w:top w:val="nil"/>
              <w:left w:val="nil"/>
              <w:bottom w:val="single" w:sz="8" w:space="0" w:color="000000"/>
              <w:right w:val="single" w:sz="4" w:space="0" w:color="000000"/>
            </w:tcBorders>
            <w:shd w:val="clear" w:color="auto" w:fill="auto"/>
            <w:tcMar>
              <w:right w:w="227" w:type="dxa"/>
            </w:tcMar>
            <w:vAlign w:val="center"/>
          </w:tcPr>
          <w:p w14:paraId="000002BC" w14:textId="77777777" w:rsidR="00294ABB" w:rsidRDefault="00420BFB" w:rsidP="00835B56">
            <w:pPr>
              <w:spacing w:after="0"/>
              <w:jc w:val="right"/>
              <w:rPr>
                <w:i/>
                <w:color w:val="000000"/>
                <w:sz w:val="18"/>
                <w:szCs w:val="18"/>
              </w:rPr>
            </w:pPr>
            <w:r>
              <w:rPr>
                <w:i/>
                <w:color w:val="000000"/>
                <w:sz w:val="18"/>
                <w:szCs w:val="18"/>
              </w:rPr>
              <w:t>-0.001</w:t>
            </w:r>
          </w:p>
        </w:tc>
        <w:tc>
          <w:tcPr>
            <w:tcW w:w="1072" w:type="dxa"/>
            <w:tcBorders>
              <w:top w:val="nil"/>
              <w:left w:val="nil"/>
              <w:bottom w:val="single" w:sz="8" w:space="0" w:color="000000"/>
              <w:right w:val="single" w:sz="8" w:space="0" w:color="000000"/>
            </w:tcBorders>
            <w:shd w:val="clear" w:color="auto" w:fill="auto"/>
            <w:tcMar>
              <w:right w:w="227" w:type="dxa"/>
            </w:tcMar>
            <w:vAlign w:val="center"/>
          </w:tcPr>
          <w:p w14:paraId="000002BD" w14:textId="77777777" w:rsidR="00294ABB" w:rsidRDefault="00420BFB" w:rsidP="00835B56">
            <w:pPr>
              <w:spacing w:after="0"/>
              <w:jc w:val="right"/>
              <w:rPr>
                <w:i/>
                <w:color w:val="000000"/>
                <w:sz w:val="18"/>
                <w:szCs w:val="18"/>
              </w:rPr>
            </w:pPr>
            <w:r>
              <w:rPr>
                <w:i/>
                <w:color w:val="000000"/>
                <w:sz w:val="18"/>
                <w:szCs w:val="18"/>
              </w:rPr>
              <w:t>121.474</w:t>
            </w:r>
          </w:p>
        </w:tc>
      </w:tr>
      <w:tr w:rsidR="00294ABB" w14:paraId="5B63D5D2" w14:textId="77777777" w:rsidTr="00835B56">
        <w:trPr>
          <w:trHeight w:val="300"/>
          <w:jc w:val="center"/>
        </w:trPr>
        <w:tc>
          <w:tcPr>
            <w:tcW w:w="2480" w:type="dxa"/>
            <w:tcBorders>
              <w:top w:val="nil"/>
              <w:left w:val="single" w:sz="8" w:space="0" w:color="000000"/>
              <w:bottom w:val="nil"/>
              <w:right w:val="single" w:sz="4" w:space="0" w:color="000000"/>
            </w:tcBorders>
            <w:shd w:val="clear" w:color="auto" w:fill="auto"/>
            <w:vAlign w:val="center"/>
          </w:tcPr>
          <w:p w14:paraId="000002BE" w14:textId="77777777" w:rsidR="00294ABB" w:rsidRDefault="00420BFB" w:rsidP="00835B56">
            <w:pPr>
              <w:tabs>
                <w:tab w:val="left" w:pos="794"/>
              </w:tabs>
              <w:spacing w:after="0"/>
              <w:jc w:val="left"/>
              <w:rPr>
                <w:color w:val="000000"/>
                <w:sz w:val="18"/>
                <w:szCs w:val="18"/>
              </w:rPr>
            </w:pPr>
            <w:r>
              <w:rPr>
                <w:color w:val="000000"/>
                <w:sz w:val="18"/>
                <w:szCs w:val="18"/>
              </w:rPr>
              <w:t> </w:t>
            </w:r>
          </w:p>
        </w:tc>
        <w:tc>
          <w:tcPr>
            <w:tcW w:w="1071" w:type="dxa"/>
            <w:tcBorders>
              <w:top w:val="nil"/>
              <w:left w:val="nil"/>
              <w:bottom w:val="nil"/>
              <w:right w:val="single" w:sz="4" w:space="0" w:color="000000"/>
            </w:tcBorders>
            <w:shd w:val="clear" w:color="auto" w:fill="auto"/>
            <w:tcMar>
              <w:right w:w="227" w:type="dxa"/>
            </w:tcMar>
            <w:vAlign w:val="center"/>
          </w:tcPr>
          <w:p w14:paraId="000002BF" w14:textId="77777777" w:rsidR="00294ABB" w:rsidRDefault="00420BFB" w:rsidP="00835B56">
            <w:pPr>
              <w:spacing w:after="0"/>
              <w:jc w:val="right"/>
              <w:rPr>
                <w:color w:val="000000"/>
                <w:sz w:val="18"/>
                <w:szCs w:val="18"/>
              </w:rPr>
            </w:pPr>
            <w:r>
              <w:rPr>
                <w:color w:val="000000"/>
                <w:sz w:val="18"/>
                <w:szCs w:val="18"/>
              </w:rPr>
              <w:t> </w:t>
            </w:r>
          </w:p>
        </w:tc>
        <w:tc>
          <w:tcPr>
            <w:tcW w:w="1071" w:type="dxa"/>
            <w:tcBorders>
              <w:top w:val="nil"/>
              <w:left w:val="nil"/>
              <w:bottom w:val="nil"/>
              <w:right w:val="single" w:sz="4" w:space="0" w:color="000000"/>
            </w:tcBorders>
            <w:shd w:val="clear" w:color="auto" w:fill="auto"/>
            <w:tcMar>
              <w:right w:w="227" w:type="dxa"/>
            </w:tcMar>
            <w:vAlign w:val="center"/>
          </w:tcPr>
          <w:p w14:paraId="000002C0" w14:textId="77777777" w:rsidR="00294ABB" w:rsidRDefault="00420BFB" w:rsidP="00835B56">
            <w:pPr>
              <w:spacing w:after="0"/>
              <w:jc w:val="right"/>
              <w:rPr>
                <w:color w:val="000000"/>
                <w:sz w:val="18"/>
                <w:szCs w:val="18"/>
              </w:rPr>
            </w:pPr>
            <w:r>
              <w:rPr>
                <w:color w:val="000000"/>
                <w:sz w:val="18"/>
                <w:szCs w:val="18"/>
              </w:rPr>
              <w:t> </w:t>
            </w:r>
          </w:p>
        </w:tc>
        <w:tc>
          <w:tcPr>
            <w:tcW w:w="1072" w:type="dxa"/>
            <w:tcBorders>
              <w:top w:val="nil"/>
              <w:left w:val="nil"/>
              <w:bottom w:val="nil"/>
              <w:right w:val="single" w:sz="4" w:space="0" w:color="000000"/>
            </w:tcBorders>
            <w:shd w:val="clear" w:color="auto" w:fill="auto"/>
            <w:tcMar>
              <w:right w:w="227" w:type="dxa"/>
            </w:tcMar>
            <w:vAlign w:val="center"/>
          </w:tcPr>
          <w:p w14:paraId="000002C1" w14:textId="77777777" w:rsidR="00294ABB" w:rsidRDefault="00420BFB" w:rsidP="00835B56">
            <w:pPr>
              <w:spacing w:after="0"/>
              <w:jc w:val="right"/>
              <w:rPr>
                <w:color w:val="000000"/>
                <w:sz w:val="18"/>
                <w:szCs w:val="18"/>
              </w:rPr>
            </w:pPr>
            <w:r>
              <w:rPr>
                <w:color w:val="000000"/>
                <w:sz w:val="18"/>
                <w:szCs w:val="18"/>
              </w:rPr>
              <w:t> </w:t>
            </w:r>
          </w:p>
        </w:tc>
        <w:tc>
          <w:tcPr>
            <w:tcW w:w="1071" w:type="dxa"/>
            <w:tcBorders>
              <w:top w:val="nil"/>
              <w:left w:val="nil"/>
              <w:bottom w:val="nil"/>
              <w:right w:val="single" w:sz="4" w:space="0" w:color="000000"/>
            </w:tcBorders>
            <w:shd w:val="clear" w:color="auto" w:fill="auto"/>
            <w:tcMar>
              <w:right w:w="227" w:type="dxa"/>
            </w:tcMar>
            <w:vAlign w:val="center"/>
          </w:tcPr>
          <w:p w14:paraId="000002C2" w14:textId="77777777" w:rsidR="00294ABB" w:rsidRDefault="00420BFB" w:rsidP="00835B56">
            <w:pPr>
              <w:spacing w:after="0"/>
              <w:jc w:val="right"/>
              <w:rPr>
                <w:color w:val="000000"/>
                <w:sz w:val="18"/>
                <w:szCs w:val="18"/>
              </w:rPr>
            </w:pPr>
            <w:r>
              <w:rPr>
                <w:color w:val="000000"/>
                <w:sz w:val="18"/>
                <w:szCs w:val="18"/>
              </w:rPr>
              <w:t> </w:t>
            </w:r>
          </w:p>
        </w:tc>
        <w:tc>
          <w:tcPr>
            <w:tcW w:w="1072" w:type="dxa"/>
            <w:tcBorders>
              <w:top w:val="nil"/>
              <w:left w:val="nil"/>
              <w:bottom w:val="nil"/>
              <w:right w:val="single" w:sz="4" w:space="0" w:color="000000"/>
            </w:tcBorders>
            <w:shd w:val="clear" w:color="auto" w:fill="auto"/>
            <w:tcMar>
              <w:right w:w="227" w:type="dxa"/>
            </w:tcMar>
            <w:vAlign w:val="center"/>
          </w:tcPr>
          <w:p w14:paraId="000002C3" w14:textId="77777777" w:rsidR="00294ABB" w:rsidRDefault="00420BFB" w:rsidP="00835B56">
            <w:pPr>
              <w:spacing w:after="0"/>
              <w:jc w:val="right"/>
              <w:rPr>
                <w:color w:val="000000"/>
                <w:sz w:val="18"/>
                <w:szCs w:val="18"/>
              </w:rPr>
            </w:pPr>
            <w:r>
              <w:rPr>
                <w:color w:val="000000"/>
                <w:sz w:val="18"/>
                <w:szCs w:val="18"/>
              </w:rPr>
              <w:t> </w:t>
            </w:r>
          </w:p>
        </w:tc>
        <w:tc>
          <w:tcPr>
            <w:tcW w:w="1071" w:type="dxa"/>
            <w:tcBorders>
              <w:top w:val="nil"/>
              <w:left w:val="nil"/>
              <w:bottom w:val="nil"/>
              <w:right w:val="single" w:sz="4" w:space="0" w:color="000000"/>
            </w:tcBorders>
            <w:shd w:val="clear" w:color="auto" w:fill="auto"/>
            <w:tcMar>
              <w:right w:w="227" w:type="dxa"/>
            </w:tcMar>
            <w:vAlign w:val="center"/>
          </w:tcPr>
          <w:p w14:paraId="000002C4" w14:textId="77777777" w:rsidR="00294ABB" w:rsidRDefault="00420BFB" w:rsidP="00835B56">
            <w:pPr>
              <w:spacing w:after="0"/>
              <w:jc w:val="right"/>
              <w:rPr>
                <w:color w:val="000000"/>
                <w:sz w:val="18"/>
                <w:szCs w:val="18"/>
              </w:rPr>
            </w:pPr>
            <w:r>
              <w:rPr>
                <w:color w:val="000000"/>
                <w:sz w:val="18"/>
                <w:szCs w:val="18"/>
              </w:rPr>
              <w:t> </w:t>
            </w:r>
          </w:p>
        </w:tc>
        <w:tc>
          <w:tcPr>
            <w:tcW w:w="1072" w:type="dxa"/>
            <w:tcBorders>
              <w:top w:val="nil"/>
              <w:left w:val="nil"/>
              <w:bottom w:val="nil"/>
              <w:right w:val="single" w:sz="8" w:space="0" w:color="000000"/>
            </w:tcBorders>
            <w:shd w:val="clear" w:color="auto" w:fill="auto"/>
            <w:tcMar>
              <w:right w:w="227" w:type="dxa"/>
            </w:tcMar>
            <w:vAlign w:val="center"/>
          </w:tcPr>
          <w:p w14:paraId="000002C5" w14:textId="77777777" w:rsidR="00294ABB" w:rsidRDefault="00420BFB" w:rsidP="00835B56">
            <w:pPr>
              <w:spacing w:after="0"/>
              <w:jc w:val="right"/>
              <w:rPr>
                <w:color w:val="000000"/>
                <w:sz w:val="18"/>
                <w:szCs w:val="18"/>
              </w:rPr>
            </w:pPr>
            <w:r>
              <w:rPr>
                <w:color w:val="000000"/>
                <w:sz w:val="18"/>
                <w:szCs w:val="18"/>
              </w:rPr>
              <w:t> </w:t>
            </w:r>
          </w:p>
        </w:tc>
      </w:tr>
      <w:tr w:rsidR="00294ABB" w14:paraId="200EC5CA" w14:textId="77777777" w:rsidTr="00835B56">
        <w:trPr>
          <w:trHeight w:val="290"/>
          <w:jc w:val="center"/>
        </w:trPr>
        <w:tc>
          <w:tcPr>
            <w:tcW w:w="2480" w:type="dxa"/>
            <w:tcBorders>
              <w:top w:val="single" w:sz="8" w:space="0" w:color="000000"/>
              <w:left w:val="single" w:sz="8" w:space="0" w:color="000000"/>
              <w:bottom w:val="single" w:sz="4" w:space="0" w:color="000000"/>
              <w:right w:val="single" w:sz="4" w:space="0" w:color="000000"/>
            </w:tcBorders>
            <w:shd w:val="clear" w:color="auto" w:fill="auto"/>
            <w:vAlign w:val="center"/>
          </w:tcPr>
          <w:p w14:paraId="000002C6" w14:textId="77777777" w:rsidR="00294ABB" w:rsidRDefault="00420BFB" w:rsidP="00835B56">
            <w:pPr>
              <w:tabs>
                <w:tab w:val="left" w:pos="794"/>
              </w:tabs>
              <w:spacing w:after="0"/>
              <w:jc w:val="left"/>
              <w:rPr>
                <w:b/>
                <w:color w:val="000000"/>
                <w:sz w:val="18"/>
                <w:szCs w:val="18"/>
              </w:rPr>
            </w:pPr>
            <w:r>
              <w:rPr>
                <w:b/>
                <w:color w:val="000000"/>
                <w:sz w:val="18"/>
                <w:szCs w:val="18"/>
              </w:rPr>
              <w:t>2019</w:t>
            </w:r>
          </w:p>
        </w:tc>
        <w:tc>
          <w:tcPr>
            <w:tcW w:w="1071" w:type="dxa"/>
            <w:tcBorders>
              <w:top w:val="single" w:sz="8" w:space="0" w:color="000000"/>
              <w:left w:val="nil"/>
              <w:bottom w:val="single" w:sz="4" w:space="0" w:color="000000"/>
              <w:right w:val="single" w:sz="4" w:space="0" w:color="000000"/>
            </w:tcBorders>
            <w:shd w:val="clear" w:color="auto" w:fill="auto"/>
            <w:tcMar>
              <w:right w:w="227" w:type="dxa"/>
            </w:tcMar>
            <w:vAlign w:val="center"/>
          </w:tcPr>
          <w:p w14:paraId="000002C7" w14:textId="77777777" w:rsidR="00294ABB" w:rsidRDefault="00420BFB" w:rsidP="00835B56">
            <w:pPr>
              <w:spacing w:after="0"/>
              <w:jc w:val="right"/>
              <w:rPr>
                <w:color w:val="000000"/>
                <w:sz w:val="18"/>
                <w:szCs w:val="18"/>
              </w:rPr>
            </w:pPr>
            <w:r>
              <w:rPr>
                <w:color w:val="000000"/>
                <w:sz w:val="18"/>
                <w:szCs w:val="18"/>
              </w:rPr>
              <w:t> </w:t>
            </w:r>
          </w:p>
        </w:tc>
        <w:tc>
          <w:tcPr>
            <w:tcW w:w="1071" w:type="dxa"/>
            <w:tcBorders>
              <w:top w:val="single" w:sz="8" w:space="0" w:color="000000"/>
              <w:left w:val="nil"/>
              <w:bottom w:val="single" w:sz="4" w:space="0" w:color="000000"/>
              <w:right w:val="single" w:sz="4" w:space="0" w:color="000000"/>
            </w:tcBorders>
            <w:shd w:val="clear" w:color="auto" w:fill="auto"/>
            <w:tcMar>
              <w:right w:w="227" w:type="dxa"/>
            </w:tcMar>
            <w:vAlign w:val="center"/>
          </w:tcPr>
          <w:p w14:paraId="000002C8" w14:textId="77777777" w:rsidR="00294ABB" w:rsidRDefault="00420BFB" w:rsidP="00835B56">
            <w:pPr>
              <w:spacing w:after="0"/>
              <w:jc w:val="right"/>
              <w:rPr>
                <w:color w:val="000000"/>
                <w:sz w:val="18"/>
                <w:szCs w:val="18"/>
              </w:rPr>
            </w:pPr>
            <w:r>
              <w:rPr>
                <w:color w:val="000000"/>
                <w:sz w:val="18"/>
                <w:szCs w:val="18"/>
              </w:rPr>
              <w:t> </w:t>
            </w:r>
          </w:p>
        </w:tc>
        <w:tc>
          <w:tcPr>
            <w:tcW w:w="1072" w:type="dxa"/>
            <w:tcBorders>
              <w:top w:val="single" w:sz="8" w:space="0" w:color="000000"/>
              <w:left w:val="nil"/>
              <w:bottom w:val="single" w:sz="4" w:space="0" w:color="000000"/>
              <w:right w:val="single" w:sz="4" w:space="0" w:color="000000"/>
            </w:tcBorders>
            <w:shd w:val="clear" w:color="auto" w:fill="auto"/>
            <w:tcMar>
              <w:right w:w="227" w:type="dxa"/>
            </w:tcMar>
            <w:vAlign w:val="center"/>
          </w:tcPr>
          <w:p w14:paraId="000002C9" w14:textId="77777777" w:rsidR="00294ABB" w:rsidRDefault="00420BFB" w:rsidP="00835B56">
            <w:pPr>
              <w:spacing w:after="0"/>
              <w:jc w:val="right"/>
              <w:rPr>
                <w:color w:val="000000"/>
                <w:sz w:val="18"/>
                <w:szCs w:val="18"/>
              </w:rPr>
            </w:pPr>
            <w:r>
              <w:rPr>
                <w:color w:val="000000"/>
                <w:sz w:val="18"/>
                <w:szCs w:val="18"/>
              </w:rPr>
              <w:t> </w:t>
            </w:r>
          </w:p>
        </w:tc>
        <w:tc>
          <w:tcPr>
            <w:tcW w:w="1071" w:type="dxa"/>
            <w:tcBorders>
              <w:top w:val="single" w:sz="8" w:space="0" w:color="000000"/>
              <w:left w:val="nil"/>
              <w:bottom w:val="single" w:sz="4" w:space="0" w:color="000000"/>
              <w:right w:val="single" w:sz="4" w:space="0" w:color="000000"/>
            </w:tcBorders>
            <w:shd w:val="clear" w:color="auto" w:fill="auto"/>
            <w:tcMar>
              <w:right w:w="227" w:type="dxa"/>
            </w:tcMar>
            <w:vAlign w:val="center"/>
          </w:tcPr>
          <w:p w14:paraId="000002CA" w14:textId="77777777" w:rsidR="00294ABB" w:rsidRDefault="00420BFB" w:rsidP="00835B56">
            <w:pPr>
              <w:spacing w:after="0"/>
              <w:jc w:val="right"/>
              <w:rPr>
                <w:color w:val="000000"/>
                <w:sz w:val="18"/>
                <w:szCs w:val="18"/>
              </w:rPr>
            </w:pPr>
            <w:r>
              <w:rPr>
                <w:color w:val="000000"/>
                <w:sz w:val="18"/>
                <w:szCs w:val="18"/>
              </w:rPr>
              <w:t> </w:t>
            </w:r>
          </w:p>
        </w:tc>
        <w:tc>
          <w:tcPr>
            <w:tcW w:w="1072" w:type="dxa"/>
            <w:tcBorders>
              <w:top w:val="single" w:sz="8" w:space="0" w:color="000000"/>
              <w:left w:val="nil"/>
              <w:bottom w:val="single" w:sz="4" w:space="0" w:color="000000"/>
              <w:right w:val="single" w:sz="4" w:space="0" w:color="000000"/>
            </w:tcBorders>
            <w:shd w:val="clear" w:color="auto" w:fill="auto"/>
            <w:tcMar>
              <w:right w:w="227" w:type="dxa"/>
            </w:tcMar>
            <w:vAlign w:val="center"/>
          </w:tcPr>
          <w:p w14:paraId="000002CB" w14:textId="77777777" w:rsidR="00294ABB" w:rsidRDefault="00420BFB" w:rsidP="00835B56">
            <w:pPr>
              <w:spacing w:after="0"/>
              <w:jc w:val="right"/>
              <w:rPr>
                <w:color w:val="000000"/>
                <w:sz w:val="18"/>
                <w:szCs w:val="18"/>
              </w:rPr>
            </w:pPr>
            <w:r>
              <w:rPr>
                <w:color w:val="000000"/>
                <w:sz w:val="18"/>
                <w:szCs w:val="18"/>
              </w:rPr>
              <w:t> </w:t>
            </w:r>
          </w:p>
        </w:tc>
        <w:tc>
          <w:tcPr>
            <w:tcW w:w="1071" w:type="dxa"/>
            <w:tcBorders>
              <w:top w:val="single" w:sz="8" w:space="0" w:color="000000"/>
              <w:left w:val="nil"/>
              <w:bottom w:val="single" w:sz="4" w:space="0" w:color="000000"/>
              <w:right w:val="single" w:sz="4" w:space="0" w:color="000000"/>
            </w:tcBorders>
            <w:shd w:val="clear" w:color="auto" w:fill="auto"/>
            <w:tcMar>
              <w:right w:w="227" w:type="dxa"/>
            </w:tcMar>
            <w:vAlign w:val="center"/>
          </w:tcPr>
          <w:p w14:paraId="000002CC" w14:textId="77777777" w:rsidR="00294ABB" w:rsidRDefault="00420BFB" w:rsidP="00835B56">
            <w:pPr>
              <w:spacing w:after="0"/>
              <w:jc w:val="right"/>
              <w:rPr>
                <w:color w:val="000000"/>
                <w:sz w:val="18"/>
                <w:szCs w:val="18"/>
              </w:rPr>
            </w:pPr>
            <w:r>
              <w:rPr>
                <w:color w:val="000000"/>
                <w:sz w:val="18"/>
                <w:szCs w:val="18"/>
              </w:rPr>
              <w:t> </w:t>
            </w:r>
          </w:p>
        </w:tc>
        <w:tc>
          <w:tcPr>
            <w:tcW w:w="1072" w:type="dxa"/>
            <w:tcBorders>
              <w:top w:val="single" w:sz="8" w:space="0" w:color="000000"/>
              <w:left w:val="nil"/>
              <w:bottom w:val="single" w:sz="4" w:space="0" w:color="000000"/>
              <w:right w:val="single" w:sz="8" w:space="0" w:color="000000"/>
            </w:tcBorders>
            <w:shd w:val="clear" w:color="auto" w:fill="auto"/>
            <w:tcMar>
              <w:right w:w="227" w:type="dxa"/>
            </w:tcMar>
            <w:vAlign w:val="center"/>
          </w:tcPr>
          <w:p w14:paraId="000002CD" w14:textId="77777777" w:rsidR="00294ABB" w:rsidRDefault="00420BFB" w:rsidP="00835B56">
            <w:pPr>
              <w:spacing w:after="0"/>
              <w:jc w:val="right"/>
              <w:rPr>
                <w:color w:val="000000"/>
                <w:sz w:val="18"/>
                <w:szCs w:val="18"/>
              </w:rPr>
            </w:pPr>
            <w:r>
              <w:rPr>
                <w:color w:val="000000"/>
                <w:sz w:val="18"/>
                <w:szCs w:val="18"/>
              </w:rPr>
              <w:t> </w:t>
            </w:r>
          </w:p>
        </w:tc>
      </w:tr>
      <w:tr w:rsidR="00294ABB" w14:paraId="71C68A75" w14:textId="77777777" w:rsidTr="00835B56">
        <w:trPr>
          <w:trHeight w:val="290"/>
          <w:jc w:val="center"/>
        </w:trPr>
        <w:tc>
          <w:tcPr>
            <w:tcW w:w="2480" w:type="dxa"/>
            <w:tcBorders>
              <w:top w:val="nil"/>
              <w:left w:val="single" w:sz="8" w:space="0" w:color="000000"/>
              <w:bottom w:val="single" w:sz="4" w:space="0" w:color="000000"/>
              <w:right w:val="single" w:sz="4" w:space="0" w:color="000000"/>
            </w:tcBorders>
            <w:shd w:val="clear" w:color="auto" w:fill="auto"/>
            <w:vAlign w:val="center"/>
          </w:tcPr>
          <w:p w14:paraId="000002CE" w14:textId="60809BF2" w:rsidR="00294ABB" w:rsidRDefault="00420BFB" w:rsidP="00835B56">
            <w:pPr>
              <w:tabs>
                <w:tab w:val="left" w:pos="794"/>
              </w:tabs>
              <w:spacing w:after="0"/>
              <w:jc w:val="left"/>
              <w:rPr>
                <w:color w:val="000000"/>
                <w:sz w:val="18"/>
                <w:szCs w:val="18"/>
              </w:rPr>
            </w:pPr>
            <w:r>
              <w:rPr>
                <w:color w:val="000000"/>
                <w:sz w:val="18"/>
                <w:szCs w:val="18"/>
              </w:rPr>
              <w:t>SADC</w:t>
            </w:r>
            <w:r w:rsidR="00331A64">
              <w:rPr>
                <w:color w:val="000000"/>
                <w:sz w:val="18"/>
                <w:szCs w:val="18"/>
              </w:rPr>
              <w:tab/>
            </w:r>
            <w:r>
              <w:rPr>
                <w:color w:val="000000"/>
                <w:sz w:val="18"/>
                <w:szCs w:val="18"/>
              </w:rPr>
              <w:t>Cultural exports</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CF" w14:textId="77777777" w:rsidR="00294ABB" w:rsidRDefault="00420BFB" w:rsidP="00835B56">
            <w:pPr>
              <w:spacing w:after="0"/>
              <w:jc w:val="right"/>
              <w:rPr>
                <w:color w:val="000000"/>
                <w:sz w:val="18"/>
                <w:szCs w:val="18"/>
              </w:rPr>
            </w:pPr>
            <w:r>
              <w:rPr>
                <w:color w:val="000000"/>
                <w:sz w:val="18"/>
                <w:szCs w:val="18"/>
              </w:rPr>
              <w:t>0.122</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D0" w14:textId="77777777" w:rsidR="00294ABB" w:rsidRDefault="00420BFB" w:rsidP="00835B56">
            <w:pPr>
              <w:spacing w:after="0"/>
              <w:jc w:val="right"/>
              <w:rPr>
                <w:color w:val="000000"/>
                <w:sz w:val="18"/>
                <w:szCs w:val="18"/>
              </w:rPr>
            </w:pPr>
            <w:r>
              <w:rPr>
                <w:color w:val="000000"/>
                <w:sz w:val="18"/>
                <w:szCs w:val="18"/>
              </w:rPr>
              <w:t>9.947</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2D1" w14:textId="77777777" w:rsidR="00294ABB" w:rsidRDefault="00420BFB" w:rsidP="00835B56">
            <w:pPr>
              <w:spacing w:after="0"/>
              <w:jc w:val="right"/>
              <w:rPr>
                <w:color w:val="000000"/>
                <w:sz w:val="18"/>
                <w:szCs w:val="18"/>
              </w:rPr>
            </w:pPr>
            <w:r>
              <w:rPr>
                <w:color w:val="000000"/>
                <w:sz w:val="18"/>
                <w:szCs w:val="18"/>
              </w:rPr>
              <w:t>18.036</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D2" w14:textId="77777777" w:rsidR="00294ABB" w:rsidRDefault="00420BFB" w:rsidP="00835B56">
            <w:pPr>
              <w:spacing w:after="0"/>
              <w:jc w:val="right"/>
              <w:rPr>
                <w:color w:val="000000"/>
                <w:sz w:val="18"/>
                <w:szCs w:val="18"/>
              </w:rPr>
            </w:pPr>
            <w:r>
              <w:rPr>
                <w:color w:val="000000"/>
                <w:sz w:val="18"/>
                <w:szCs w:val="18"/>
              </w:rPr>
              <w:t>47.809</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2D3" w14:textId="77777777" w:rsidR="00294ABB" w:rsidRDefault="00420BFB" w:rsidP="00835B56">
            <w:pPr>
              <w:spacing w:after="0"/>
              <w:jc w:val="right"/>
              <w:rPr>
                <w:color w:val="000000"/>
                <w:sz w:val="18"/>
                <w:szCs w:val="18"/>
              </w:rPr>
            </w:pPr>
            <w:r>
              <w:rPr>
                <w:color w:val="000000"/>
                <w:sz w:val="18"/>
                <w:szCs w:val="18"/>
              </w:rPr>
              <w:t>0.000</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D4" w14:textId="77777777" w:rsidR="00294ABB" w:rsidRDefault="00420BFB" w:rsidP="00835B56">
            <w:pPr>
              <w:spacing w:after="0"/>
              <w:jc w:val="right"/>
              <w:rPr>
                <w:color w:val="000000"/>
                <w:sz w:val="18"/>
                <w:szCs w:val="18"/>
              </w:rPr>
            </w:pPr>
            <w:r>
              <w:rPr>
                <w:color w:val="000000"/>
                <w:sz w:val="18"/>
                <w:szCs w:val="18"/>
              </w:rPr>
              <w:t>0.014</w:t>
            </w:r>
          </w:p>
        </w:tc>
        <w:tc>
          <w:tcPr>
            <w:tcW w:w="1072" w:type="dxa"/>
            <w:tcBorders>
              <w:top w:val="nil"/>
              <w:left w:val="nil"/>
              <w:bottom w:val="single" w:sz="4" w:space="0" w:color="000000"/>
              <w:right w:val="single" w:sz="8" w:space="0" w:color="000000"/>
            </w:tcBorders>
            <w:shd w:val="clear" w:color="auto" w:fill="auto"/>
            <w:tcMar>
              <w:right w:w="227" w:type="dxa"/>
            </w:tcMar>
            <w:vAlign w:val="center"/>
          </w:tcPr>
          <w:p w14:paraId="000002D5" w14:textId="77777777" w:rsidR="00294ABB" w:rsidRDefault="00420BFB" w:rsidP="00835B56">
            <w:pPr>
              <w:spacing w:after="0"/>
              <w:jc w:val="right"/>
              <w:rPr>
                <w:color w:val="000000"/>
                <w:sz w:val="18"/>
                <w:szCs w:val="18"/>
              </w:rPr>
            </w:pPr>
            <w:r>
              <w:rPr>
                <w:color w:val="000000"/>
                <w:sz w:val="18"/>
                <w:szCs w:val="18"/>
              </w:rPr>
              <w:t>75.928</w:t>
            </w:r>
          </w:p>
        </w:tc>
      </w:tr>
      <w:tr w:rsidR="00294ABB" w14:paraId="68BA8D8F" w14:textId="77777777" w:rsidTr="00835B56">
        <w:trPr>
          <w:trHeight w:val="290"/>
          <w:jc w:val="center"/>
        </w:trPr>
        <w:tc>
          <w:tcPr>
            <w:tcW w:w="2480" w:type="dxa"/>
            <w:tcBorders>
              <w:top w:val="nil"/>
              <w:left w:val="single" w:sz="8" w:space="0" w:color="000000"/>
              <w:bottom w:val="single" w:sz="4" w:space="0" w:color="000000"/>
              <w:right w:val="single" w:sz="4" w:space="0" w:color="000000"/>
            </w:tcBorders>
            <w:shd w:val="clear" w:color="auto" w:fill="auto"/>
            <w:vAlign w:val="center"/>
          </w:tcPr>
          <w:p w14:paraId="000002D6" w14:textId="7EEB8CB4" w:rsidR="00294ABB" w:rsidRDefault="00331A64" w:rsidP="00835B56">
            <w:pPr>
              <w:tabs>
                <w:tab w:val="left" w:pos="794"/>
              </w:tabs>
              <w:spacing w:after="0"/>
              <w:rPr>
                <w:color w:val="000000"/>
                <w:sz w:val="18"/>
                <w:szCs w:val="18"/>
              </w:rPr>
            </w:pPr>
            <w:r>
              <w:rPr>
                <w:color w:val="000000"/>
                <w:sz w:val="18"/>
                <w:szCs w:val="18"/>
              </w:rPr>
              <w:tab/>
            </w:r>
            <w:r w:rsidR="00420BFB">
              <w:rPr>
                <w:color w:val="000000"/>
                <w:sz w:val="18"/>
                <w:szCs w:val="18"/>
              </w:rPr>
              <w:t>Cultural imports</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D7" w14:textId="77777777" w:rsidR="00294ABB" w:rsidRDefault="00420BFB" w:rsidP="00835B56">
            <w:pPr>
              <w:spacing w:after="0"/>
              <w:jc w:val="right"/>
              <w:rPr>
                <w:color w:val="000000"/>
                <w:sz w:val="18"/>
                <w:szCs w:val="18"/>
              </w:rPr>
            </w:pPr>
            <w:r>
              <w:rPr>
                <w:color w:val="000000"/>
                <w:sz w:val="18"/>
                <w:szCs w:val="18"/>
              </w:rPr>
              <w:t>0.215</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D8" w14:textId="77777777" w:rsidR="00294ABB" w:rsidRDefault="00420BFB" w:rsidP="00835B56">
            <w:pPr>
              <w:spacing w:after="0"/>
              <w:jc w:val="right"/>
              <w:rPr>
                <w:color w:val="000000"/>
                <w:sz w:val="18"/>
                <w:szCs w:val="18"/>
              </w:rPr>
            </w:pPr>
            <w:r>
              <w:rPr>
                <w:color w:val="000000"/>
                <w:sz w:val="18"/>
                <w:szCs w:val="18"/>
              </w:rPr>
              <w:t>0.082</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2D9" w14:textId="77777777" w:rsidR="00294ABB" w:rsidRDefault="00420BFB" w:rsidP="00835B56">
            <w:pPr>
              <w:spacing w:after="0"/>
              <w:jc w:val="right"/>
              <w:rPr>
                <w:color w:val="000000"/>
                <w:sz w:val="18"/>
                <w:szCs w:val="18"/>
              </w:rPr>
            </w:pPr>
            <w:r>
              <w:rPr>
                <w:color w:val="000000"/>
                <w:sz w:val="18"/>
                <w:szCs w:val="18"/>
              </w:rPr>
              <w:t>5.473</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DA" w14:textId="77777777" w:rsidR="00294ABB" w:rsidRDefault="00420BFB" w:rsidP="00835B56">
            <w:pPr>
              <w:spacing w:after="0"/>
              <w:jc w:val="right"/>
              <w:rPr>
                <w:color w:val="000000"/>
                <w:sz w:val="18"/>
                <w:szCs w:val="18"/>
              </w:rPr>
            </w:pPr>
            <w:r>
              <w:rPr>
                <w:color w:val="000000"/>
                <w:sz w:val="18"/>
                <w:szCs w:val="18"/>
              </w:rPr>
              <w:t>7.816</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2DB" w14:textId="77777777" w:rsidR="00294ABB" w:rsidRDefault="00420BFB" w:rsidP="00835B56">
            <w:pPr>
              <w:spacing w:after="0"/>
              <w:jc w:val="right"/>
              <w:rPr>
                <w:color w:val="000000"/>
                <w:sz w:val="18"/>
                <w:szCs w:val="18"/>
              </w:rPr>
            </w:pPr>
            <w:r>
              <w:rPr>
                <w:color w:val="000000"/>
                <w:sz w:val="18"/>
                <w:szCs w:val="18"/>
              </w:rPr>
              <w:t>0.000</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DC" w14:textId="77777777" w:rsidR="00294ABB" w:rsidRDefault="00420BFB" w:rsidP="00835B56">
            <w:pPr>
              <w:spacing w:after="0"/>
              <w:jc w:val="right"/>
              <w:rPr>
                <w:color w:val="000000"/>
                <w:sz w:val="18"/>
                <w:szCs w:val="18"/>
              </w:rPr>
            </w:pPr>
            <w:r>
              <w:rPr>
                <w:color w:val="000000"/>
                <w:sz w:val="18"/>
                <w:szCs w:val="18"/>
              </w:rPr>
              <w:t>0.000</w:t>
            </w:r>
          </w:p>
        </w:tc>
        <w:tc>
          <w:tcPr>
            <w:tcW w:w="1072" w:type="dxa"/>
            <w:tcBorders>
              <w:top w:val="nil"/>
              <w:left w:val="nil"/>
              <w:bottom w:val="single" w:sz="4" w:space="0" w:color="000000"/>
              <w:right w:val="single" w:sz="8" w:space="0" w:color="000000"/>
            </w:tcBorders>
            <w:shd w:val="clear" w:color="auto" w:fill="auto"/>
            <w:tcMar>
              <w:right w:w="227" w:type="dxa"/>
            </w:tcMar>
            <w:vAlign w:val="center"/>
          </w:tcPr>
          <w:p w14:paraId="000002DD" w14:textId="77777777" w:rsidR="00294ABB" w:rsidRDefault="00420BFB" w:rsidP="00835B56">
            <w:pPr>
              <w:spacing w:after="0"/>
              <w:jc w:val="right"/>
              <w:rPr>
                <w:color w:val="000000"/>
                <w:sz w:val="18"/>
                <w:szCs w:val="18"/>
              </w:rPr>
            </w:pPr>
            <w:r>
              <w:rPr>
                <w:color w:val="000000"/>
                <w:sz w:val="18"/>
                <w:szCs w:val="18"/>
              </w:rPr>
              <w:t>13.586</w:t>
            </w:r>
          </w:p>
        </w:tc>
      </w:tr>
      <w:tr w:rsidR="00294ABB" w14:paraId="57D585E2" w14:textId="77777777" w:rsidTr="00835B56">
        <w:trPr>
          <w:trHeight w:val="290"/>
          <w:jc w:val="center"/>
        </w:trPr>
        <w:tc>
          <w:tcPr>
            <w:tcW w:w="2480" w:type="dxa"/>
            <w:tcBorders>
              <w:top w:val="nil"/>
              <w:left w:val="single" w:sz="8" w:space="0" w:color="000000"/>
              <w:bottom w:val="single" w:sz="4" w:space="0" w:color="000000"/>
              <w:right w:val="single" w:sz="4" w:space="0" w:color="000000"/>
            </w:tcBorders>
            <w:shd w:val="clear" w:color="auto" w:fill="auto"/>
            <w:vAlign w:val="center"/>
          </w:tcPr>
          <w:p w14:paraId="000002DE" w14:textId="77777777" w:rsidR="00294ABB" w:rsidRDefault="00420BFB" w:rsidP="00835B56">
            <w:pPr>
              <w:tabs>
                <w:tab w:val="left" w:pos="794"/>
              </w:tabs>
              <w:spacing w:after="0"/>
              <w:jc w:val="right"/>
              <w:rPr>
                <w:i/>
                <w:color w:val="000000"/>
                <w:sz w:val="18"/>
                <w:szCs w:val="18"/>
              </w:rPr>
            </w:pPr>
            <w:r>
              <w:rPr>
                <w:i/>
                <w:color w:val="000000"/>
                <w:sz w:val="18"/>
                <w:szCs w:val="18"/>
              </w:rPr>
              <w:t>Cultural trade balance</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DF" w14:textId="77777777" w:rsidR="00294ABB" w:rsidRDefault="00420BFB" w:rsidP="00835B56">
            <w:pPr>
              <w:spacing w:after="0"/>
              <w:jc w:val="right"/>
              <w:rPr>
                <w:i/>
                <w:color w:val="000000"/>
                <w:sz w:val="18"/>
                <w:szCs w:val="18"/>
              </w:rPr>
            </w:pPr>
            <w:r>
              <w:rPr>
                <w:i/>
                <w:color w:val="000000"/>
                <w:sz w:val="18"/>
                <w:szCs w:val="18"/>
              </w:rPr>
              <w:t>-0.093</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E0" w14:textId="77777777" w:rsidR="00294ABB" w:rsidRDefault="00420BFB" w:rsidP="00835B56">
            <w:pPr>
              <w:spacing w:after="0"/>
              <w:jc w:val="right"/>
              <w:rPr>
                <w:i/>
                <w:color w:val="000000"/>
                <w:sz w:val="18"/>
                <w:szCs w:val="18"/>
              </w:rPr>
            </w:pPr>
            <w:r>
              <w:rPr>
                <w:i/>
                <w:color w:val="000000"/>
                <w:sz w:val="18"/>
                <w:szCs w:val="18"/>
              </w:rPr>
              <w:t>9.865</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2E1" w14:textId="77777777" w:rsidR="00294ABB" w:rsidRDefault="00420BFB" w:rsidP="00835B56">
            <w:pPr>
              <w:spacing w:after="0"/>
              <w:jc w:val="right"/>
              <w:rPr>
                <w:i/>
                <w:color w:val="000000"/>
                <w:sz w:val="18"/>
                <w:szCs w:val="18"/>
              </w:rPr>
            </w:pPr>
            <w:r>
              <w:rPr>
                <w:i/>
                <w:color w:val="000000"/>
                <w:sz w:val="18"/>
                <w:szCs w:val="18"/>
              </w:rPr>
              <w:t>12.563</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E2" w14:textId="77777777" w:rsidR="00294ABB" w:rsidRDefault="00420BFB" w:rsidP="00835B56">
            <w:pPr>
              <w:spacing w:after="0"/>
              <w:jc w:val="right"/>
              <w:rPr>
                <w:i/>
                <w:color w:val="000000"/>
                <w:sz w:val="18"/>
                <w:szCs w:val="18"/>
              </w:rPr>
            </w:pPr>
            <w:r>
              <w:rPr>
                <w:i/>
                <w:color w:val="000000"/>
                <w:sz w:val="18"/>
                <w:szCs w:val="18"/>
              </w:rPr>
              <w:t>39.993</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2E3" w14:textId="77777777" w:rsidR="00294ABB" w:rsidRDefault="00420BFB" w:rsidP="00835B56">
            <w:pPr>
              <w:spacing w:after="0"/>
              <w:jc w:val="right"/>
              <w:rPr>
                <w:i/>
                <w:color w:val="000000"/>
                <w:sz w:val="18"/>
                <w:szCs w:val="18"/>
              </w:rPr>
            </w:pPr>
            <w:r>
              <w:rPr>
                <w:i/>
                <w:color w:val="000000"/>
                <w:sz w:val="18"/>
                <w:szCs w:val="18"/>
              </w:rPr>
              <w:t>0.000</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E4" w14:textId="77777777" w:rsidR="00294ABB" w:rsidRDefault="00420BFB" w:rsidP="00835B56">
            <w:pPr>
              <w:spacing w:after="0"/>
              <w:jc w:val="right"/>
              <w:rPr>
                <w:i/>
                <w:color w:val="000000"/>
                <w:sz w:val="18"/>
                <w:szCs w:val="18"/>
              </w:rPr>
            </w:pPr>
            <w:r>
              <w:rPr>
                <w:i/>
                <w:color w:val="000000"/>
                <w:sz w:val="18"/>
                <w:szCs w:val="18"/>
              </w:rPr>
              <w:t>0.014</w:t>
            </w:r>
          </w:p>
        </w:tc>
        <w:tc>
          <w:tcPr>
            <w:tcW w:w="1072" w:type="dxa"/>
            <w:tcBorders>
              <w:top w:val="nil"/>
              <w:left w:val="nil"/>
              <w:bottom w:val="single" w:sz="4" w:space="0" w:color="000000"/>
              <w:right w:val="single" w:sz="8" w:space="0" w:color="000000"/>
            </w:tcBorders>
            <w:shd w:val="clear" w:color="auto" w:fill="auto"/>
            <w:tcMar>
              <w:right w:w="227" w:type="dxa"/>
            </w:tcMar>
            <w:vAlign w:val="center"/>
          </w:tcPr>
          <w:p w14:paraId="000002E5" w14:textId="77777777" w:rsidR="00294ABB" w:rsidRDefault="00420BFB" w:rsidP="00835B56">
            <w:pPr>
              <w:spacing w:after="0"/>
              <w:jc w:val="right"/>
              <w:rPr>
                <w:i/>
                <w:color w:val="000000"/>
                <w:sz w:val="18"/>
                <w:szCs w:val="18"/>
              </w:rPr>
            </w:pPr>
            <w:r>
              <w:rPr>
                <w:i/>
                <w:color w:val="000000"/>
                <w:sz w:val="18"/>
                <w:szCs w:val="18"/>
              </w:rPr>
              <w:t>62.342</w:t>
            </w:r>
          </w:p>
        </w:tc>
      </w:tr>
      <w:tr w:rsidR="00294ABB" w14:paraId="357E0E43" w14:textId="77777777" w:rsidTr="00835B56">
        <w:trPr>
          <w:trHeight w:val="290"/>
          <w:jc w:val="center"/>
        </w:trPr>
        <w:tc>
          <w:tcPr>
            <w:tcW w:w="2480" w:type="dxa"/>
            <w:tcBorders>
              <w:top w:val="nil"/>
              <w:left w:val="single" w:sz="8" w:space="0" w:color="000000"/>
              <w:bottom w:val="single" w:sz="4" w:space="0" w:color="000000"/>
              <w:right w:val="single" w:sz="4" w:space="0" w:color="000000"/>
            </w:tcBorders>
            <w:shd w:val="clear" w:color="auto" w:fill="auto"/>
            <w:vAlign w:val="center"/>
          </w:tcPr>
          <w:p w14:paraId="000002E6" w14:textId="77777777" w:rsidR="00294ABB" w:rsidRDefault="00420BFB" w:rsidP="00835B56">
            <w:pPr>
              <w:tabs>
                <w:tab w:val="left" w:pos="794"/>
              </w:tabs>
              <w:spacing w:after="0"/>
              <w:jc w:val="left"/>
              <w:rPr>
                <w:b/>
                <w:color w:val="000000"/>
                <w:sz w:val="18"/>
                <w:szCs w:val="18"/>
              </w:rPr>
            </w:pPr>
            <w:r>
              <w:rPr>
                <w:b/>
                <w:color w:val="000000"/>
                <w:sz w:val="18"/>
                <w:szCs w:val="18"/>
              </w:rPr>
              <w:t>2020</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E7" w14:textId="77777777" w:rsidR="00294ABB" w:rsidRDefault="00420BFB" w:rsidP="00835B56">
            <w:pPr>
              <w:spacing w:after="0"/>
              <w:jc w:val="right"/>
              <w:rPr>
                <w:color w:val="000000"/>
                <w:sz w:val="18"/>
                <w:szCs w:val="18"/>
              </w:rPr>
            </w:pPr>
            <w:r>
              <w:rPr>
                <w:color w:val="000000"/>
                <w:sz w:val="18"/>
                <w:szCs w:val="18"/>
              </w:rPr>
              <w:t> </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E8" w14:textId="77777777" w:rsidR="00294ABB" w:rsidRDefault="00420BFB" w:rsidP="00835B56">
            <w:pPr>
              <w:spacing w:after="0"/>
              <w:jc w:val="right"/>
              <w:rPr>
                <w:color w:val="000000"/>
                <w:sz w:val="18"/>
                <w:szCs w:val="18"/>
              </w:rPr>
            </w:pPr>
            <w:r>
              <w:rPr>
                <w:color w:val="000000"/>
                <w:sz w:val="18"/>
                <w:szCs w:val="18"/>
              </w:rPr>
              <w:t> </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2E9" w14:textId="77777777" w:rsidR="00294ABB" w:rsidRDefault="00420BFB" w:rsidP="00835B56">
            <w:pPr>
              <w:spacing w:after="0"/>
              <w:jc w:val="right"/>
              <w:rPr>
                <w:color w:val="000000"/>
                <w:sz w:val="18"/>
                <w:szCs w:val="18"/>
              </w:rPr>
            </w:pPr>
            <w:r>
              <w:rPr>
                <w:color w:val="000000"/>
                <w:sz w:val="18"/>
                <w:szCs w:val="18"/>
              </w:rPr>
              <w:t> </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EA" w14:textId="77777777" w:rsidR="00294ABB" w:rsidRDefault="00420BFB" w:rsidP="00835B56">
            <w:pPr>
              <w:spacing w:after="0"/>
              <w:jc w:val="right"/>
              <w:rPr>
                <w:color w:val="000000"/>
                <w:sz w:val="18"/>
                <w:szCs w:val="18"/>
              </w:rPr>
            </w:pPr>
            <w:r>
              <w:rPr>
                <w:color w:val="000000"/>
                <w:sz w:val="18"/>
                <w:szCs w:val="18"/>
              </w:rPr>
              <w:t> </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2EB" w14:textId="77777777" w:rsidR="00294ABB" w:rsidRDefault="00420BFB" w:rsidP="00835B56">
            <w:pPr>
              <w:spacing w:after="0"/>
              <w:jc w:val="right"/>
              <w:rPr>
                <w:color w:val="000000"/>
                <w:sz w:val="18"/>
                <w:szCs w:val="18"/>
              </w:rPr>
            </w:pPr>
            <w:r>
              <w:rPr>
                <w:color w:val="000000"/>
                <w:sz w:val="18"/>
                <w:szCs w:val="18"/>
              </w:rPr>
              <w:t> </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EC" w14:textId="77777777" w:rsidR="00294ABB" w:rsidRDefault="00420BFB" w:rsidP="00835B56">
            <w:pPr>
              <w:spacing w:after="0"/>
              <w:jc w:val="right"/>
              <w:rPr>
                <w:color w:val="000000"/>
                <w:sz w:val="18"/>
                <w:szCs w:val="18"/>
              </w:rPr>
            </w:pPr>
            <w:r>
              <w:rPr>
                <w:color w:val="000000"/>
                <w:sz w:val="18"/>
                <w:szCs w:val="18"/>
              </w:rPr>
              <w:t> </w:t>
            </w:r>
          </w:p>
        </w:tc>
        <w:tc>
          <w:tcPr>
            <w:tcW w:w="1072" w:type="dxa"/>
            <w:tcBorders>
              <w:top w:val="nil"/>
              <w:left w:val="nil"/>
              <w:bottom w:val="single" w:sz="4" w:space="0" w:color="000000"/>
              <w:right w:val="single" w:sz="8" w:space="0" w:color="000000"/>
            </w:tcBorders>
            <w:shd w:val="clear" w:color="auto" w:fill="auto"/>
            <w:tcMar>
              <w:right w:w="227" w:type="dxa"/>
            </w:tcMar>
            <w:vAlign w:val="center"/>
          </w:tcPr>
          <w:p w14:paraId="000002ED" w14:textId="77777777" w:rsidR="00294ABB" w:rsidRDefault="00420BFB" w:rsidP="00835B56">
            <w:pPr>
              <w:spacing w:after="0"/>
              <w:jc w:val="right"/>
              <w:rPr>
                <w:color w:val="000000"/>
                <w:sz w:val="18"/>
                <w:szCs w:val="18"/>
              </w:rPr>
            </w:pPr>
            <w:r>
              <w:rPr>
                <w:color w:val="000000"/>
                <w:sz w:val="18"/>
                <w:szCs w:val="18"/>
              </w:rPr>
              <w:t> </w:t>
            </w:r>
          </w:p>
        </w:tc>
      </w:tr>
      <w:tr w:rsidR="00294ABB" w14:paraId="3FF5EE0A" w14:textId="77777777" w:rsidTr="00835B56">
        <w:trPr>
          <w:trHeight w:val="290"/>
          <w:jc w:val="center"/>
        </w:trPr>
        <w:tc>
          <w:tcPr>
            <w:tcW w:w="2480" w:type="dxa"/>
            <w:tcBorders>
              <w:top w:val="nil"/>
              <w:left w:val="single" w:sz="8" w:space="0" w:color="000000"/>
              <w:bottom w:val="single" w:sz="4" w:space="0" w:color="000000"/>
              <w:right w:val="single" w:sz="4" w:space="0" w:color="000000"/>
            </w:tcBorders>
            <w:shd w:val="clear" w:color="auto" w:fill="auto"/>
            <w:vAlign w:val="center"/>
          </w:tcPr>
          <w:p w14:paraId="000002EE" w14:textId="40EB6CFA" w:rsidR="00294ABB" w:rsidRDefault="00420BFB" w:rsidP="00835B56">
            <w:pPr>
              <w:tabs>
                <w:tab w:val="left" w:pos="794"/>
              </w:tabs>
              <w:spacing w:after="0"/>
              <w:jc w:val="left"/>
              <w:rPr>
                <w:color w:val="000000"/>
                <w:sz w:val="18"/>
                <w:szCs w:val="18"/>
              </w:rPr>
            </w:pPr>
            <w:r>
              <w:rPr>
                <w:color w:val="000000"/>
                <w:sz w:val="18"/>
                <w:szCs w:val="18"/>
              </w:rPr>
              <w:t>SADC</w:t>
            </w:r>
            <w:r w:rsidR="00331A64">
              <w:rPr>
                <w:color w:val="000000"/>
                <w:sz w:val="18"/>
                <w:szCs w:val="18"/>
              </w:rPr>
              <w:tab/>
            </w:r>
            <w:r>
              <w:rPr>
                <w:color w:val="000000"/>
                <w:sz w:val="18"/>
                <w:szCs w:val="18"/>
              </w:rPr>
              <w:t>Cultural exports</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EF" w14:textId="77777777" w:rsidR="00294ABB" w:rsidRDefault="00420BFB" w:rsidP="00835B56">
            <w:pPr>
              <w:spacing w:after="0"/>
              <w:jc w:val="right"/>
              <w:rPr>
                <w:color w:val="000000"/>
                <w:sz w:val="18"/>
                <w:szCs w:val="18"/>
              </w:rPr>
            </w:pPr>
            <w:r>
              <w:rPr>
                <w:color w:val="000000"/>
                <w:sz w:val="18"/>
                <w:szCs w:val="18"/>
              </w:rPr>
              <w:t>0.050</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F0" w14:textId="77777777" w:rsidR="00294ABB" w:rsidRDefault="00420BFB" w:rsidP="00835B56">
            <w:pPr>
              <w:spacing w:after="0"/>
              <w:jc w:val="right"/>
              <w:rPr>
                <w:color w:val="000000"/>
                <w:sz w:val="18"/>
                <w:szCs w:val="18"/>
              </w:rPr>
            </w:pPr>
            <w:r>
              <w:rPr>
                <w:color w:val="000000"/>
                <w:sz w:val="18"/>
                <w:szCs w:val="18"/>
              </w:rPr>
              <w:t>10.117</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2F1" w14:textId="77777777" w:rsidR="00294ABB" w:rsidRDefault="00420BFB" w:rsidP="00835B56">
            <w:pPr>
              <w:spacing w:after="0"/>
              <w:jc w:val="right"/>
              <w:rPr>
                <w:color w:val="000000"/>
                <w:sz w:val="18"/>
                <w:szCs w:val="18"/>
              </w:rPr>
            </w:pPr>
            <w:r>
              <w:rPr>
                <w:color w:val="000000"/>
                <w:sz w:val="18"/>
                <w:szCs w:val="18"/>
              </w:rPr>
              <w:t>16.085</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F2" w14:textId="77777777" w:rsidR="00294ABB" w:rsidRDefault="00420BFB" w:rsidP="00835B56">
            <w:pPr>
              <w:spacing w:after="0"/>
              <w:jc w:val="right"/>
              <w:rPr>
                <w:color w:val="000000"/>
                <w:sz w:val="18"/>
                <w:szCs w:val="18"/>
              </w:rPr>
            </w:pPr>
            <w:r>
              <w:rPr>
                <w:color w:val="000000"/>
                <w:sz w:val="18"/>
                <w:szCs w:val="18"/>
              </w:rPr>
              <w:t>63.088</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2F3" w14:textId="77777777" w:rsidR="00294ABB" w:rsidRDefault="00420BFB" w:rsidP="00835B56">
            <w:pPr>
              <w:spacing w:after="0"/>
              <w:jc w:val="right"/>
              <w:rPr>
                <w:color w:val="000000"/>
                <w:sz w:val="18"/>
                <w:szCs w:val="18"/>
              </w:rPr>
            </w:pPr>
            <w:r>
              <w:rPr>
                <w:color w:val="000000"/>
                <w:sz w:val="18"/>
                <w:szCs w:val="18"/>
              </w:rPr>
              <w:t>0.002</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F4" w14:textId="77777777" w:rsidR="00294ABB" w:rsidRDefault="00420BFB" w:rsidP="00835B56">
            <w:pPr>
              <w:spacing w:after="0"/>
              <w:jc w:val="right"/>
              <w:rPr>
                <w:color w:val="000000"/>
                <w:sz w:val="18"/>
                <w:szCs w:val="18"/>
              </w:rPr>
            </w:pPr>
            <w:r>
              <w:rPr>
                <w:color w:val="000000"/>
                <w:sz w:val="18"/>
                <w:szCs w:val="18"/>
              </w:rPr>
              <w:t>0.013</w:t>
            </w:r>
          </w:p>
        </w:tc>
        <w:tc>
          <w:tcPr>
            <w:tcW w:w="1072" w:type="dxa"/>
            <w:tcBorders>
              <w:top w:val="nil"/>
              <w:left w:val="nil"/>
              <w:bottom w:val="single" w:sz="4" w:space="0" w:color="000000"/>
              <w:right w:val="single" w:sz="8" w:space="0" w:color="000000"/>
            </w:tcBorders>
            <w:shd w:val="clear" w:color="auto" w:fill="auto"/>
            <w:tcMar>
              <w:right w:w="227" w:type="dxa"/>
            </w:tcMar>
            <w:vAlign w:val="center"/>
          </w:tcPr>
          <w:p w14:paraId="000002F5" w14:textId="77777777" w:rsidR="00294ABB" w:rsidRDefault="00420BFB" w:rsidP="00835B56">
            <w:pPr>
              <w:spacing w:after="0"/>
              <w:jc w:val="right"/>
              <w:rPr>
                <w:color w:val="000000"/>
                <w:sz w:val="18"/>
                <w:szCs w:val="18"/>
              </w:rPr>
            </w:pPr>
            <w:r>
              <w:rPr>
                <w:color w:val="000000"/>
                <w:sz w:val="18"/>
                <w:szCs w:val="18"/>
              </w:rPr>
              <w:t>89.355</w:t>
            </w:r>
          </w:p>
        </w:tc>
      </w:tr>
      <w:tr w:rsidR="00294ABB" w14:paraId="58B9DD55" w14:textId="77777777" w:rsidTr="00835B56">
        <w:trPr>
          <w:trHeight w:val="290"/>
          <w:jc w:val="center"/>
        </w:trPr>
        <w:tc>
          <w:tcPr>
            <w:tcW w:w="2480" w:type="dxa"/>
            <w:tcBorders>
              <w:top w:val="nil"/>
              <w:left w:val="single" w:sz="8" w:space="0" w:color="000000"/>
              <w:bottom w:val="single" w:sz="4" w:space="0" w:color="000000"/>
              <w:right w:val="single" w:sz="4" w:space="0" w:color="000000"/>
            </w:tcBorders>
            <w:shd w:val="clear" w:color="auto" w:fill="auto"/>
            <w:vAlign w:val="center"/>
          </w:tcPr>
          <w:p w14:paraId="000002F6" w14:textId="49574EF9" w:rsidR="00294ABB" w:rsidRDefault="00331A64" w:rsidP="00835B56">
            <w:pPr>
              <w:tabs>
                <w:tab w:val="left" w:pos="794"/>
              </w:tabs>
              <w:spacing w:after="0"/>
              <w:rPr>
                <w:color w:val="000000"/>
                <w:sz w:val="18"/>
                <w:szCs w:val="18"/>
              </w:rPr>
            </w:pPr>
            <w:r>
              <w:rPr>
                <w:color w:val="000000"/>
                <w:sz w:val="18"/>
                <w:szCs w:val="18"/>
              </w:rPr>
              <w:tab/>
            </w:r>
            <w:r w:rsidR="00420BFB">
              <w:rPr>
                <w:color w:val="000000"/>
                <w:sz w:val="18"/>
                <w:szCs w:val="18"/>
              </w:rPr>
              <w:t>Cultural imports</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F7" w14:textId="77777777" w:rsidR="00294ABB" w:rsidRDefault="00420BFB" w:rsidP="00835B56">
            <w:pPr>
              <w:spacing w:after="0"/>
              <w:jc w:val="right"/>
              <w:rPr>
                <w:color w:val="000000"/>
                <w:sz w:val="18"/>
                <w:szCs w:val="18"/>
              </w:rPr>
            </w:pPr>
            <w:r>
              <w:rPr>
                <w:color w:val="000000"/>
                <w:sz w:val="18"/>
                <w:szCs w:val="18"/>
              </w:rPr>
              <w:t>0.059</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F8" w14:textId="77777777" w:rsidR="00294ABB" w:rsidRDefault="00420BFB" w:rsidP="00835B56">
            <w:pPr>
              <w:spacing w:after="0"/>
              <w:jc w:val="right"/>
              <w:rPr>
                <w:color w:val="000000"/>
                <w:sz w:val="18"/>
                <w:szCs w:val="18"/>
              </w:rPr>
            </w:pPr>
            <w:r>
              <w:rPr>
                <w:color w:val="000000"/>
                <w:sz w:val="18"/>
                <w:szCs w:val="18"/>
              </w:rPr>
              <w:t>0.044</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2F9" w14:textId="77777777" w:rsidR="00294ABB" w:rsidRDefault="00420BFB" w:rsidP="00835B56">
            <w:pPr>
              <w:spacing w:after="0"/>
              <w:jc w:val="right"/>
              <w:rPr>
                <w:color w:val="000000"/>
                <w:sz w:val="18"/>
                <w:szCs w:val="18"/>
              </w:rPr>
            </w:pPr>
            <w:r>
              <w:rPr>
                <w:color w:val="000000"/>
                <w:sz w:val="18"/>
                <w:szCs w:val="18"/>
              </w:rPr>
              <w:t>3.873</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FA" w14:textId="77777777" w:rsidR="00294ABB" w:rsidRDefault="00420BFB" w:rsidP="00835B56">
            <w:pPr>
              <w:spacing w:after="0"/>
              <w:jc w:val="right"/>
              <w:rPr>
                <w:color w:val="000000"/>
                <w:sz w:val="18"/>
                <w:szCs w:val="18"/>
              </w:rPr>
            </w:pPr>
            <w:r>
              <w:rPr>
                <w:color w:val="000000"/>
                <w:sz w:val="18"/>
                <w:szCs w:val="18"/>
              </w:rPr>
              <w:t>4.501</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2FB" w14:textId="77777777" w:rsidR="00294ABB" w:rsidRDefault="00420BFB" w:rsidP="00835B56">
            <w:pPr>
              <w:spacing w:after="0"/>
              <w:jc w:val="right"/>
              <w:rPr>
                <w:color w:val="000000"/>
                <w:sz w:val="18"/>
                <w:szCs w:val="18"/>
              </w:rPr>
            </w:pPr>
            <w:r>
              <w:rPr>
                <w:color w:val="000000"/>
                <w:sz w:val="18"/>
                <w:szCs w:val="18"/>
              </w:rPr>
              <w:t>0.000</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2FC" w14:textId="77777777" w:rsidR="00294ABB" w:rsidRDefault="00420BFB" w:rsidP="00835B56">
            <w:pPr>
              <w:spacing w:after="0"/>
              <w:jc w:val="right"/>
              <w:rPr>
                <w:color w:val="000000"/>
                <w:sz w:val="18"/>
                <w:szCs w:val="18"/>
              </w:rPr>
            </w:pPr>
            <w:r>
              <w:rPr>
                <w:color w:val="000000"/>
                <w:sz w:val="18"/>
                <w:szCs w:val="18"/>
              </w:rPr>
              <w:t>0.000</w:t>
            </w:r>
          </w:p>
        </w:tc>
        <w:tc>
          <w:tcPr>
            <w:tcW w:w="1072" w:type="dxa"/>
            <w:tcBorders>
              <w:top w:val="nil"/>
              <w:left w:val="nil"/>
              <w:bottom w:val="single" w:sz="4" w:space="0" w:color="000000"/>
              <w:right w:val="single" w:sz="8" w:space="0" w:color="000000"/>
            </w:tcBorders>
            <w:shd w:val="clear" w:color="auto" w:fill="auto"/>
            <w:tcMar>
              <w:right w:w="227" w:type="dxa"/>
            </w:tcMar>
            <w:vAlign w:val="center"/>
          </w:tcPr>
          <w:p w14:paraId="000002FD" w14:textId="77777777" w:rsidR="00294ABB" w:rsidRDefault="00420BFB" w:rsidP="00835B56">
            <w:pPr>
              <w:spacing w:after="0"/>
              <w:jc w:val="right"/>
              <w:rPr>
                <w:color w:val="000000"/>
                <w:sz w:val="18"/>
                <w:szCs w:val="18"/>
              </w:rPr>
            </w:pPr>
            <w:r>
              <w:rPr>
                <w:color w:val="000000"/>
                <w:sz w:val="18"/>
                <w:szCs w:val="18"/>
              </w:rPr>
              <w:t>8.477</w:t>
            </w:r>
          </w:p>
        </w:tc>
      </w:tr>
      <w:tr w:rsidR="00294ABB" w14:paraId="6D6CEEB3" w14:textId="77777777" w:rsidTr="00835B56">
        <w:trPr>
          <w:trHeight w:val="300"/>
          <w:jc w:val="center"/>
        </w:trPr>
        <w:tc>
          <w:tcPr>
            <w:tcW w:w="2480" w:type="dxa"/>
            <w:tcBorders>
              <w:top w:val="nil"/>
              <w:left w:val="single" w:sz="8" w:space="0" w:color="000000"/>
              <w:bottom w:val="single" w:sz="8" w:space="0" w:color="000000"/>
              <w:right w:val="single" w:sz="4" w:space="0" w:color="000000"/>
            </w:tcBorders>
            <w:shd w:val="clear" w:color="auto" w:fill="auto"/>
            <w:vAlign w:val="center"/>
          </w:tcPr>
          <w:p w14:paraId="000002FE" w14:textId="77777777" w:rsidR="00294ABB" w:rsidRDefault="00420BFB" w:rsidP="00835B56">
            <w:pPr>
              <w:tabs>
                <w:tab w:val="left" w:pos="794"/>
              </w:tabs>
              <w:spacing w:after="0"/>
              <w:jc w:val="right"/>
              <w:rPr>
                <w:i/>
                <w:color w:val="000000"/>
                <w:sz w:val="18"/>
                <w:szCs w:val="18"/>
              </w:rPr>
            </w:pPr>
            <w:r>
              <w:rPr>
                <w:i/>
                <w:color w:val="000000"/>
                <w:sz w:val="18"/>
                <w:szCs w:val="18"/>
              </w:rPr>
              <w:t>Cultural trade balance</w:t>
            </w:r>
          </w:p>
        </w:tc>
        <w:tc>
          <w:tcPr>
            <w:tcW w:w="1071" w:type="dxa"/>
            <w:tcBorders>
              <w:top w:val="nil"/>
              <w:left w:val="nil"/>
              <w:bottom w:val="single" w:sz="8" w:space="0" w:color="000000"/>
              <w:right w:val="single" w:sz="4" w:space="0" w:color="000000"/>
            </w:tcBorders>
            <w:shd w:val="clear" w:color="auto" w:fill="auto"/>
            <w:tcMar>
              <w:right w:w="227" w:type="dxa"/>
            </w:tcMar>
            <w:vAlign w:val="center"/>
          </w:tcPr>
          <w:p w14:paraId="000002FF" w14:textId="77777777" w:rsidR="00294ABB" w:rsidRDefault="00420BFB" w:rsidP="00835B56">
            <w:pPr>
              <w:spacing w:after="0"/>
              <w:jc w:val="right"/>
              <w:rPr>
                <w:i/>
                <w:color w:val="000000"/>
                <w:sz w:val="18"/>
                <w:szCs w:val="18"/>
              </w:rPr>
            </w:pPr>
            <w:r>
              <w:rPr>
                <w:i/>
                <w:color w:val="000000"/>
                <w:sz w:val="18"/>
                <w:szCs w:val="18"/>
              </w:rPr>
              <w:t>-0.009</w:t>
            </w:r>
          </w:p>
        </w:tc>
        <w:tc>
          <w:tcPr>
            <w:tcW w:w="1071" w:type="dxa"/>
            <w:tcBorders>
              <w:top w:val="nil"/>
              <w:left w:val="nil"/>
              <w:bottom w:val="single" w:sz="8" w:space="0" w:color="000000"/>
              <w:right w:val="single" w:sz="4" w:space="0" w:color="000000"/>
            </w:tcBorders>
            <w:shd w:val="clear" w:color="auto" w:fill="auto"/>
            <w:tcMar>
              <w:right w:w="227" w:type="dxa"/>
            </w:tcMar>
            <w:vAlign w:val="center"/>
          </w:tcPr>
          <w:p w14:paraId="00000300" w14:textId="77777777" w:rsidR="00294ABB" w:rsidRDefault="00420BFB" w:rsidP="00835B56">
            <w:pPr>
              <w:spacing w:after="0"/>
              <w:jc w:val="right"/>
              <w:rPr>
                <w:i/>
                <w:color w:val="000000"/>
                <w:sz w:val="18"/>
                <w:szCs w:val="18"/>
              </w:rPr>
            </w:pPr>
            <w:r>
              <w:rPr>
                <w:i/>
                <w:color w:val="000000"/>
                <w:sz w:val="18"/>
                <w:szCs w:val="18"/>
              </w:rPr>
              <w:t>10.073</w:t>
            </w:r>
          </w:p>
        </w:tc>
        <w:tc>
          <w:tcPr>
            <w:tcW w:w="1072" w:type="dxa"/>
            <w:tcBorders>
              <w:top w:val="nil"/>
              <w:left w:val="nil"/>
              <w:bottom w:val="single" w:sz="8" w:space="0" w:color="000000"/>
              <w:right w:val="single" w:sz="4" w:space="0" w:color="000000"/>
            </w:tcBorders>
            <w:shd w:val="clear" w:color="auto" w:fill="auto"/>
            <w:tcMar>
              <w:right w:w="227" w:type="dxa"/>
            </w:tcMar>
            <w:vAlign w:val="center"/>
          </w:tcPr>
          <w:p w14:paraId="00000301" w14:textId="77777777" w:rsidR="00294ABB" w:rsidRDefault="00420BFB" w:rsidP="00835B56">
            <w:pPr>
              <w:spacing w:after="0"/>
              <w:jc w:val="right"/>
              <w:rPr>
                <w:i/>
                <w:color w:val="000000"/>
                <w:sz w:val="18"/>
                <w:szCs w:val="18"/>
              </w:rPr>
            </w:pPr>
            <w:r>
              <w:rPr>
                <w:i/>
                <w:color w:val="000000"/>
                <w:sz w:val="18"/>
                <w:szCs w:val="18"/>
              </w:rPr>
              <w:t>12.212</w:t>
            </w:r>
          </w:p>
        </w:tc>
        <w:tc>
          <w:tcPr>
            <w:tcW w:w="1071" w:type="dxa"/>
            <w:tcBorders>
              <w:top w:val="nil"/>
              <w:left w:val="nil"/>
              <w:bottom w:val="single" w:sz="8" w:space="0" w:color="000000"/>
              <w:right w:val="single" w:sz="4" w:space="0" w:color="000000"/>
            </w:tcBorders>
            <w:shd w:val="clear" w:color="auto" w:fill="auto"/>
            <w:tcMar>
              <w:right w:w="227" w:type="dxa"/>
            </w:tcMar>
            <w:vAlign w:val="center"/>
          </w:tcPr>
          <w:p w14:paraId="00000302" w14:textId="77777777" w:rsidR="00294ABB" w:rsidRDefault="00420BFB" w:rsidP="00835B56">
            <w:pPr>
              <w:spacing w:after="0"/>
              <w:jc w:val="right"/>
              <w:rPr>
                <w:i/>
                <w:color w:val="000000"/>
                <w:sz w:val="18"/>
                <w:szCs w:val="18"/>
              </w:rPr>
            </w:pPr>
            <w:r>
              <w:rPr>
                <w:i/>
                <w:color w:val="000000"/>
                <w:sz w:val="18"/>
                <w:szCs w:val="18"/>
              </w:rPr>
              <w:t>58.587</w:t>
            </w:r>
          </w:p>
        </w:tc>
        <w:tc>
          <w:tcPr>
            <w:tcW w:w="1072" w:type="dxa"/>
            <w:tcBorders>
              <w:top w:val="nil"/>
              <w:left w:val="nil"/>
              <w:bottom w:val="single" w:sz="8" w:space="0" w:color="000000"/>
              <w:right w:val="single" w:sz="4" w:space="0" w:color="000000"/>
            </w:tcBorders>
            <w:shd w:val="clear" w:color="auto" w:fill="auto"/>
            <w:tcMar>
              <w:right w:w="227" w:type="dxa"/>
            </w:tcMar>
            <w:vAlign w:val="center"/>
          </w:tcPr>
          <w:p w14:paraId="00000303" w14:textId="77777777" w:rsidR="00294ABB" w:rsidRDefault="00420BFB" w:rsidP="00835B56">
            <w:pPr>
              <w:spacing w:after="0"/>
              <w:jc w:val="right"/>
              <w:rPr>
                <w:i/>
                <w:color w:val="000000"/>
                <w:sz w:val="18"/>
                <w:szCs w:val="18"/>
              </w:rPr>
            </w:pPr>
            <w:r>
              <w:rPr>
                <w:i/>
                <w:color w:val="000000"/>
                <w:sz w:val="18"/>
                <w:szCs w:val="18"/>
              </w:rPr>
              <w:t>0.002</w:t>
            </w:r>
          </w:p>
        </w:tc>
        <w:tc>
          <w:tcPr>
            <w:tcW w:w="1071" w:type="dxa"/>
            <w:tcBorders>
              <w:top w:val="nil"/>
              <w:left w:val="nil"/>
              <w:bottom w:val="single" w:sz="8" w:space="0" w:color="000000"/>
              <w:right w:val="single" w:sz="4" w:space="0" w:color="000000"/>
            </w:tcBorders>
            <w:shd w:val="clear" w:color="auto" w:fill="auto"/>
            <w:tcMar>
              <w:right w:w="227" w:type="dxa"/>
            </w:tcMar>
            <w:vAlign w:val="center"/>
          </w:tcPr>
          <w:p w14:paraId="00000304" w14:textId="77777777" w:rsidR="00294ABB" w:rsidRDefault="00420BFB" w:rsidP="00835B56">
            <w:pPr>
              <w:spacing w:after="0"/>
              <w:jc w:val="right"/>
              <w:rPr>
                <w:i/>
                <w:color w:val="000000"/>
                <w:sz w:val="18"/>
                <w:szCs w:val="18"/>
              </w:rPr>
            </w:pPr>
            <w:r>
              <w:rPr>
                <w:i/>
                <w:color w:val="000000"/>
                <w:sz w:val="18"/>
                <w:szCs w:val="18"/>
              </w:rPr>
              <w:t>0.013</w:t>
            </w:r>
          </w:p>
        </w:tc>
        <w:tc>
          <w:tcPr>
            <w:tcW w:w="1072" w:type="dxa"/>
            <w:tcBorders>
              <w:top w:val="nil"/>
              <w:left w:val="nil"/>
              <w:bottom w:val="single" w:sz="8" w:space="0" w:color="000000"/>
              <w:right w:val="single" w:sz="8" w:space="0" w:color="000000"/>
            </w:tcBorders>
            <w:shd w:val="clear" w:color="auto" w:fill="auto"/>
            <w:tcMar>
              <w:right w:w="227" w:type="dxa"/>
            </w:tcMar>
            <w:vAlign w:val="center"/>
          </w:tcPr>
          <w:p w14:paraId="00000305" w14:textId="77777777" w:rsidR="00294ABB" w:rsidRDefault="00420BFB" w:rsidP="00835B56">
            <w:pPr>
              <w:spacing w:after="0"/>
              <w:jc w:val="right"/>
              <w:rPr>
                <w:i/>
                <w:color w:val="000000"/>
                <w:sz w:val="18"/>
                <w:szCs w:val="18"/>
              </w:rPr>
            </w:pPr>
            <w:r>
              <w:rPr>
                <w:i/>
                <w:color w:val="000000"/>
                <w:sz w:val="18"/>
                <w:szCs w:val="18"/>
              </w:rPr>
              <w:t>80.878</w:t>
            </w:r>
          </w:p>
        </w:tc>
      </w:tr>
      <w:tr w:rsidR="00294ABB" w14:paraId="070E4DA7" w14:textId="77777777" w:rsidTr="00835B56">
        <w:trPr>
          <w:trHeight w:val="300"/>
          <w:jc w:val="center"/>
        </w:trPr>
        <w:tc>
          <w:tcPr>
            <w:tcW w:w="2480" w:type="dxa"/>
            <w:tcBorders>
              <w:top w:val="nil"/>
              <w:left w:val="single" w:sz="8" w:space="0" w:color="000000"/>
              <w:bottom w:val="nil"/>
              <w:right w:val="single" w:sz="4" w:space="0" w:color="000000"/>
            </w:tcBorders>
            <w:shd w:val="clear" w:color="auto" w:fill="auto"/>
            <w:vAlign w:val="center"/>
          </w:tcPr>
          <w:p w14:paraId="00000306" w14:textId="77777777" w:rsidR="00294ABB" w:rsidRDefault="00420BFB" w:rsidP="00835B56">
            <w:pPr>
              <w:tabs>
                <w:tab w:val="left" w:pos="794"/>
              </w:tabs>
              <w:spacing w:after="0"/>
              <w:jc w:val="right"/>
              <w:rPr>
                <w:i/>
                <w:color w:val="000000"/>
                <w:sz w:val="18"/>
                <w:szCs w:val="18"/>
              </w:rPr>
            </w:pPr>
            <w:r>
              <w:rPr>
                <w:i/>
                <w:color w:val="000000"/>
                <w:sz w:val="18"/>
                <w:szCs w:val="18"/>
              </w:rPr>
              <w:t> </w:t>
            </w:r>
          </w:p>
        </w:tc>
        <w:tc>
          <w:tcPr>
            <w:tcW w:w="1071" w:type="dxa"/>
            <w:tcBorders>
              <w:top w:val="nil"/>
              <w:left w:val="nil"/>
              <w:bottom w:val="nil"/>
              <w:right w:val="single" w:sz="4" w:space="0" w:color="000000"/>
            </w:tcBorders>
            <w:shd w:val="clear" w:color="auto" w:fill="auto"/>
            <w:tcMar>
              <w:right w:w="227" w:type="dxa"/>
            </w:tcMar>
            <w:vAlign w:val="center"/>
          </w:tcPr>
          <w:p w14:paraId="00000307" w14:textId="77777777" w:rsidR="00294ABB" w:rsidRDefault="00420BFB" w:rsidP="00835B56">
            <w:pPr>
              <w:spacing w:after="0"/>
              <w:jc w:val="right"/>
              <w:rPr>
                <w:color w:val="000000"/>
                <w:sz w:val="18"/>
                <w:szCs w:val="18"/>
              </w:rPr>
            </w:pPr>
            <w:r>
              <w:rPr>
                <w:color w:val="000000"/>
                <w:sz w:val="18"/>
                <w:szCs w:val="18"/>
              </w:rPr>
              <w:t> </w:t>
            </w:r>
          </w:p>
        </w:tc>
        <w:tc>
          <w:tcPr>
            <w:tcW w:w="1071" w:type="dxa"/>
            <w:tcBorders>
              <w:top w:val="nil"/>
              <w:left w:val="nil"/>
              <w:bottom w:val="nil"/>
              <w:right w:val="single" w:sz="4" w:space="0" w:color="000000"/>
            </w:tcBorders>
            <w:shd w:val="clear" w:color="auto" w:fill="auto"/>
            <w:tcMar>
              <w:right w:w="227" w:type="dxa"/>
            </w:tcMar>
            <w:vAlign w:val="center"/>
          </w:tcPr>
          <w:p w14:paraId="00000308" w14:textId="77777777" w:rsidR="00294ABB" w:rsidRDefault="00420BFB" w:rsidP="00835B56">
            <w:pPr>
              <w:spacing w:after="0"/>
              <w:jc w:val="right"/>
              <w:rPr>
                <w:color w:val="000000"/>
                <w:sz w:val="18"/>
                <w:szCs w:val="18"/>
              </w:rPr>
            </w:pPr>
            <w:r>
              <w:rPr>
                <w:color w:val="000000"/>
                <w:sz w:val="18"/>
                <w:szCs w:val="18"/>
              </w:rPr>
              <w:t> </w:t>
            </w:r>
          </w:p>
        </w:tc>
        <w:tc>
          <w:tcPr>
            <w:tcW w:w="1072" w:type="dxa"/>
            <w:tcBorders>
              <w:top w:val="nil"/>
              <w:left w:val="nil"/>
              <w:bottom w:val="nil"/>
              <w:right w:val="single" w:sz="4" w:space="0" w:color="000000"/>
            </w:tcBorders>
            <w:shd w:val="clear" w:color="auto" w:fill="auto"/>
            <w:tcMar>
              <w:right w:w="227" w:type="dxa"/>
            </w:tcMar>
            <w:vAlign w:val="center"/>
          </w:tcPr>
          <w:p w14:paraId="00000309" w14:textId="77777777" w:rsidR="00294ABB" w:rsidRDefault="00420BFB" w:rsidP="00835B56">
            <w:pPr>
              <w:spacing w:after="0"/>
              <w:jc w:val="right"/>
              <w:rPr>
                <w:color w:val="000000"/>
                <w:sz w:val="18"/>
                <w:szCs w:val="18"/>
              </w:rPr>
            </w:pPr>
            <w:r>
              <w:rPr>
                <w:color w:val="000000"/>
                <w:sz w:val="18"/>
                <w:szCs w:val="18"/>
              </w:rPr>
              <w:t> </w:t>
            </w:r>
          </w:p>
        </w:tc>
        <w:tc>
          <w:tcPr>
            <w:tcW w:w="1071" w:type="dxa"/>
            <w:tcBorders>
              <w:top w:val="nil"/>
              <w:left w:val="nil"/>
              <w:bottom w:val="nil"/>
              <w:right w:val="single" w:sz="4" w:space="0" w:color="000000"/>
            </w:tcBorders>
            <w:shd w:val="clear" w:color="auto" w:fill="auto"/>
            <w:tcMar>
              <w:right w:w="227" w:type="dxa"/>
            </w:tcMar>
            <w:vAlign w:val="center"/>
          </w:tcPr>
          <w:p w14:paraId="0000030A" w14:textId="77777777" w:rsidR="00294ABB" w:rsidRDefault="00420BFB" w:rsidP="00835B56">
            <w:pPr>
              <w:spacing w:after="0"/>
              <w:jc w:val="right"/>
              <w:rPr>
                <w:color w:val="000000"/>
                <w:sz w:val="18"/>
                <w:szCs w:val="18"/>
              </w:rPr>
            </w:pPr>
            <w:r>
              <w:rPr>
                <w:color w:val="000000"/>
                <w:sz w:val="18"/>
                <w:szCs w:val="18"/>
              </w:rPr>
              <w:t> </w:t>
            </w:r>
          </w:p>
        </w:tc>
        <w:tc>
          <w:tcPr>
            <w:tcW w:w="1072" w:type="dxa"/>
            <w:tcBorders>
              <w:top w:val="nil"/>
              <w:left w:val="nil"/>
              <w:bottom w:val="nil"/>
              <w:right w:val="single" w:sz="4" w:space="0" w:color="000000"/>
            </w:tcBorders>
            <w:shd w:val="clear" w:color="auto" w:fill="auto"/>
            <w:tcMar>
              <w:right w:w="227" w:type="dxa"/>
            </w:tcMar>
            <w:vAlign w:val="center"/>
          </w:tcPr>
          <w:p w14:paraId="0000030B" w14:textId="77777777" w:rsidR="00294ABB" w:rsidRDefault="00420BFB" w:rsidP="00835B56">
            <w:pPr>
              <w:spacing w:after="0"/>
              <w:jc w:val="right"/>
              <w:rPr>
                <w:color w:val="000000"/>
                <w:sz w:val="18"/>
                <w:szCs w:val="18"/>
              </w:rPr>
            </w:pPr>
            <w:r>
              <w:rPr>
                <w:color w:val="000000"/>
                <w:sz w:val="18"/>
                <w:szCs w:val="18"/>
              </w:rPr>
              <w:t> </w:t>
            </w:r>
          </w:p>
        </w:tc>
        <w:tc>
          <w:tcPr>
            <w:tcW w:w="1071" w:type="dxa"/>
            <w:tcBorders>
              <w:top w:val="nil"/>
              <w:left w:val="nil"/>
              <w:bottom w:val="nil"/>
              <w:right w:val="single" w:sz="4" w:space="0" w:color="000000"/>
            </w:tcBorders>
            <w:shd w:val="clear" w:color="auto" w:fill="auto"/>
            <w:tcMar>
              <w:right w:w="227" w:type="dxa"/>
            </w:tcMar>
            <w:vAlign w:val="center"/>
          </w:tcPr>
          <w:p w14:paraId="0000030C" w14:textId="77777777" w:rsidR="00294ABB" w:rsidRDefault="00420BFB" w:rsidP="00835B56">
            <w:pPr>
              <w:spacing w:after="0"/>
              <w:jc w:val="right"/>
              <w:rPr>
                <w:color w:val="000000"/>
                <w:sz w:val="18"/>
                <w:szCs w:val="18"/>
              </w:rPr>
            </w:pPr>
            <w:r>
              <w:rPr>
                <w:color w:val="000000"/>
                <w:sz w:val="18"/>
                <w:szCs w:val="18"/>
              </w:rPr>
              <w:t> </w:t>
            </w:r>
          </w:p>
        </w:tc>
        <w:tc>
          <w:tcPr>
            <w:tcW w:w="1072" w:type="dxa"/>
            <w:tcBorders>
              <w:top w:val="nil"/>
              <w:left w:val="nil"/>
              <w:bottom w:val="nil"/>
              <w:right w:val="single" w:sz="8" w:space="0" w:color="000000"/>
            </w:tcBorders>
            <w:shd w:val="clear" w:color="auto" w:fill="auto"/>
            <w:tcMar>
              <w:right w:w="227" w:type="dxa"/>
            </w:tcMar>
            <w:vAlign w:val="center"/>
          </w:tcPr>
          <w:p w14:paraId="0000030D" w14:textId="77777777" w:rsidR="00294ABB" w:rsidRDefault="00420BFB" w:rsidP="00835B56">
            <w:pPr>
              <w:spacing w:after="0"/>
              <w:jc w:val="right"/>
              <w:rPr>
                <w:color w:val="000000"/>
                <w:sz w:val="18"/>
                <w:szCs w:val="18"/>
              </w:rPr>
            </w:pPr>
            <w:r>
              <w:rPr>
                <w:color w:val="000000"/>
                <w:sz w:val="18"/>
                <w:szCs w:val="18"/>
              </w:rPr>
              <w:t> </w:t>
            </w:r>
          </w:p>
        </w:tc>
      </w:tr>
      <w:tr w:rsidR="00294ABB" w14:paraId="4AC5C6A0" w14:textId="77777777" w:rsidTr="00835B56">
        <w:trPr>
          <w:trHeight w:val="290"/>
          <w:jc w:val="center"/>
        </w:trPr>
        <w:tc>
          <w:tcPr>
            <w:tcW w:w="2480" w:type="dxa"/>
            <w:tcBorders>
              <w:top w:val="single" w:sz="8" w:space="0" w:color="000000"/>
              <w:left w:val="single" w:sz="8" w:space="0" w:color="000000"/>
              <w:bottom w:val="single" w:sz="4" w:space="0" w:color="000000"/>
              <w:right w:val="single" w:sz="4" w:space="0" w:color="000000"/>
            </w:tcBorders>
            <w:shd w:val="clear" w:color="auto" w:fill="auto"/>
            <w:vAlign w:val="center"/>
          </w:tcPr>
          <w:p w14:paraId="0000030E" w14:textId="77777777" w:rsidR="00294ABB" w:rsidRDefault="00420BFB" w:rsidP="00835B56">
            <w:pPr>
              <w:tabs>
                <w:tab w:val="left" w:pos="794"/>
              </w:tabs>
              <w:spacing w:after="0"/>
              <w:jc w:val="left"/>
              <w:rPr>
                <w:b/>
                <w:color w:val="000000"/>
                <w:sz w:val="18"/>
                <w:szCs w:val="18"/>
              </w:rPr>
            </w:pPr>
            <w:r>
              <w:rPr>
                <w:b/>
                <w:color w:val="000000"/>
                <w:sz w:val="18"/>
                <w:szCs w:val="18"/>
              </w:rPr>
              <w:t>2019</w:t>
            </w:r>
          </w:p>
        </w:tc>
        <w:tc>
          <w:tcPr>
            <w:tcW w:w="1071" w:type="dxa"/>
            <w:tcBorders>
              <w:top w:val="single" w:sz="8" w:space="0" w:color="000000"/>
              <w:left w:val="nil"/>
              <w:bottom w:val="single" w:sz="4" w:space="0" w:color="000000"/>
              <w:right w:val="single" w:sz="4" w:space="0" w:color="000000"/>
            </w:tcBorders>
            <w:shd w:val="clear" w:color="auto" w:fill="auto"/>
            <w:tcMar>
              <w:right w:w="227" w:type="dxa"/>
            </w:tcMar>
            <w:vAlign w:val="center"/>
          </w:tcPr>
          <w:p w14:paraId="0000030F" w14:textId="77777777" w:rsidR="00294ABB" w:rsidRDefault="00420BFB" w:rsidP="00835B56">
            <w:pPr>
              <w:spacing w:after="0"/>
              <w:jc w:val="right"/>
              <w:rPr>
                <w:color w:val="000000"/>
                <w:sz w:val="18"/>
                <w:szCs w:val="18"/>
              </w:rPr>
            </w:pPr>
            <w:r>
              <w:rPr>
                <w:color w:val="000000"/>
                <w:sz w:val="18"/>
                <w:szCs w:val="18"/>
              </w:rPr>
              <w:t> </w:t>
            </w:r>
          </w:p>
        </w:tc>
        <w:tc>
          <w:tcPr>
            <w:tcW w:w="1071" w:type="dxa"/>
            <w:tcBorders>
              <w:top w:val="single" w:sz="8" w:space="0" w:color="000000"/>
              <w:left w:val="nil"/>
              <w:bottom w:val="single" w:sz="4" w:space="0" w:color="000000"/>
              <w:right w:val="single" w:sz="4" w:space="0" w:color="000000"/>
            </w:tcBorders>
            <w:shd w:val="clear" w:color="auto" w:fill="auto"/>
            <w:tcMar>
              <w:right w:w="227" w:type="dxa"/>
            </w:tcMar>
            <w:vAlign w:val="center"/>
          </w:tcPr>
          <w:p w14:paraId="00000310" w14:textId="77777777" w:rsidR="00294ABB" w:rsidRDefault="00420BFB" w:rsidP="00835B56">
            <w:pPr>
              <w:spacing w:after="0"/>
              <w:jc w:val="right"/>
              <w:rPr>
                <w:color w:val="000000"/>
                <w:sz w:val="18"/>
                <w:szCs w:val="18"/>
              </w:rPr>
            </w:pPr>
            <w:r>
              <w:rPr>
                <w:color w:val="000000"/>
                <w:sz w:val="18"/>
                <w:szCs w:val="18"/>
              </w:rPr>
              <w:t> </w:t>
            </w:r>
          </w:p>
        </w:tc>
        <w:tc>
          <w:tcPr>
            <w:tcW w:w="1072" w:type="dxa"/>
            <w:tcBorders>
              <w:top w:val="single" w:sz="8" w:space="0" w:color="000000"/>
              <w:left w:val="nil"/>
              <w:bottom w:val="single" w:sz="4" w:space="0" w:color="000000"/>
              <w:right w:val="single" w:sz="4" w:space="0" w:color="000000"/>
            </w:tcBorders>
            <w:shd w:val="clear" w:color="auto" w:fill="auto"/>
            <w:tcMar>
              <w:right w:w="227" w:type="dxa"/>
            </w:tcMar>
            <w:vAlign w:val="center"/>
          </w:tcPr>
          <w:p w14:paraId="00000311" w14:textId="77777777" w:rsidR="00294ABB" w:rsidRDefault="00420BFB" w:rsidP="00835B56">
            <w:pPr>
              <w:spacing w:after="0"/>
              <w:jc w:val="right"/>
              <w:rPr>
                <w:color w:val="000000"/>
                <w:sz w:val="18"/>
                <w:szCs w:val="18"/>
              </w:rPr>
            </w:pPr>
            <w:r>
              <w:rPr>
                <w:color w:val="000000"/>
                <w:sz w:val="18"/>
                <w:szCs w:val="18"/>
              </w:rPr>
              <w:t> </w:t>
            </w:r>
          </w:p>
        </w:tc>
        <w:tc>
          <w:tcPr>
            <w:tcW w:w="1071" w:type="dxa"/>
            <w:tcBorders>
              <w:top w:val="single" w:sz="8" w:space="0" w:color="000000"/>
              <w:left w:val="nil"/>
              <w:bottom w:val="single" w:sz="4" w:space="0" w:color="000000"/>
              <w:right w:val="single" w:sz="4" w:space="0" w:color="000000"/>
            </w:tcBorders>
            <w:shd w:val="clear" w:color="auto" w:fill="auto"/>
            <w:tcMar>
              <w:right w:w="227" w:type="dxa"/>
            </w:tcMar>
            <w:vAlign w:val="center"/>
          </w:tcPr>
          <w:p w14:paraId="00000312" w14:textId="77777777" w:rsidR="00294ABB" w:rsidRDefault="00420BFB" w:rsidP="00835B56">
            <w:pPr>
              <w:spacing w:after="0"/>
              <w:jc w:val="right"/>
              <w:rPr>
                <w:color w:val="000000"/>
                <w:sz w:val="18"/>
                <w:szCs w:val="18"/>
              </w:rPr>
            </w:pPr>
            <w:r>
              <w:rPr>
                <w:color w:val="000000"/>
                <w:sz w:val="18"/>
                <w:szCs w:val="18"/>
              </w:rPr>
              <w:t> </w:t>
            </w:r>
          </w:p>
        </w:tc>
        <w:tc>
          <w:tcPr>
            <w:tcW w:w="1072" w:type="dxa"/>
            <w:tcBorders>
              <w:top w:val="single" w:sz="8" w:space="0" w:color="000000"/>
              <w:left w:val="nil"/>
              <w:bottom w:val="single" w:sz="4" w:space="0" w:color="000000"/>
              <w:right w:val="single" w:sz="4" w:space="0" w:color="000000"/>
            </w:tcBorders>
            <w:shd w:val="clear" w:color="auto" w:fill="auto"/>
            <w:tcMar>
              <w:right w:w="227" w:type="dxa"/>
            </w:tcMar>
            <w:vAlign w:val="center"/>
          </w:tcPr>
          <w:p w14:paraId="00000313" w14:textId="77777777" w:rsidR="00294ABB" w:rsidRDefault="00420BFB" w:rsidP="00835B56">
            <w:pPr>
              <w:spacing w:after="0"/>
              <w:jc w:val="right"/>
              <w:rPr>
                <w:color w:val="000000"/>
                <w:sz w:val="18"/>
                <w:szCs w:val="18"/>
              </w:rPr>
            </w:pPr>
            <w:r>
              <w:rPr>
                <w:color w:val="000000"/>
                <w:sz w:val="18"/>
                <w:szCs w:val="18"/>
              </w:rPr>
              <w:t> </w:t>
            </w:r>
          </w:p>
        </w:tc>
        <w:tc>
          <w:tcPr>
            <w:tcW w:w="1071" w:type="dxa"/>
            <w:tcBorders>
              <w:top w:val="single" w:sz="8" w:space="0" w:color="000000"/>
              <w:left w:val="nil"/>
              <w:bottom w:val="single" w:sz="4" w:space="0" w:color="000000"/>
              <w:right w:val="single" w:sz="4" w:space="0" w:color="000000"/>
            </w:tcBorders>
            <w:shd w:val="clear" w:color="auto" w:fill="auto"/>
            <w:tcMar>
              <w:right w:w="227" w:type="dxa"/>
            </w:tcMar>
            <w:vAlign w:val="center"/>
          </w:tcPr>
          <w:p w14:paraId="00000314" w14:textId="77777777" w:rsidR="00294ABB" w:rsidRDefault="00420BFB" w:rsidP="00835B56">
            <w:pPr>
              <w:spacing w:after="0"/>
              <w:jc w:val="right"/>
              <w:rPr>
                <w:color w:val="000000"/>
                <w:sz w:val="18"/>
                <w:szCs w:val="18"/>
              </w:rPr>
            </w:pPr>
            <w:r>
              <w:rPr>
                <w:color w:val="000000"/>
                <w:sz w:val="18"/>
                <w:szCs w:val="18"/>
              </w:rPr>
              <w:t> </w:t>
            </w:r>
          </w:p>
        </w:tc>
        <w:tc>
          <w:tcPr>
            <w:tcW w:w="1072" w:type="dxa"/>
            <w:tcBorders>
              <w:top w:val="single" w:sz="8" w:space="0" w:color="000000"/>
              <w:left w:val="nil"/>
              <w:bottom w:val="single" w:sz="4" w:space="0" w:color="000000"/>
              <w:right w:val="single" w:sz="8" w:space="0" w:color="000000"/>
            </w:tcBorders>
            <w:shd w:val="clear" w:color="auto" w:fill="auto"/>
            <w:tcMar>
              <w:right w:w="227" w:type="dxa"/>
            </w:tcMar>
            <w:vAlign w:val="center"/>
          </w:tcPr>
          <w:p w14:paraId="00000315" w14:textId="77777777" w:rsidR="00294ABB" w:rsidRDefault="00420BFB" w:rsidP="00835B56">
            <w:pPr>
              <w:spacing w:after="0"/>
              <w:jc w:val="right"/>
              <w:rPr>
                <w:color w:val="000000"/>
                <w:sz w:val="18"/>
                <w:szCs w:val="18"/>
              </w:rPr>
            </w:pPr>
            <w:r>
              <w:rPr>
                <w:color w:val="000000"/>
                <w:sz w:val="18"/>
                <w:szCs w:val="18"/>
              </w:rPr>
              <w:t> </w:t>
            </w:r>
          </w:p>
        </w:tc>
      </w:tr>
      <w:tr w:rsidR="00294ABB" w14:paraId="2061C27E" w14:textId="77777777" w:rsidTr="00835B56">
        <w:trPr>
          <w:trHeight w:val="290"/>
          <w:jc w:val="center"/>
        </w:trPr>
        <w:tc>
          <w:tcPr>
            <w:tcW w:w="2480" w:type="dxa"/>
            <w:tcBorders>
              <w:top w:val="nil"/>
              <w:left w:val="single" w:sz="8" w:space="0" w:color="000000"/>
              <w:bottom w:val="single" w:sz="4" w:space="0" w:color="000000"/>
              <w:right w:val="single" w:sz="4" w:space="0" w:color="000000"/>
            </w:tcBorders>
            <w:shd w:val="clear" w:color="auto" w:fill="auto"/>
            <w:vAlign w:val="center"/>
          </w:tcPr>
          <w:p w14:paraId="00000316" w14:textId="22C09966" w:rsidR="00294ABB" w:rsidRDefault="00420BFB" w:rsidP="00835B56">
            <w:pPr>
              <w:tabs>
                <w:tab w:val="left" w:pos="794"/>
              </w:tabs>
              <w:spacing w:after="0"/>
              <w:jc w:val="left"/>
              <w:rPr>
                <w:color w:val="000000"/>
                <w:sz w:val="18"/>
                <w:szCs w:val="18"/>
              </w:rPr>
            </w:pPr>
            <w:r>
              <w:rPr>
                <w:color w:val="000000"/>
                <w:sz w:val="18"/>
                <w:szCs w:val="18"/>
              </w:rPr>
              <w:t>World</w:t>
            </w:r>
            <w:r w:rsidR="00331A64">
              <w:rPr>
                <w:color w:val="000000"/>
                <w:sz w:val="18"/>
                <w:szCs w:val="18"/>
              </w:rPr>
              <w:tab/>
            </w:r>
            <w:r>
              <w:rPr>
                <w:color w:val="000000"/>
                <w:sz w:val="18"/>
                <w:szCs w:val="18"/>
              </w:rPr>
              <w:t>Cultural exports</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317" w14:textId="77777777" w:rsidR="00294ABB" w:rsidRDefault="00420BFB" w:rsidP="00835B56">
            <w:pPr>
              <w:spacing w:after="0"/>
              <w:jc w:val="right"/>
              <w:rPr>
                <w:color w:val="000000"/>
                <w:sz w:val="18"/>
                <w:szCs w:val="18"/>
              </w:rPr>
            </w:pPr>
            <w:r>
              <w:rPr>
                <w:color w:val="000000"/>
                <w:sz w:val="18"/>
                <w:szCs w:val="18"/>
              </w:rPr>
              <w:t>23.479</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318" w14:textId="77777777" w:rsidR="00294ABB" w:rsidRDefault="00420BFB" w:rsidP="00835B56">
            <w:pPr>
              <w:spacing w:after="0"/>
              <w:jc w:val="right"/>
              <w:rPr>
                <w:color w:val="000000"/>
                <w:sz w:val="18"/>
                <w:szCs w:val="18"/>
              </w:rPr>
            </w:pPr>
            <w:r>
              <w:rPr>
                <w:color w:val="000000"/>
                <w:sz w:val="18"/>
                <w:szCs w:val="18"/>
              </w:rPr>
              <w:t>52.676</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319" w14:textId="77777777" w:rsidR="00294ABB" w:rsidRDefault="00420BFB" w:rsidP="00835B56">
            <w:pPr>
              <w:spacing w:after="0"/>
              <w:jc w:val="right"/>
              <w:rPr>
                <w:color w:val="000000"/>
                <w:sz w:val="18"/>
                <w:szCs w:val="18"/>
              </w:rPr>
            </w:pPr>
            <w:r>
              <w:rPr>
                <w:color w:val="000000"/>
                <w:sz w:val="18"/>
                <w:szCs w:val="18"/>
              </w:rPr>
              <w:t>244.289</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31A" w14:textId="77777777" w:rsidR="00294ABB" w:rsidRDefault="00420BFB" w:rsidP="00835B56">
            <w:pPr>
              <w:spacing w:after="0"/>
              <w:jc w:val="right"/>
              <w:rPr>
                <w:color w:val="000000"/>
                <w:sz w:val="18"/>
                <w:szCs w:val="18"/>
              </w:rPr>
            </w:pPr>
            <w:r>
              <w:rPr>
                <w:color w:val="000000"/>
                <w:sz w:val="18"/>
                <w:szCs w:val="18"/>
              </w:rPr>
              <w:t>61.498</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31B" w14:textId="77777777" w:rsidR="00294ABB" w:rsidRDefault="00420BFB" w:rsidP="00835B56">
            <w:pPr>
              <w:spacing w:after="0"/>
              <w:jc w:val="right"/>
              <w:rPr>
                <w:color w:val="000000"/>
                <w:sz w:val="18"/>
                <w:szCs w:val="18"/>
              </w:rPr>
            </w:pPr>
            <w:r>
              <w:rPr>
                <w:color w:val="000000"/>
                <w:sz w:val="18"/>
                <w:szCs w:val="18"/>
              </w:rPr>
              <w:t>0.000</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31C" w14:textId="77777777" w:rsidR="00294ABB" w:rsidRDefault="00420BFB" w:rsidP="00835B56">
            <w:pPr>
              <w:spacing w:after="0"/>
              <w:jc w:val="right"/>
              <w:rPr>
                <w:color w:val="000000"/>
                <w:sz w:val="18"/>
                <w:szCs w:val="18"/>
              </w:rPr>
            </w:pPr>
            <w:r>
              <w:rPr>
                <w:color w:val="000000"/>
                <w:sz w:val="18"/>
                <w:szCs w:val="18"/>
              </w:rPr>
              <w:t>0.019</w:t>
            </w:r>
          </w:p>
        </w:tc>
        <w:tc>
          <w:tcPr>
            <w:tcW w:w="1072" w:type="dxa"/>
            <w:tcBorders>
              <w:top w:val="nil"/>
              <w:left w:val="nil"/>
              <w:bottom w:val="single" w:sz="4" w:space="0" w:color="000000"/>
              <w:right w:val="single" w:sz="8" w:space="0" w:color="000000"/>
            </w:tcBorders>
            <w:shd w:val="clear" w:color="auto" w:fill="auto"/>
            <w:tcMar>
              <w:right w:w="227" w:type="dxa"/>
            </w:tcMar>
            <w:vAlign w:val="center"/>
          </w:tcPr>
          <w:p w14:paraId="0000031D" w14:textId="77777777" w:rsidR="00294ABB" w:rsidRDefault="00420BFB" w:rsidP="00835B56">
            <w:pPr>
              <w:spacing w:after="0"/>
              <w:jc w:val="right"/>
              <w:rPr>
                <w:color w:val="000000"/>
                <w:sz w:val="18"/>
                <w:szCs w:val="18"/>
              </w:rPr>
            </w:pPr>
            <w:r>
              <w:rPr>
                <w:color w:val="000000"/>
                <w:sz w:val="18"/>
                <w:szCs w:val="18"/>
              </w:rPr>
              <w:t>381.961</w:t>
            </w:r>
          </w:p>
        </w:tc>
      </w:tr>
      <w:tr w:rsidR="00294ABB" w14:paraId="616F117F" w14:textId="77777777" w:rsidTr="00835B56">
        <w:trPr>
          <w:trHeight w:val="290"/>
          <w:jc w:val="center"/>
        </w:trPr>
        <w:tc>
          <w:tcPr>
            <w:tcW w:w="2480" w:type="dxa"/>
            <w:tcBorders>
              <w:top w:val="nil"/>
              <w:left w:val="single" w:sz="8" w:space="0" w:color="000000"/>
              <w:bottom w:val="single" w:sz="4" w:space="0" w:color="000000"/>
              <w:right w:val="single" w:sz="4" w:space="0" w:color="000000"/>
            </w:tcBorders>
            <w:shd w:val="clear" w:color="auto" w:fill="auto"/>
            <w:vAlign w:val="center"/>
          </w:tcPr>
          <w:p w14:paraId="0000031E" w14:textId="16F1E8D3" w:rsidR="00294ABB" w:rsidRDefault="00331A64" w:rsidP="00835B56">
            <w:pPr>
              <w:tabs>
                <w:tab w:val="left" w:pos="794"/>
              </w:tabs>
              <w:spacing w:after="0"/>
              <w:rPr>
                <w:color w:val="000000"/>
                <w:sz w:val="18"/>
                <w:szCs w:val="18"/>
              </w:rPr>
            </w:pPr>
            <w:r>
              <w:rPr>
                <w:color w:val="000000"/>
                <w:sz w:val="18"/>
                <w:szCs w:val="18"/>
              </w:rPr>
              <w:tab/>
            </w:r>
            <w:r w:rsidR="00420BFB">
              <w:rPr>
                <w:color w:val="000000"/>
                <w:sz w:val="18"/>
                <w:szCs w:val="18"/>
              </w:rPr>
              <w:t>Cultural imports</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31F" w14:textId="77777777" w:rsidR="00294ABB" w:rsidRDefault="00420BFB" w:rsidP="00835B56">
            <w:pPr>
              <w:spacing w:after="0"/>
              <w:jc w:val="right"/>
              <w:rPr>
                <w:color w:val="000000"/>
                <w:sz w:val="18"/>
                <w:szCs w:val="18"/>
              </w:rPr>
            </w:pPr>
            <w:r>
              <w:rPr>
                <w:color w:val="000000"/>
                <w:sz w:val="18"/>
                <w:szCs w:val="18"/>
              </w:rPr>
              <w:t>2.963</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320" w14:textId="77777777" w:rsidR="00294ABB" w:rsidRDefault="00420BFB" w:rsidP="00835B56">
            <w:pPr>
              <w:spacing w:after="0"/>
              <w:jc w:val="right"/>
              <w:rPr>
                <w:color w:val="000000"/>
                <w:sz w:val="18"/>
                <w:szCs w:val="18"/>
              </w:rPr>
            </w:pPr>
            <w:r>
              <w:rPr>
                <w:color w:val="000000"/>
                <w:sz w:val="18"/>
                <w:szCs w:val="18"/>
              </w:rPr>
              <w:t>97.121</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321" w14:textId="77777777" w:rsidR="00294ABB" w:rsidRDefault="00420BFB" w:rsidP="00835B56">
            <w:pPr>
              <w:spacing w:after="0"/>
              <w:jc w:val="right"/>
              <w:rPr>
                <w:color w:val="000000"/>
                <w:sz w:val="18"/>
                <w:szCs w:val="18"/>
              </w:rPr>
            </w:pPr>
            <w:r>
              <w:rPr>
                <w:color w:val="000000"/>
                <w:sz w:val="18"/>
                <w:szCs w:val="18"/>
              </w:rPr>
              <w:t>184.143</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322" w14:textId="77777777" w:rsidR="00294ABB" w:rsidRDefault="00420BFB" w:rsidP="00835B56">
            <w:pPr>
              <w:spacing w:after="0"/>
              <w:jc w:val="right"/>
              <w:rPr>
                <w:color w:val="000000"/>
                <w:sz w:val="18"/>
                <w:szCs w:val="18"/>
              </w:rPr>
            </w:pPr>
            <w:r>
              <w:rPr>
                <w:color w:val="000000"/>
                <w:sz w:val="18"/>
                <w:szCs w:val="18"/>
              </w:rPr>
              <w:t>110.415</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323" w14:textId="77777777" w:rsidR="00294ABB" w:rsidRDefault="00420BFB" w:rsidP="00835B56">
            <w:pPr>
              <w:spacing w:after="0"/>
              <w:jc w:val="right"/>
              <w:rPr>
                <w:color w:val="000000"/>
                <w:sz w:val="18"/>
                <w:szCs w:val="18"/>
              </w:rPr>
            </w:pPr>
            <w:r>
              <w:rPr>
                <w:color w:val="000000"/>
                <w:sz w:val="18"/>
                <w:szCs w:val="18"/>
              </w:rPr>
              <w:t>0.000</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324" w14:textId="77777777" w:rsidR="00294ABB" w:rsidRDefault="00420BFB" w:rsidP="00835B56">
            <w:pPr>
              <w:spacing w:after="0"/>
              <w:jc w:val="right"/>
              <w:rPr>
                <w:color w:val="000000"/>
                <w:sz w:val="18"/>
                <w:szCs w:val="18"/>
              </w:rPr>
            </w:pPr>
            <w:r>
              <w:rPr>
                <w:color w:val="000000"/>
                <w:sz w:val="18"/>
                <w:szCs w:val="18"/>
              </w:rPr>
              <w:t>0.100</w:t>
            </w:r>
          </w:p>
        </w:tc>
        <w:tc>
          <w:tcPr>
            <w:tcW w:w="1072" w:type="dxa"/>
            <w:tcBorders>
              <w:top w:val="nil"/>
              <w:left w:val="nil"/>
              <w:bottom w:val="single" w:sz="4" w:space="0" w:color="000000"/>
              <w:right w:val="single" w:sz="8" w:space="0" w:color="000000"/>
            </w:tcBorders>
            <w:shd w:val="clear" w:color="auto" w:fill="auto"/>
            <w:tcMar>
              <w:right w:w="227" w:type="dxa"/>
            </w:tcMar>
            <w:vAlign w:val="center"/>
          </w:tcPr>
          <w:p w14:paraId="00000325" w14:textId="77777777" w:rsidR="00294ABB" w:rsidRDefault="00420BFB" w:rsidP="00835B56">
            <w:pPr>
              <w:spacing w:after="0"/>
              <w:jc w:val="right"/>
              <w:rPr>
                <w:color w:val="000000"/>
                <w:sz w:val="18"/>
                <w:szCs w:val="18"/>
              </w:rPr>
            </w:pPr>
            <w:r>
              <w:rPr>
                <w:color w:val="000000"/>
                <w:sz w:val="18"/>
                <w:szCs w:val="18"/>
              </w:rPr>
              <w:t>394.742</w:t>
            </w:r>
          </w:p>
        </w:tc>
      </w:tr>
      <w:tr w:rsidR="00294ABB" w14:paraId="7CFF180A" w14:textId="77777777" w:rsidTr="00835B56">
        <w:trPr>
          <w:trHeight w:val="290"/>
          <w:jc w:val="center"/>
        </w:trPr>
        <w:tc>
          <w:tcPr>
            <w:tcW w:w="2480" w:type="dxa"/>
            <w:tcBorders>
              <w:top w:val="nil"/>
              <w:left w:val="single" w:sz="8" w:space="0" w:color="000000"/>
              <w:bottom w:val="single" w:sz="4" w:space="0" w:color="000000"/>
              <w:right w:val="single" w:sz="4" w:space="0" w:color="000000"/>
            </w:tcBorders>
            <w:shd w:val="clear" w:color="auto" w:fill="auto"/>
            <w:vAlign w:val="center"/>
          </w:tcPr>
          <w:p w14:paraId="00000326" w14:textId="77777777" w:rsidR="00294ABB" w:rsidRDefault="00420BFB" w:rsidP="00835B56">
            <w:pPr>
              <w:tabs>
                <w:tab w:val="left" w:pos="794"/>
              </w:tabs>
              <w:spacing w:after="0"/>
              <w:jc w:val="right"/>
              <w:rPr>
                <w:i/>
                <w:color w:val="000000"/>
                <w:sz w:val="18"/>
                <w:szCs w:val="18"/>
              </w:rPr>
            </w:pPr>
            <w:r>
              <w:rPr>
                <w:i/>
                <w:color w:val="000000"/>
                <w:sz w:val="18"/>
                <w:szCs w:val="18"/>
              </w:rPr>
              <w:t>Cultural trade balance</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327" w14:textId="77777777" w:rsidR="00294ABB" w:rsidRDefault="00420BFB" w:rsidP="00835B56">
            <w:pPr>
              <w:spacing w:after="0"/>
              <w:jc w:val="right"/>
              <w:rPr>
                <w:i/>
                <w:color w:val="000000"/>
                <w:sz w:val="18"/>
                <w:szCs w:val="18"/>
              </w:rPr>
            </w:pPr>
            <w:r>
              <w:rPr>
                <w:i/>
                <w:color w:val="000000"/>
                <w:sz w:val="18"/>
                <w:szCs w:val="18"/>
              </w:rPr>
              <w:t>20.516</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328" w14:textId="77777777" w:rsidR="00294ABB" w:rsidRDefault="00420BFB" w:rsidP="00835B56">
            <w:pPr>
              <w:spacing w:after="0"/>
              <w:jc w:val="right"/>
              <w:rPr>
                <w:i/>
                <w:color w:val="000000"/>
                <w:sz w:val="18"/>
                <w:szCs w:val="18"/>
              </w:rPr>
            </w:pPr>
            <w:r>
              <w:rPr>
                <w:i/>
                <w:color w:val="000000"/>
                <w:sz w:val="18"/>
                <w:szCs w:val="18"/>
              </w:rPr>
              <w:t>-44.445</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329" w14:textId="77777777" w:rsidR="00294ABB" w:rsidRDefault="00420BFB" w:rsidP="00835B56">
            <w:pPr>
              <w:spacing w:after="0"/>
              <w:jc w:val="right"/>
              <w:rPr>
                <w:i/>
                <w:color w:val="000000"/>
                <w:sz w:val="18"/>
                <w:szCs w:val="18"/>
              </w:rPr>
            </w:pPr>
            <w:r>
              <w:rPr>
                <w:i/>
                <w:color w:val="000000"/>
                <w:sz w:val="18"/>
                <w:szCs w:val="18"/>
              </w:rPr>
              <w:t>60.146</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32A" w14:textId="77777777" w:rsidR="00294ABB" w:rsidRDefault="00420BFB" w:rsidP="00835B56">
            <w:pPr>
              <w:spacing w:after="0"/>
              <w:jc w:val="right"/>
              <w:rPr>
                <w:i/>
                <w:color w:val="000000"/>
                <w:sz w:val="18"/>
                <w:szCs w:val="18"/>
              </w:rPr>
            </w:pPr>
            <w:r>
              <w:rPr>
                <w:i/>
                <w:color w:val="000000"/>
                <w:sz w:val="18"/>
                <w:szCs w:val="18"/>
              </w:rPr>
              <w:t>-48.917</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32B" w14:textId="77777777" w:rsidR="00294ABB" w:rsidRDefault="00420BFB" w:rsidP="00835B56">
            <w:pPr>
              <w:spacing w:after="0"/>
              <w:jc w:val="right"/>
              <w:rPr>
                <w:i/>
                <w:color w:val="000000"/>
                <w:sz w:val="18"/>
                <w:szCs w:val="18"/>
              </w:rPr>
            </w:pPr>
            <w:r>
              <w:rPr>
                <w:i/>
                <w:color w:val="000000"/>
                <w:sz w:val="18"/>
                <w:szCs w:val="18"/>
              </w:rPr>
              <w:t>0.000</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32C" w14:textId="77777777" w:rsidR="00294ABB" w:rsidRDefault="00420BFB" w:rsidP="00835B56">
            <w:pPr>
              <w:spacing w:after="0"/>
              <w:jc w:val="right"/>
              <w:rPr>
                <w:i/>
                <w:color w:val="000000"/>
                <w:sz w:val="18"/>
                <w:szCs w:val="18"/>
              </w:rPr>
            </w:pPr>
            <w:r>
              <w:rPr>
                <w:i/>
                <w:color w:val="000000"/>
                <w:sz w:val="18"/>
                <w:szCs w:val="18"/>
              </w:rPr>
              <w:t>-0.081</w:t>
            </w:r>
          </w:p>
        </w:tc>
        <w:tc>
          <w:tcPr>
            <w:tcW w:w="1072" w:type="dxa"/>
            <w:tcBorders>
              <w:top w:val="nil"/>
              <w:left w:val="nil"/>
              <w:bottom w:val="single" w:sz="4" w:space="0" w:color="000000"/>
              <w:right w:val="single" w:sz="8" w:space="0" w:color="000000"/>
            </w:tcBorders>
            <w:shd w:val="clear" w:color="auto" w:fill="auto"/>
            <w:tcMar>
              <w:right w:w="227" w:type="dxa"/>
            </w:tcMar>
            <w:vAlign w:val="center"/>
          </w:tcPr>
          <w:p w14:paraId="0000032D" w14:textId="77777777" w:rsidR="00294ABB" w:rsidRDefault="00420BFB" w:rsidP="00835B56">
            <w:pPr>
              <w:spacing w:after="0"/>
              <w:jc w:val="right"/>
              <w:rPr>
                <w:i/>
                <w:color w:val="000000"/>
                <w:sz w:val="18"/>
                <w:szCs w:val="18"/>
              </w:rPr>
            </w:pPr>
            <w:r>
              <w:rPr>
                <w:i/>
                <w:color w:val="000000"/>
                <w:sz w:val="18"/>
                <w:szCs w:val="18"/>
              </w:rPr>
              <w:t>-12.781</w:t>
            </w:r>
          </w:p>
        </w:tc>
      </w:tr>
      <w:tr w:rsidR="00294ABB" w14:paraId="614A2ED8" w14:textId="77777777" w:rsidTr="00835B56">
        <w:trPr>
          <w:trHeight w:val="290"/>
          <w:jc w:val="center"/>
        </w:trPr>
        <w:tc>
          <w:tcPr>
            <w:tcW w:w="2480" w:type="dxa"/>
            <w:tcBorders>
              <w:top w:val="nil"/>
              <w:left w:val="single" w:sz="8" w:space="0" w:color="000000"/>
              <w:bottom w:val="single" w:sz="4" w:space="0" w:color="000000"/>
              <w:right w:val="single" w:sz="4" w:space="0" w:color="000000"/>
            </w:tcBorders>
            <w:shd w:val="clear" w:color="auto" w:fill="auto"/>
            <w:vAlign w:val="center"/>
          </w:tcPr>
          <w:p w14:paraId="0000032E" w14:textId="77777777" w:rsidR="00294ABB" w:rsidRDefault="00420BFB" w:rsidP="00835B56">
            <w:pPr>
              <w:tabs>
                <w:tab w:val="left" w:pos="794"/>
              </w:tabs>
              <w:spacing w:after="0"/>
              <w:jc w:val="left"/>
              <w:rPr>
                <w:b/>
                <w:color w:val="000000"/>
                <w:sz w:val="18"/>
                <w:szCs w:val="18"/>
              </w:rPr>
            </w:pPr>
            <w:r>
              <w:rPr>
                <w:b/>
                <w:color w:val="000000"/>
                <w:sz w:val="18"/>
                <w:szCs w:val="18"/>
              </w:rPr>
              <w:t>2020</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32F" w14:textId="77777777" w:rsidR="00294ABB" w:rsidRDefault="00420BFB" w:rsidP="00835B56">
            <w:pPr>
              <w:spacing w:after="0"/>
              <w:jc w:val="right"/>
              <w:rPr>
                <w:color w:val="000000"/>
                <w:sz w:val="18"/>
                <w:szCs w:val="18"/>
              </w:rPr>
            </w:pPr>
            <w:r>
              <w:rPr>
                <w:color w:val="000000"/>
                <w:sz w:val="18"/>
                <w:szCs w:val="18"/>
              </w:rPr>
              <w:t> </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330" w14:textId="77777777" w:rsidR="00294ABB" w:rsidRDefault="00420BFB" w:rsidP="00835B56">
            <w:pPr>
              <w:spacing w:after="0"/>
              <w:jc w:val="right"/>
              <w:rPr>
                <w:color w:val="000000"/>
                <w:sz w:val="18"/>
                <w:szCs w:val="18"/>
              </w:rPr>
            </w:pPr>
            <w:r>
              <w:rPr>
                <w:color w:val="000000"/>
                <w:sz w:val="18"/>
                <w:szCs w:val="18"/>
              </w:rPr>
              <w:t> </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331" w14:textId="77777777" w:rsidR="00294ABB" w:rsidRDefault="00420BFB" w:rsidP="00835B56">
            <w:pPr>
              <w:spacing w:after="0"/>
              <w:jc w:val="right"/>
              <w:rPr>
                <w:color w:val="000000"/>
                <w:sz w:val="18"/>
                <w:szCs w:val="18"/>
              </w:rPr>
            </w:pPr>
            <w:r>
              <w:rPr>
                <w:color w:val="000000"/>
                <w:sz w:val="18"/>
                <w:szCs w:val="18"/>
              </w:rPr>
              <w:t> </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332" w14:textId="77777777" w:rsidR="00294ABB" w:rsidRDefault="00420BFB" w:rsidP="00835B56">
            <w:pPr>
              <w:spacing w:after="0"/>
              <w:jc w:val="right"/>
              <w:rPr>
                <w:color w:val="000000"/>
                <w:sz w:val="18"/>
                <w:szCs w:val="18"/>
              </w:rPr>
            </w:pPr>
            <w:r>
              <w:rPr>
                <w:color w:val="000000"/>
                <w:sz w:val="18"/>
                <w:szCs w:val="18"/>
              </w:rPr>
              <w:t> </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333" w14:textId="77777777" w:rsidR="00294ABB" w:rsidRDefault="00420BFB" w:rsidP="00835B56">
            <w:pPr>
              <w:spacing w:after="0"/>
              <w:jc w:val="right"/>
              <w:rPr>
                <w:color w:val="000000"/>
                <w:sz w:val="18"/>
                <w:szCs w:val="18"/>
              </w:rPr>
            </w:pPr>
            <w:r>
              <w:rPr>
                <w:color w:val="000000"/>
                <w:sz w:val="18"/>
                <w:szCs w:val="18"/>
              </w:rPr>
              <w:t> </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334" w14:textId="77777777" w:rsidR="00294ABB" w:rsidRDefault="00420BFB" w:rsidP="00835B56">
            <w:pPr>
              <w:spacing w:after="0"/>
              <w:jc w:val="right"/>
              <w:rPr>
                <w:color w:val="000000"/>
                <w:sz w:val="18"/>
                <w:szCs w:val="18"/>
              </w:rPr>
            </w:pPr>
            <w:r>
              <w:rPr>
                <w:color w:val="000000"/>
                <w:sz w:val="18"/>
                <w:szCs w:val="18"/>
              </w:rPr>
              <w:t> </w:t>
            </w:r>
          </w:p>
        </w:tc>
        <w:tc>
          <w:tcPr>
            <w:tcW w:w="1072" w:type="dxa"/>
            <w:tcBorders>
              <w:top w:val="nil"/>
              <w:left w:val="nil"/>
              <w:bottom w:val="single" w:sz="4" w:space="0" w:color="000000"/>
              <w:right w:val="single" w:sz="8" w:space="0" w:color="000000"/>
            </w:tcBorders>
            <w:shd w:val="clear" w:color="auto" w:fill="auto"/>
            <w:tcMar>
              <w:right w:w="227" w:type="dxa"/>
            </w:tcMar>
            <w:vAlign w:val="center"/>
          </w:tcPr>
          <w:p w14:paraId="00000335" w14:textId="77777777" w:rsidR="00294ABB" w:rsidRDefault="00420BFB" w:rsidP="00835B56">
            <w:pPr>
              <w:spacing w:after="0"/>
              <w:jc w:val="right"/>
              <w:rPr>
                <w:color w:val="000000"/>
                <w:sz w:val="18"/>
                <w:szCs w:val="18"/>
              </w:rPr>
            </w:pPr>
            <w:r>
              <w:rPr>
                <w:color w:val="000000"/>
                <w:sz w:val="18"/>
                <w:szCs w:val="18"/>
              </w:rPr>
              <w:t> </w:t>
            </w:r>
          </w:p>
        </w:tc>
      </w:tr>
      <w:tr w:rsidR="00294ABB" w14:paraId="75F3EE01" w14:textId="77777777" w:rsidTr="00835B56">
        <w:trPr>
          <w:trHeight w:val="290"/>
          <w:jc w:val="center"/>
        </w:trPr>
        <w:tc>
          <w:tcPr>
            <w:tcW w:w="2480" w:type="dxa"/>
            <w:tcBorders>
              <w:top w:val="nil"/>
              <w:left w:val="single" w:sz="8" w:space="0" w:color="000000"/>
              <w:bottom w:val="single" w:sz="4" w:space="0" w:color="000000"/>
              <w:right w:val="single" w:sz="4" w:space="0" w:color="000000"/>
            </w:tcBorders>
            <w:shd w:val="clear" w:color="auto" w:fill="auto"/>
            <w:vAlign w:val="center"/>
          </w:tcPr>
          <w:p w14:paraId="00000336" w14:textId="40B513FA" w:rsidR="00294ABB" w:rsidRDefault="00420BFB" w:rsidP="00835B56">
            <w:pPr>
              <w:tabs>
                <w:tab w:val="left" w:pos="794"/>
              </w:tabs>
              <w:spacing w:after="0"/>
              <w:jc w:val="left"/>
              <w:rPr>
                <w:color w:val="000000"/>
                <w:sz w:val="18"/>
                <w:szCs w:val="18"/>
              </w:rPr>
            </w:pPr>
            <w:r>
              <w:rPr>
                <w:color w:val="000000"/>
                <w:sz w:val="18"/>
                <w:szCs w:val="18"/>
              </w:rPr>
              <w:t>World</w:t>
            </w:r>
            <w:r w:rsidR="00331A64">
              <w:rPr>
                <w:color w:val="000000"/>
                <w:sz w:val="18"/>
                <w:szCs w:val="18"/>
              </w:rPr>
              <w:tab/>
            </w:r>
            <w:r>
              <w:rPr>
                <w:color w:val="000000"/>
                <w:sz w:val="18"/>
                <w:szCs w:val="18"/>
              </w:rPr>
              <w:t>Cultural exports</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337" w14:textId="77777777" w:rsidR="00294ABB" w:rsidRDefault="00420BFB" w:rsidP="00835B56">
            <w:pPr>
              <w:spacing w:after="0"/>
              <w:jc w:val="right"/>
              <w:rPr>
                <w:color w:val="000000"/>
                <w:sz w:val="18"/>
                <w:szCs w:val="18"/>
              </w:rPr>
            </w:pPr>
            <w:r>
              <w:rPr>
                <w:color w:val="000000"/>
                <w:sz w:val="18"/>
                <w:szCs w:val="18"/>
              </w:rPr>
              <w:t>16.951</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338" w14:textId="77777777" w:rsidR="00294ABB" w:rsidRDefault="00420BFB" w:rsidP="00835B56">
            <w:pPr>
              <w:spacing w:after="0"/>
              <w:jc w:val="right"/>
              <w:rPr>
                <w:color w:val="000000"/>
                <w:sz w:val="18"/>
                <w:szCs w:val="18"/>
              </w:rPr>
            </w:pPr>
            <w:r>
              <w:rPr>
                <w:color w:val="000000"/>
                <w:sz w:val="18"/>
                <w:szCs w:val="18"/>
              </w:rPr>
              <w:t>34.425</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339" w14:textId="77777777" w:rsidR="00294ABB" w:rsidRDefault="00420BFB" w:rsidP="00835B56">
            <w:pPr>
              <w:spacing w:after="0"/>
              <w:jc w:val="right"/>
              <w:rPr>
                <w:color w:val="000000"/>
                <w:sz w:val="18"/>
                <w:szCs w:val="18"/>
              </w:rPr>
            </w:pPr>
            <w:r>
              <w:rPr>
                <w:color w:val="000000"/>
                <w:sz w:val="18"/>
                <w:szCs w:val="18"/>
              </w:rPr>
              <w:t>191.599</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33A" w14:textId="77777777" w:rsidR="00294ABB" w:rsidRDefault="00420BFB" w:rsidP="00835B56">
            <w:pPr>
              <w:spacing w:after="0"/>
              <w:jc w:val="right"/>
              <w:rPr>
                <w:color w:val="000000"/>
                <w:sz w:val="18"/>
                <w:szCs w:val="18"/>
              </w:rPr>
            </w:pPr>
            <w:r>
              <w:rPr>
                <w:color w:val="000000"/>
                <w:sz w:val="18"/>
                <w:szCs w:val="18"/>
              </w:rPr>
              <w:t>73.46</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33B" w14:textId="77777777" w:rsidR="00294ABB" w:rsidRDefault="00420BFB" w:rsidP="00835B56">
            <w:pPr>
              <w:spacing w:after="0"/>
              <w:jc w:val="right"/>
              <w:rPr>
                <w:color w:val="000000"/>
                <w:sz w:val="18"/>
                <w:szCs w:val="18"/>
              </w:rPr>
            </w:pPr>
            <w:r>
              <w:rPr>
                <w:color w:val="000000"/>
                <w:sz w:val="18"/>
                <w:szCs w:val="18"/>
              </w:rPr>
              <w:t>0.002</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33C" w14:textId="77777777" w:rsidR="00294ABB" w:rsidRDefault="00420BFB" w:rsidP="00835B56">
            <w:pPr>
              <w:spacing w:after="0"/>
              <w:jc w:val="right"/>
              <w:rPr>
                <w:color w:val="000000"/>
                <w:sz w:val="18"/>
                <w:szCs w:val="18"/>
              </w:rPr>
            </w:pPr>
            <w:r>
              <w:rPr>
                <w:color w:val="000000"/>
                <w:sz w:val="18"/>
                <w:szCs w:val="18"/>
              </w:rPr>
              <w:t>0.021</w:t>
            </w:r>
          </w:p>
        </w:tc>
        <w:tc>
          <w:tcPr>
            <w:tcW w:w="1072" w:type="dxa"/>
            <w:tcBorders>
              <w:top w:val="nil"/>
              <w:left w:val="nil"/>
              <w:bottom w:val="single" w:sz="4" w:space="0" w:color="000000"/>
              <w:right w:val="single" w:sz="8" w:space="0" w:color="000000"/>
            </w:tcBorders>
            <w:shd w:val="clear" w:color="auto" w:fill="auto"/>
            <w:tcMar>
              <w:right w:w="227" w:type="dxa"/>
            </w:tcMar>
            <w:vAlign w:val="center"/>
          </w:tcPr>
          <w:p w14:paraId="0000033D" w14:textId="77777777" w:rsidR="00294ABB" w:rsidRDefault="00420BFB" w:rsidP="00835B56">
            <w:pPr>
              <w:spacing w:after="0"/>
              <w:jc w:val="right"/>
              <w:rPr>
                <w:color w:val="000000"/>
                <w:sz w:val="18"/>
                <w:szCs w:val="18"/>
              </w:rPr>
            </w:pPr>
            <w:r>
              <w:rPr>
                <w:color w:val="000000"/>
                <w:sz w:val="18"/>
                <w:szCs w:val="18"/>
              </w:rPr>
              <w:t>316.458</w:t>
            </w:r>
          </w:p>
        </w:tc>
      </w:tr>
      <w:tr w:rsidR="00294ABB" w14:paraId="29FE9EE4" w14:textId="77777777" w:rsidTr="00835B56">
        <w:trPr>
          <w:trHeight w:val="290"/>
          <w:jc w:val="center"/>
        </w:trPr>
        <w:tc>
          <w:tcPr>
            <w:tcW w:w="2480" w:type="dxa"/>
            <w:tcBorders>
              <w:top w:val="nil"/>
              <w:left w:val="single" w:sz="8" w:space="0" w:color="000000"/>
              <w:bottom w:val="single" w:sz="4" w:space="0" w:color="000000"/>
              <w:right w:val="single" w:sz="4" w:space="0" w:color="000000"/>
            </w:tcBorders>
            <w:shd w:val="clear" w:color="auto" w:fill="auto"/>
            <w:vAlign w:val="center"/>
          </w:tcPr>
          <w:p w14:paraId="0000033E" w14:textId="74B33317" w:rsidR="00294ABB" w:rsidRDefault="00331A64" w:rsidP="00835B56">
            <w:pPr>
              <w:tabs>
                <w:tab w:val="left" w:pos="794"/>
              </w:tabs>
              <w:spacing w:after="0"/>
              <w:rPr>
                <w:color w:val="000000"/>
                <w:sz w:val="18"/>
                <w:szCs w:val="18"/>
              </w:rPr>
            </w:pPr>
            <w:r>
              <w:rPr>
                <w:color w:val="000000"/>
                <w:sz w:val="18"/>
                <w:szCs w:val="18"/>
              </w:rPr>
              <w:tab/>
            </w:r>
            <w:r w:rsidR="00420BFB">
              <w:rPr>
                <w:color w:val="000000"/>
                <w:sz w:val="18"/>
                <w:szCs w:val="18"/>
              </w:rPr>
              <w:t>Cultural imports</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33F" w14:textId="77777777" w:rsidR="00294ABB" w:rsidRDefault="00420BFB" w:rsidP="00835B56">
            <w:pPr>
              <w:spacing w:after="0"/>
              <w:jc w:val="right"/>
              <w:rPr>
                <w:color w:val="000000"/>
                <w:sz w:val="18"/>
                <w:szCs w:val="18"/>
              </w:rPr>
            </w:pPr>
            <w:r>
              <w:rPr>
                <w:color w:val="000000"/>
                <w:sz w:val="18"/>
                <w:szCs w:val="18"/>
              </w:rPr>
              <w:t>0.687</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340" w14:textId="77777777" w:rsidR="00294ABB" w:rsidRDefault="00420BFB" w:rsidP="00835B56">
            <w:pPr>
              <w:spacing w:after="0"/>
              <w:jc w:val="right"/>
              <w:rPr>
                <w:color w:val="000000"/>
                <w:sz w:val="18"/>
                <w:szCs w:val="18"/>
              </w:rPr>
            </w:pPr>
            <w:r>
              <w:rPr>
                <w:color w:val="000000"/>
                <w:sz w:val="18"/>
                <w:szCs w:val="18"/>
              </w:rPr>
              <w:t>70.408</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341" w14:textId="77777777" w:rsidR="00294ABB" w:rsidRDefault="00420BFB" w:rsidP="00835B56">
            <w:pPr>
              <w:spacing w:after="0"/>
              <w:jc w:val="right"/>
              <w:rPr>
                <w:color w:val="000000"/>
                <w:sz w:val="18"/>
                <w:szCs w:val="18"/>
              </w:rPr>
            </w:pPr>
            <w:r>
              <w:rPr>
                <w:color w:val="000000"/>
                <w:sz w:val="18"/>
                <w:szCs w:val="18"/>
              </w:rPr>
              <w:t>117.438</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342" w14:textId="77777777" w:rsidR="00294ABB" w:rsidRDefault="00420BFB" w:rsidP="00835B56">
            <w:pPr>
              <w:spacing w:after="0"/>
              <w:jc w:val="right"/>
              <w:rPr>
                <w:color w:val="000000"/>
                <w:sz w:val="18"/>
                <w:szCs w:val="18"/>
              </w:rPr>
            </w:pPr>
            <w:r>
              <w:rPr>
                <w:color w:val="000000"/>
                <w:sz w:val="18"/>
                <w:szCs w:val="18"/>
              </w:rPr>
              <w:t>68.595</w:t>
            </w:r>
          </w:p>
        </w:tc>
        <w:tc>
          <w:tcPr>
            <w:tcW w:w="1072" w:type="dxa"/>
            <w:tcBorders>
              <w:top w:val="nil"/>
              <w:left w:val="nil"/>
              <w:bottom w:val="single" w:sz="4" w:space="0" w:color="000000"/>
              <w:right w:val="single" w:sz="4" w:space="0" w:color="000000"/>
            </w:tcBorders>
            <w:shd w:val="clear" w:color="auto" w:fill="auto"/>
            <w:tcMar>
              <w:right w:w="227" w:type="dxa"/>
            </w:tcMar>
            <w:vAlign w:val="center"/>
          </w:tcPr>
          <w:p w14:paraId="00000343" w14:textId="77777777" w:rsidR="00294ABB" w:rsidRDefault="00420BFB" w:rsidP="00835B56">
            <w:pPr>
              <w:spacing w:after="0"/>
              <w:jc w:val="right"/>
              <w:rPr>
                <w:color w:val="000000"/>
                <w:sz w:val="18"/>
                <w:szCs w:val="18"/>
              </w:rPr>
            </w:pPr>
            <w:r>
              <w:rPr>
                <w:color w:val="000000"/>
                <w:sz w:val="18"/>
                <w:szCs w:val="18"/>
              </w:rPr>
              <w:t>0.000</w:t>
            </w:r>
          </w:p>
        </w:tc>
        <w:tc>
          <w:tcPr>
            <w:tcW w:w="1071" w:type="dxa"/>
            <w:tcBorders>
              <w:top w:val="nil"/>
              <w:left w:val="nil"/>
              <w:bottom w:val="single" w:sz="4" w:space="0" w:color="000000"/>
              <w:right w:val="single" w:sz="4" w:space="0" w:color="000000"/>
            </w:tcBorders>
            <w:shd w:val="clear" w:color="auto" w:fill="auto"/>
            <w:tcMar>
              <w:right w:w="227" w:type="dxa"/>
            </w:tcMar>
            <w:vAlign w:val="center"/>
          </w:tcPr>
          <w:p w14:paraId="00000344" w14:textId="77777777" w:rsidR="00294ABB" w:rsidRDefault="00420BFB" w:rsidP="00835B56">
            <w:pPr>
              <w:spacing w:after="0"/>
              <w:jc w:val="right"/>
              <w:rPr>
                <w:color w:val="000000"/>
                <w:sz w:val="18"/>
                <w:szCs w:val="18"/>
              </w:rPr>
            </w:pPr>
            <w:r>
              <w:rPr>
                <w:color w:val="000000"/>
                <w:sz w:val="18"/>
                <w:szCs w:val="18"/>
              </w:rPr>
              <w:t>0.676</w:t>
            </w:r>
          </w:p>
        </w:tc>
        <w:tc>
          <w:tcPr>
            <w:tcW w:w="1072" w:type="dxa"/>
            <w:tcBorders>
              <w:top w:val="nil"/>
              <w:left w:val="nil"/>
              <w:bottom w:val="single" w:sz="4" w:space="0" w:color="000000"/>
              <w:right w:val="single" w:sz="8" w:space="0" w:color="000000"/>
            </w:tcBorders>
            <w:shd w:val="clear" w:color="auto" w:fill="auto"/>
            <w:tcMar>
              <w:right w:w="227" w:type="dxa"/>
            </w:tcMar>
            <w:vAlign w:val="center"/>
          </w:tcPr>
          <w:p w14:paraId="00000345" w14:textId="77777777" w:rsidR="00294ABB" w:rsidRDefault="00420BFB" w:rsidP="00835B56">
            <w:pPr>
              <w:spacing w:after="0"/>
              <w:jc w:val="right"/>
              <w:rPr>
                <w:color w:val="000000"/>
                <w:sz w:val="18"/>
                <w:szCs w:val="18"/>
              </w:rPr>
            </w:pPr>
            <w:r>
              <w:rPr>
                <w:color w:val="000000"/>
                <w:sz w:val="18"/>
                <w:szCs w:val="18"/>
              </w:rPr>
              <w:t>257.804</w:t>
            </w:r>
          </w:p>
        </w:tc>
      </w:tr>
      <w:tr w:rsidR="00294ABB" w14:paraId="2822547D" w14:textId="77777777" w:rsidTr="00835B56">
        <w:trPr>
          <w:trHeight w:val="300"/>
          <w:jc w:val="center"/>
        </w:trPr>
        <w:tc>
          <w:tcPr>
            <w:tcW w:w="2480" w:type="dxa"/>
            <w:tcBorders>
              <w:top w:val="nil"/>
              <w:left w:val="single" w:sz="8" w:space="0" w:color="000000"/>
              <w:bottom w:val="single" w:sz="8" w:space="0" w:color="000000"/>
              <w:right w:val="single" w:sz="4" w:space="0" w:color="000000"/>
            </w:tcBorders>
            <w:shd w:val="clear" w:color="auto" w:fill="auto"/>
            <w:vAlign w:val="center"/>
          </w:tcPr>
          <w:p w14:paraId="00000346" w14:textId="77777777" w:rsidR="00294ABB" w:rsidRDefault="00420BFB" w:rsidP="00835B56">
            <w:pPr>
              <w:tabs>
                <w:tab w:val="left" w:pos="794"/>
              </w:tabs>
              <w:spacing w:after="0"/>
              <w:jc w:val="right"/>
              <w:rPr>
                <w:i/>
                <w:color w:val="000000"/>
                <w:sz w:val="18"/>
                <w:szCs w:val="18"/>
              </w:rPr>
            </w:pPr>
            <w:r>
              <w:rPr>
                <w:i/>
                <w:color w:val="000000"/>
                <w:sz w:val="18"/>
                <w:szCs w:val="18"/>
              </w:rPr>
              <w:t>Cultural trade balance</w:t>
            </w:r>
          </w:p>
        </w:tc>
        <w:tc>
          <w:tcPr>
            <w:tcW w:w="1071" w:type="dxa"/>
            <w:tcBorders>
              <w:top w:val="nil"/>
              <w:left w:val="nil"/>
              <w:bottom w:val="single" w:sz="8" w:space="0" w:color="000000"/>
              <w:right w:val="single" w:sz="4" w:space="0" w:color="000000"/>
            </w:tcBorders>
            <w:shd w:val="clear" w:color="auto" w:fill="auto"/>
            <w:tcMar>
              <w:right w:w="227" w:type="dxa"/>
            </w:tcMar>
            <w:vAlign w:val="center"/>
          </w:tcPr>
          <w:p w14:paraId="00000347" w14:textId="77777777" w:rsidR="00294ABB" w:rsidRDefault="00420BFB" w:rsidP="00835B56">
            <w:pPr>
              <w:spacing w:after="0"/>
              <w:jc w:val="right"/>
              <w:rPr>
                <w:i/>
                <w:color w:val="000000"/>
                <w:sz w:val="18"/>
                <w:szCs w:val="18"/>
              </w:rPr>
            </w:pPr>
            <w:r>
              <w:rPr>
                <w:i/>
                <w:color w:val="000000"/>
                <w:sz w:val="18"/>
                <w:szCs w:val="18"/>
              </w:rPr>
              <w:t>16.264</w:t>
            </w:r>
          </w:p>
        </w:tc>
        <w:tc>
          <w:tcPr>
            <w:tcW w:w="1071" w:type="dxa"/>
            <w:tcBorders>
              <w:top w:val="nil"/>
              <w:left w:val="nil"/>
              <w:bottom w:val="single" w:sz="8" w:space="0" w:color="000000"/>
              <w:right w:val="single" w:sz="4" w:space="0" w:color="000000"/>
            </w:tcBorders>
            <w:shd w:val="clear" w:color="auto" w:fill="auto"/>
            <w:tcMar>
              <w:right w:w="227" w:type="dxa"/>
            </w:tcMar>
            <w:vAlign w:val="center"/>
          </w:tcPr>
          <w:p w14:paraId="00000348" w14:textId="77777777" w:rsidR="00294ABB" w:rsidRDefault="00420BFB" w:rsidP="00835B56">
            <w:pPr>
              <w:spacing w:after="0"/>
              <w:jc w:val="right"/>
              <w:rPr>
                <w:i/>
                <w:color w:val="000000"/>
                <w:sz w:val="18"/>
                <w:szCs w:val="18"/>
              </w:rPr>
            </w:pPr>
            <w:r>
              <w:rPr>
                <w:i/>
                <w:color w:val="000000"/>
                <w:sz w:val="18"/>
                <w:szCs w:val="18"/>
              </w:rPr>
              <w:t>-35.983</w:t>
            </w:r>
          </w:p>
        </w:tc>
        <w:tc>
          <w:tcPr>
            <w:tcW w:w="1072" w:type="dxa"/>
            <w:tcBorders>
              <w:top w:val="nil"/>
              <w:left w:val="nil"/>
              <w:bottom w:val="single" w:sz="8" w:space="0" w:color="000000"/>
              <w:right w:val="single" w:sz="4" w:space="0" w:color="000000"/>
            </w:tcBorders>
            <w:shd w:val="clear" w:color="auto" w:fill="auto"/>
            <w:tcMar>
              <w:right w:w="227" w:type="dxa"/>
            </w:tcMar>
            <w:vAlign w:val="center"/>
          </w:tcPr>
          <w:p w14:paraId="00000349" w14:textId="77777777" w:rsidR="00294ABB" w:rsidRDefault="00420BFB" w:rsidP="00835B56">
            <w:pPr>
              <w:spacing w:after="0"/>
              <w:jc w:val="right"/>
              <w:rPr>
                <w:i/>
                <w:color w:val="000000"/>
                <w:sz w:val="18"/>
                <w:szCs w:val="18"/>
              </w:rPr>
            </w:pPr>
            <w:r>
              <w:rPr>
                <w:i/>
                <w:color w:val="000000"/>
                <w:sz w:val="18"/>
                <w:szCs w:val="18"/>
              </w:rPr>
              <w:t>74.161</w:t>
            </w:r>
          </w:p>
        </w:tc>
        <w:tc>
          <w:tcPr>
            <w:tcW w:w="1071" w:type="dxa"/>
            <w:tcBorders>
              <w:top w:val="nil"/>
              <w:left w:val="nil"/>
              <w:bottom w:val="single" w:sz="8" w:space="0" w:color="000000"/>
              <w:right w:val="single" w:sz="4" w:space="0" w:color="000000"/>
            </w:tcBorders>
            <w:shd w:val="clear" w:color="auto" w:fill="auto"/>
            <w:tcMar>
              <w:right w:w="227" w:type="dxa"/>
            </w:tcMar>
            <w:vAlign w:val="center"/>
          </w:tcPr>
          <w:p w14:paraId="0000034A" w14:textId="77777777" w:rsidR="00294ABB" w:rsidRDefault="00420BFB" w:rsidP="00835B56">
            <w:pPr>
              <w:spacing w:after="0"/>
              <w:jc w:val="right"/>
              <w:rPr>
                <w:i/>
                <w:color w:val="000000"/>
                <w:sz w:val="18"/>
                <w:szCs w:val="18"/>
              </w:rPr>
            </w:pPr>
            <w:r>
              <w:rPr>
                <w:i/>
                <w:color w:val="000000"/>
                <w:sz w:val="18"/>
                <w:szCs w:val="18"/>
              </w:rPr>
              <w:t>4.865</w:t>
            </w:r>
          </w:p>
        </w:tc>
        <w:tc>
          <w:tcPr>
            <w:tcW w:w="1072" w:type="dxa"/>
            <w:tcBorders>
              <w:top w:val="nil"/>
              <w:left w:val="nil"/>
              <w:bottom w:val="single" w:sz="8" w:space="0" w:color="000000"/>
              <w:right w:val="single" w:sz="4" w:space="0" w:color="000000"/>
            </w:tcBorders>
            <w:shd w:val="clear" w:color="auto" w:fill="auto"/>
            <w:tcMar>
              <w:right w:w="227" w:type="dxa"/>
            </w:tcMar>
            <w:vAlign w:val="center"/>
          </w:tcPr>
          <w:p w14:paraId="0000034B" w14:textId="77777777" w:rsidR="00294ABB" w:rsidRDefault="00420BFB" w:rsidP="00835B56">
            <w:pPr>
              <w:spacing w:after="0"/>
              <w:jc w:val="right"/>
              <w:rPr>
                <w:i/>
                <w:color w:val="000000"/>
                <w:sz w:val="18"/>
                <w:szCs w:val="18"/>
              </w:rPr>
            </w:pPr>
            <w:r>
              <w:rPr>
                <w:i/>
                <w:color w:val="000000"/>
                <w:sz w:val="18"/>
                <w:szCs w:val="18"/>
              </w:rPr>
              <w:t>0.002</w:t>
            </w:r>
          </w:p>
        </w:tc>
        <w:tc>
          <w:tcPr>
            <w:tcW w:w="1071" w:type="dxa"/>
            <w:tcBorders>
              <w:top w:val="nil"/>
              <w:left w:val="nil"/>
              <w:bottom w:val="single" w:sz="8" w:space="0" w:color="000000"/>
              <w:right w:val="single" w:sz="4" w:space="0" w:color="000000"/>
            </w:tcBorders>
            <w:shd w:val="clear" w:color="auto" w:fill="auto"/>
            <w:tcMar>
              <w:right w:w="227" w:type="dxa"/>
            </w:tcMar>
            <w:vAlign w:val="center"/>
          </w:tcPr>
          <w:p w14:paraId="0000034C" w14:textId="77777777" w:rsidR="00294ABB" w:rsidRDefault="00420BFB" w:rsidP="00835B56">
            <w:pPr>
              <w:spacing w:after="0"/>
              <w:jc w:val="right"/>
              <w:rPr>
                <w:i/>
                <w:color w:val="000000"/>
                <w:sz w:val="18"/>
                <w:szCs w:val="18"/>
              </w:rPr>
            </w:pPr>
            <w:r>
              <w:rPr>
                <w:i/>
                <w:color w:val="000000"/>
                <w:sz w:val="18"/>
                <w:szCs w:val="18"/>
              </w:rPr>
              <w:t>-0.655</w:t>
            </w:r>
          </w:p>
        </w:tc>
        <w:tc>
          <w:tcPr>
            <w:tcW w:w="1072" w:type="dxa"/>
            <w:tcBorders>
              <w:top w:val="nil"/>
              <w:left w:val="nil"/>
              <w:bottom w:val="single" w:sz="8" w:space="0" w:color="000000"/>
              <w:right w:val="single" w:sz="8" w:space="0" w:color="000000"/>
            </w:tcBorders>
            <w:shd w:val="clear" w:color="auto" w:fill="auto"/>
            <w:tcMar>
              <w:right w:w="227" w:type="dxa"/>
            </w:tcMar>
            <w:vAlign w:val="center"/>
          </w:tcPr>
          <w:p w14:paraId="0000034D" w14:textId="77777777" w:rsidR="00294ABB" w:rsidRDefault="00420BFB" w:rsidP="00835B56">
            <w:pPr>
              <w:spacing w:after="0"/>
              <w:jc w:val="right"/>
              <w:rPr>
                <w:i/>
                <w:color w:val="000000"/>
                <w:sz w:val="18"/>
                <w:szCs w:val="18"/>
              </w:rPr>
            </w:pPr>
            <w:r>
              <w:rPr>
                <w:i/>
                <w:color w:val="000000"/>
                <w:sz w:val="18"/>
                <w:szCs w:val="18"/>
              </w:rPr>
              <w:t>58.654</w:t>
            </w:r>
          </w:p>
        </w:tc>
      </w:tr>
    </w:tbl>
    <w:p w14:paraId="0000034E" w14:textId="08B0B7A3" w:rsidR="00294ABB" w:rsidRPr="00835B56" w:rsidRDefault="00420BFB" w:rsidP="00835B56">
      <w:pPr>
        <w:spacing w:before="120" w:line="259" w:lineRule="auto"/>
        <w:jc w:val="left"/>
        <w:rPr>
          <w:iCs/>
          <w:color w:val="000000" w:themeColor="text1"/>
        </w:rPr>
      </w:pPr>
      <w:r w:rsidRPr="00835B56">
        <w:rPr>
          <w:iCs/>
          <w:color w:val="000000" w:themeColor="text1"/>
        </w:rPr>
        <w:lastRenderedPageBreak/>
        <w:t>Source: Authors</w:t>
      </w:r>
      <w:r w:rsidR="00C93471" w:rsidRPr="00835B56">
        <w:rPr>
          <w:iCs/>
          <w:color w:val="000000" w:themeColor="text1"/>
        </w:rPr>
        <w:t>’</w:t>
      </w:r>
      <w:r w:rsidRPr="00835B56">
        <w:rPr>
          <w:iCs/>
          <w:color w:val="000000" w:themeColor="text1"/>
        </w:rPr>
        <w:t xml:space="preserve"> computations based on nominal trade data from ITC, 2021</w:t>
      </w:r>
    </w:p>
    <w:p w14:paraId="00000353" w14:textId="77777777" w:rsidR="00294ABB" w:rsidRDefault="00420BFB" w:rsidP="00835B56">
      <w:pPr>
        <w:pStyle w:val="Heading2"/>
        <w:spacing w:line="240" w:lineRule="auto"/>
        <w:ind w:left="578" w:hanging="578"/>
      </w:pPr>
      <w:bookmarkStart w:id="51" w:name="_Toc92623046"/>
      <w:r>
        <w:t>South Africa’s intra-industry trade in cultural goods with USMCA and SADC, with regional comparisons</w:t>
      </w:r>
      <w:bookmarkEnd w:id="51"/>
    </w:p>
    <w:p w14:paraId="00000354" w14:textId="77777777" w:rsidR="00294ABB" w:rsidRDefault="00294ABB">
      <w:pPr>
        <w:spacing w:after="0"/>
      </w:pPr>
    </w:p>
    <w:p w14:paraId="00000355" w14:textId="1EA6C458" w:rsidR="00294ABB" w:rsidRDefault="00420BFB">
      <w:pPr>
        <w:spacing w:line="259" w:lineRule="auto"/>
        <w:rPr>
          <w:sz w:val="22"/>
          <w:szCs w:val="22"/>
        </w:rPr>
      </w:pPr>
      <w:r>
        <w:rPr>
          <w:sz w:val="22"/>
          <w:szCs w:val="22"/>
        </w:rPr>
        <w:t>As noted in Section 3.3, intra-industry trade (IIT) refers to two-way trade within the same sub-sector or product category.</w:t>
      </w:r>
      <w:r w:rsidR="001B10E6">
        <w:rPr>
          <w:sz w:val="22"/>
          <w:szCs w:val="22"/>
        </w:rPr>
        <w:t xml:space="preserve"> </w:t>
      </w:r>
      <w:r>
        <w:rPr>
          <w:sz w:val="22"/>
          <w:szCs w:val="22"/>
        </w:rPr>
        <w:t>IIT in cultural products is useful to investigate because intra-industry trade expansion tends to have lower adjustment costs for firms and workers.</w:t>
      </w:r>
      <w:r w:rsidR="001B10E6">
        <w:rPr>
          <w:sz w:val="22"/>
          <w:szCs w:val="22"/>
        </w:rPr>
        <w:t xml:space="preserve"> </w:t>
      </w:r>
      <w:r>
        <w:rPr>
          <w:sz w:val="22"/>
          <w:szCs w:val="22"/>
        </w:rPr>
        <w:t>It is also associated with manufacturing production and trade, and could thus be an important aspect of an industrial strategy for the CCIs.</w:t>
      </w:r>
      <w:r w:rsidR="001B10E6">
        <w:rPr>
          <w:sz w:val="22"/>
          <w:szCs w:val="22"/>
        </w:rPr>
        <w:t xml:space="preserve"> </w:t>
      </w:r>
      <w:r>
        <w:rPr>
          <w:sz w:val="22"/>
          <w:szCs w:val="22"/>
        </w:rPr>
        <w:t>This section calculates and analyses IIT indices between South Africa, the rest of SADC and the USMCA bloc by domain, using the trade-weighted Grubel-Lloyd index discussed in Section 3.3.</w:t>
      </w:r>
      <w:r>
        <w:rPr>
          <w:sz w:val="22"/>
          <w:szCs w:val="22"/>
          <w:vertAlign w:val="superscript"/>
        </w:rPr>
        <w:footnoteReference w:id="19"/>
      </w:r>
      <w:r w:rsidR="001B10E6">
        <w:rPr>
          <w:sz w:val="22"/>
          <w:szCs w:val="22"/>
        </w:rPr>
        <w:t xml:space="preserve"> </w:t>
      </w:r>
      <w:r>
        <w:rPr>
          <w:sz w:val="22"/>
          <w:szCs w:val="22"/>
        </w:rPr>
        <w:t>The IIT index ranges from 0 to 100 percent, with a higher percentage reflecting greater IIT or overlapping trade in that product category or sector. South Africa’s IIT in cultural goods with the USMCA and SADC is computed for the various domains for 2019.</w:t>
      </w:r>
      <w:r w:rsidR="001B10E6">
        <w:rPr>
          <w:sz w:val="22"/>
          <w:szCs w:val="22"/>
        </w:rPr>
        <w:t xml:space="preserve"> </w:t>
      </w:r>
      <w:r>
        <w:rPr>
          <w:sz w:val="22"/>
          <w:szCs w:val="22"/>
        </w:rPr>
        <w:t>The results are then briefly compared to those obtained by Cattaneo and Snowball (2020: 29) for South Africa’s IIT with the EU, BRICS and the rest of Africa for 2018.</w:t>
      </w:r>
    </w:p>
    <w:p w14:paraId="00000356" w14:textId="1F8F09CA" w:rsidR="00294ABB" w:rsidRDefault="00420BFB">
      <w:pPr>
        <w:spacing w:line="259" w:lineRule="auto"/>
        <w:rPr>
          <w:sz w:val="22"/>
          <w:szCs w:val="22"/>
        </w:rPr>
      </w:pPr>
      <w:r>
        <w:rPr>
          <w:sz w:val="22"/>
          <w:szCs w:val="22"/>
        </w:rPr>
        <w:t>Table 8 depicts South Africa’s IIT in each domain and for total cultural goods trade with USMCA, SADC and the world.</w:t>
      </w:r>
      <w:r w:rsidR="001B10E6">
        <w:rPr>
          <w:sz w:val="22"/>
          <w:szCs w:val="22"/>
        </w:rPr>
        <w:t xml:space="preserve"> </w:t>
      </w:r>
      <w:r>
        <w:rPr>
          <w:sz w:val="22"/>
          <w:szCs w:val="22"/>
        </w:rPr>
        <w:t>The table also indicates cultural goods trade flows (exports plus imports) in absolute terms between South Africa and each region by domain.</w:t>
      </w:r>
      <w:r w:rsidR="001B10E6">
        <w:rPr>
          <w:sz w:val="22"/>
          <w:szCs w:val="22"/>
        </w:rPr>
        <w:t xml:space="preserve"> </w:t>
      </w:r>
      <w:r>
        <w:rPr>
          <w:sz w:val="22"/>
          <w:szCs w:val="22"/>
        </w:rPr>
        <w:t>This is included in order to give a perspective on the relative importance of trade in that domain as it is possible to have a high IIT index as a percent, but insignificant trade flows in absolute terms.</w:t>
      </w:r>
    </w:p>
    <w:p w14:paraId="00000357" w14:textId="247BBFF1" w:rsidR="00294ABB" w:rsidRPr="00835B56" w:rsidRDefault="008B6A61" w:rsidP="008B6A61">
      <w:pPr>
        <w:pStyle w:val="Caption"/>
        <w:rPr>
          <w:color w:val="44546A"/>
          <w:sz w:val="24"/>
          <w:szCs w:val="24"/>
        </w:rPr>
      </w:pPr>
      <w:bookmarkStart w:id="52" w:name="_heading=h.32hioqz" w:colFirst="0" w:colLast="0"/>
      <w:bookmarkStart w:id="53" w:name="_Toc92623708"/>
      <w:bookmarkEnd w:id="52"/>
      <w:r w:rsidRPr="00835B56">
        <w:rPr>
          <w:sz w:val="20"/>
          <w:szCs w:val="20"/>
        </w:rPr>
        <w:t xml:space="preserve">Table </w:t>
      </w:r>
      <w:r w:rsidR="006B6995" w:rsidRPr="00835B56">
        <w:rPr>
          <w:sz w:val="20"/>
          <w:szCs w:val="20"/>
        </w:rPr>
        <w:fldChar w:fldCharType="begin"/>
      </w:r>
      <w:r w:rsidR="006B6995" w:rsidRPr="00835B56">
        <w:rPr>
          <w:sz w:val="20"/>
          <w:szCs w:val="20"/>
        </w:rPr>
        <w:instrText xml:space="preserve"> SEQ Table \* ARABIC </w:instrText>
      </w:r>
      <w:r w:rsidR="006B6995" w:rsidRPr="00835B56">
        <w:rPr>
          <w:sz w:val="20"/>
          <w:szCs w:val="20"/>
        </w:rPr>
        <w:fldChar w:fldCharType="separate"/>
      </w:r>
      <w:r w:rsidR="00682412">
        <w:rPr>
          <w:noProof/>
          <w:sz w:val="20"/>
          <w:szCs w:val="20"/>
        </w:rPr>
        <w:t>8</w:t>
      </w:r>
      <w:r w:rsidR="006B6995" w:rsidRPr="00835B56">
        <w:rPr>
          <w:noProof/>
          <w:sz w:val="20"/>
          <w:szCs w:val="20"/>
        </w:rPr>
        <w:fldChar w:fldCharType="end"/>
      </w:r>
      <w:r w:rsidR="00C93471" w:rsidRPr="00835B56">
        <w:rPr>
          <w:noProof/>
          <w:sz w:val="20"/>
          <w:szCs w:val="20"/>
        </w:rPr>
        <w:t>:</w:t>
      </w:r>
      <w:r w:rsidRPr="00835B56">
        <w:rPr>
          <w:sz w:val="20"/>
          <w:szCs w:val="20"/>
        </w:rPr>
        <w:t xml:space="preserve"> </w:t>
      </w:r>
      <w:r w:rsidR="00420BFB" w:rsidRPr="00835B56">
        <w:rPr>
          <w:color w:val="44546A"/>
          <w:sz w:val="20"/>
          <w:szCs w:val="20"/>
        </w:rPr>
        <w:t>South Africa</w:t>
      </w:r>
      <w:r w:rsidR="00C93471" w:rsidRPr="00835B56">
        <w:rPr>
          <w:color w:val="44546A"/>
          <w:sz w:val="20"/>
          <w:szCs w:val="20"/>
        </w:rPr>
        <w:t>’</w:t>
      </w:r>
      <w:r w:rsidR="00420BFB" w:rsidRPr="00835B56">
        <w:rPr>
          <w:color w:val="44546A"/>
          <w:sz w:val="20"/>
          <w:szCs w:val="20"/>
        </w:rPr>
        <w:t>s intra-industry trade (trade-weighted Grubel-Lloyd indices) by domain and partner, 2019</w:t>
      </w:r>
      <w:bookmarkEnd w:id="53"/>
    </w:p>
    <w:tbl>
      <w:tblPr>
        <w:tblStyle w:val="a6"/>
        <w:tblW w:w="9923" w:type="dxa"/>
        <w:jc w:val="center"/>
        <w:tblLayout w:type="fixed"/>
        <w:tblLook w:val="0400" w:firstRow="0" w:lastRow="0" w:firstColumn="0" w:lastColumn="0" w:noHBand="0" w:noVBand="1"/>
      </w:tblPr>
      <w:tblGrid>
        <w:gridCol w:w="2086"/>
        <w:gridCol w:w="1080"/>
        <w:gridCol w:w="1219"/>
        <w:gridCol w:w="1075"/>
        <w:gridCol w:w="1075"/>
        <w:gridCol w:w="1104"/>
        <w:gridCol w:w="1081"/>
        <w:gridCol w:w="1203"/>
      </w:tblGrid>
      <w:tr w:rsidR="00294ABB" w14:paraId="2CC51C80" w14:textId="77777777" w:rsidTr="00835B56">
        <w:trPr>
          <w:trHeight w:val="930"/>
          <w:jc w:val="center"/>
        </w:trPr>
        <w:tc>
          <w:tcPr>
            <w:tcW w:w="2151" w:type="dxa"/>
            <w:tcBorders>
              <w:top w:val="single" w:sz="8" w:space="0" w:color="000000"/>
              <w:left w:val="single" w:sz="8" w:space="0" w:color="000000"/>
              <w:bottom w:val="single" w:sz="8" w:space="0" w:color="000000"/>
              <w:right w:val="single" w:sz="4" w:space="0" w:color="000000"/>
            </w:tcBorders>
            <w:shd w:val="clear" w:color="auto" w:fill="auto"/>
          </w:tcPr>
          <w:p w14:paraId="00000358" w14:textId="6363C8D4" w:rsidR="00294ABB" w:rsidRDefault="0033259A" w:rsidP="00835B56">
            <w:pPr>
              <w:spacing w:before="60" w:after="60"/>
              <w:jc w:val="center"/>
              <w:rPr>
                <w:color w:val="000000"/>
                <w:sz w:val="18"/>
                <w:szCs w:val="18"/>
              </w:rPr>
            </w:pPr>
            <w:r>
              <w:rPr>
                <w:b/>
                <w:color w:val="000000"/>
                <w:sz w:val="18"/>
                <w:szCs w:val="18"/>
              </w:rPr>
              <w:br/>
            </w:r>
            <w:r w:rsidR="00420BFB">
              <w:rPr>
                <w:b/>
                <w:color w:val="000000"/>
                <w:sz w:val="18"/>
                <w:szCs w:val="18"/>
              </w:rPr>
              <w:t>IIT in percent</w:t>
            </w:r>
            <w:r w:rsidR="00331A64">
              <w:rPr>
                <w:color w:val="000000"/>
                <w:sz w:val="18"/>
                <w:szCs w:val="18"/>
              </w:rPr>
              <w:br/>
            </w:r>
            <w:r w:rsidR="00420BFB">
              <w:rPr>
                <w:color w:val="000000"/>
                <w:sz w:val="18"/>
                <w:szCs w:val="18"/>
              </w:rPr>
              <w:t xml:space="preserve">Cultural trade in </w:t>
            </w:r>
            <w:r w:rsidR="00090122">
              <w:rPr>
                <w:color w:val="000000"/>
                <w:sz w:val="18"/>
                <w:szCs w:val="18"/>
              </w:rPr>
              <w:br/>
            </w:r>
            <w:r w:rsidR="00420BFB">
              <w:rPr>
                <w:color w:val="000000"/>
                <w:sz w:val="18"/>
                <w:szCs w:val="18"/>
              </w:rPr>
              <w:t>US$</w:t>
            </w:r>
            <w:r w:rsidR="00090122">
              <w:rPr>
                <w:color w:val="000000"/>
                <w:sz w:val="18"/>
                <w:szCs w:val="18"/>
              </w:rPr>
              <w:t xml:space="preserve"> </w:t>
            </w:r>
            <w:r w:rsidR="00420BFB">
              <w:rPr>
                <w:color w:val="000000"/>
                <w:sz w:val="18"/>
                <w:szCs w:val="18"/>
              </w:rPr>
              <w:t>millions</w:t>
            </w:r>
          </w:p>
        </w:tc>
        <w:tc>
          <w:tcPr>
            <w:tcW w:w="1103" w:type="dxa"/>
            <w:tcBorders>
              <w:top w:val="single" w:sz="8" w:space="0" w:color="000000"/>
              <w:left w:val="nil"/>
              <w:bottom w:val="single" w:sz="8" w:space="0" w:color="000000"/>
              <w:right w:val="single" w:sz="4" w:space="0" w:color="000000"/>
            </w:tcBorders>
            <w:shd w:val="clear" w:color="auto" w:fill="auto"/>
          </w:tcPr>
          <w:p w14:paraId="00000359" w14:textId="56BFF86A" w:rsidR="00294ABB" w:rsidRDefault="00420BFB" w:rsidP="00835B56">
            <w:pPr>
              <w:spacing w:before="60" w:after="60"/>
              <w:jc w:val="center"/>
              <w:rPr>
                <w:color w:val="000000"/>
                <w:sz w:val="18"/>
                <w:szCs w:val="18"/>
              </w:rPr>
            </w:pPr>
            <w:r>
              <w:rPr>
                <w:color w:val="000000"/>
                <w:sz w:val="18"/>
                <w:szCs w:val="18"/>
              </w:rPr>
              <w:t xml:space="preserve">A. </w:t>
            </w:r>
            <w:r w:rsidR="00331A64">
              <w:rPr>
                <w:color w:val="000000"/>
                <w:sz w:val="18"/>
                <w:szCs w:val="18"/>
              </w:rPr>
              <w:br/>
            </w:r>
            <w:r>
              <w:rPr>
                <w:color w:val="000000"/>
                <w:sz w:val="18"/>
                <w:szCs w:val="18"/>
              </w:rPr>
              <w:t>Cultural and Natural Heritage</w:t>
            </w:r>
          </w:p>
        </w:tc>
        <w:tc>
          <w:tcPr>
            <w:tcW w:w="1247" w:type="dxa"/>
            <w:tcBorders>
              <w:top w:val="single" w:sz="8" w:space="0" w:color="000000"/>
              <w:left w:val="nil"/>
              <w:bottom w:val="single" w:sz="8" w:space="0" w:color="000000"/>
              <w:right w:val="nil"/>
            </w:tcBorders>
            <w:shd w:val="clear" w:color="auto" w:fill="auto"/>
            <w:tcMar>
              <w:left w:w="28" w:type="dxa"/>
              <w:right w:w="28" w:type="dxa"/>
            </w:tcMar>
          </w:tcPr>
          <w:p w14:paraId="0000035A" w14:textId="77777777" w:rsidR="00294ABB" w:rsidRDefault="00420BFB" w:rsidP="00835B56">
            <w:pPr>
              <w:spacing w:before="60" w:after="60"/>
              <w:jc w:val="center"/>
              <w:rPr>
                <w:color w:val="000000"/>
                <w:sz w:val="18"/>
                <w:szCs w:val="18"/>
              </w:rPr>
            </w:pPr>
            <w:r>
              <w:rPr>
                <w:color w:val="000000"/>
                <w:sz w:val="18"/>
                <w:szCs w:val="18"/>
              </w:rPr>
              <w:t>B. Performance and Celebration</w:t>
            </w:r>
          </w:p>
        </w:tc>
        <w:tc>
          <w:tcPr>
            <w:tcW w:w="1098" w:type="dxa"/>
            <w:tcBorders>
              <w:top w:val="single" w:sz="8" w:space="0" w:color="000000"/>
              <w:left w:val="single" w:sz="4" w:space="0" w:color="000000"/>
              <w:bottom w:val="single" w:sz="8" w:space="0" w:color="000000"/>
              <w:right w:val="single" w:sz="4" w:space="0" w:color="000000"/>
            </w:tcBorders>
            <w:shd w:val="clear" w:color="auto" w:fill="auto"/>
          </w:tcPr>
          <w:p w14:paraId="0000035B" w14:textId="57C204D9" w:rsidR="00294ABB" w:rsidRDefault="00420BFB" w:rsidP="00835B56">
            <w:pPr>
              <w:spacing w:before="60" w:after="60"/>
              <w:jc w:val="center"/>
              <w:rPr>
                <w:color w:val="000000"/>
                <w:sz w:val="18"/>
                <w:szCs w:val="18"/>
              </w:rPr>
            </w:pPr>
            <w:r>
              <w:rPr>
                <w:color w:val="000000"/>
                <w:sz w:val="18"/>
                <w:szCs w:val="18"/>
              </w:rPr>
              <w:t xml:space="preserve">C. </w:t>
            </w:r>
            <w:r w:rsidR="00331A64">
              <w:rPr>
                <w:color w:val="000000"/>
                <w:sz w:val="18"/>
                <w:szCs w:val="18"/>
              </w:rPr>
              <w:br/>
            </w:r>
            <w:r>
              <w:rPr>
                <w:color w:val="000000"/>
                <w:sz w:val="18"/>
                <w:szCs w:val="18"/>
              </w:rPr>
              <w:t>Visual Arts and Crafts</w:t>
            </w:r>
          </w:p>
        </w:tc>
        <w:tc>
          <w:tcPr>
            <w:tcW w:w="1098" w:type="dxa"/>
            <w:tcBorders>
              <w:top w:val="single" w:sz="8" w:space="0" w:color="000000"/>
              <w:left w:val="nil"/>
              <w:bottom w:val="single" w:sz="8" w:space="0" w:color="000000"/>
              <w:right w:val="nil"/>
            </w:tcBorders>
            <w:shd w:val="clear" w:color="auto" w:fill="auto"/>
          </w:tcPr>
          <w:p w14:paraId="0000035C" w14:textId="5BCDEEF8" w:rsidR="00294ABB" w:rsidRDefault="00420BFB" w:rsidP="00835B56">
            <w:pPr>
              <w:spacing w:before="60" w:after="60"/>
              <w:jc w:val="center"/>
              <w:rPr>
                <w:color w:val="000000"/>
                <w:sz w:val="18"/>
                <w:szCs w:val="18"/>
              </w:rPr>
            </w:pPr>
            <w:r>
              <w:rPr>
                <w:color w:val="000000"/>
                <w:sz w:val="18"/>
                <w:szCs w:val="18"/>
              </w:rPr>
              <w:t xml:space="preserve">D. </w:t>
            </w:r>
            <w:r w:rsidR="00331A64">
              <w:rPr>
                <w:color w:val="000000"/>
                <w:sz w:val="18"/>
                <w:szCs w:val="18"/>
              </w:rPr>
              <w:br/>
            </w:r>
            <w:r>
              <w:rPr>
                <w:color w:val="000000"/>
                <w:sz w:val="18"/>
                <w:szCs w:val="18"/>
              </w:rPr>
              <w:t>Books and Press</w:t>
            </w:r>
          </w:p>
        </w:tc>
        <w:tc>
          <w:tcPr>
            <w:tcW w:w="1128" w:type="dxa"/>
            <w:tcBorders>
              <w:top w:val="single" w:sz="8" w:space="0" w:color="000000"/>
              <w:left w:val="single" w:sz="4" w:space="0" w:color="000000"/>
              <w:bottom w:val="single" w:sz="8" w:space="0" w:color="000000"/>
              <w:right w:val="single" w:sz="4" w:space="0" w:color="000000"/>
            </w:tcBorders>
            <w:shd w:val="clear" w:color="auto" w:fill="auto"/>
          </w:tcPr>
          <w:p w14:paraId="0000035D" w14:textId="0F14B0F3" w:rsidR="00294ABB" w:rsidRDefault="00420BFB" w:rsidP="00835B56">
            <w:pPr>
              <w:spacing w:before="60" w:after="60"/>
              <w:jc w:val="center"/>
              <w:rPr>
                <w:color w:val="000000"/>
                <w:sz w:val="18"/>
                <w:szCs w:val="18"/>
              </w:rPr>
            </w:pPr>
            <w:r>
              <w:rPr>
                <w:color w:val="000000"/>
                <w:sz w:val="18"/>
                <w:szCs w:val="18"/>
              </w:rPr>
              <w:t xml:space="preserve">E. </w:t>
            </w:r>
            <w:r w:rsidR="00331A64">
              <w:rPr>
                <w:color w:val="000000"/>
                <w:sz w:val="18"/>
                <w:szCs w:val="18"/>
              </w:rPr>
              <w:br/>
            </w:r>
            <w:r>
              <w:rPr>
                <w:color w:val="000000"/>
                <w:sz w:val="18"/>
                <w:szCs w:val="18"/>
              </w:rPr>
              <w:t>Audio-visual and Interactive Media</w:t>
            </w:r>
          </w:p>
        </w:tc>
        <w:tc>
          <w:tcPr>
            <w:tcW w:w="1104" w:type="dxa"/>
            <w:tcBorders>
              <w:top w:val="single" w:sz="8" w:space="0" w:color="000000"/>
              <w:left w:val="nil"/>
              <w:bottom w:val="single" w:sz="8" w:space="0" w:color="000000"/>
              <w:right w:val="nil"/>
            </w:tcBorders>
            <w:shd w:val="clear" w:color="auto" w:fill="auto"/>
          </w:tcPr>
          <w:p w14:paraId="0000035E" w14:textId="70074A9F" w:rsidR="00294ABB" w:rsidRDefault="00420BFB" w:rsidP="00835B56">
            <w:pPr>
              <w:spacing w:before="60" w:after="60"/>
              <w:jc w:val="center"/>
              <w:rPr>
                <w:color w:val="000000"/>
                <w:sz w:val="18"/>
                <w:szCs w:val="18"/>
              </w:rPr>
            </w:pPr>
            <w:r>
              <w:rPr>
                <w:color w:val="000000"/>
                <w:sz w:val="18"/>
                <w:szCs w:val="18"/>
              </w:rPr>
              <w:t xml:space="preserve">F. </w:t>
            </w:r>
            <w:r w:rsidR="00331A64">
              <w:rPr>
                <w:color w:val="000000"/>
                <w:sz w:val="18"/>
                <w:szCs w:val="18"/>
              </w:rPr>
              <w:br/>
            </w:r>
            <w:r>
              <w:rPr>
                <w:color w:val="000000"/>
                <w:sz w:val="18"/>
                <w:szCs w:val="18"/>
              </w:rPr>
              <w:t>Design and Creative Services</w:t>
            </w:r>
          </w:p>
        </w:tc>
        <w:tc>
          <w:tcPr>
            <w:tcW w:w="1231" w:type="dxa"/>
            <w:tcBorders>
              <w:top w:val="single" w:sz="8" w:space="0" w:color="000000"/>
              <w:left w:val="single" w:sz="4" w:space="0" w:color="000000"/>
              <w:bottom w:val="single" w:sz="8" w:space="0" w:color="000000"/>
              <w:right w:val="single" w:sz="8" w:space="0" w:color="000000"/>
            </w:tcBorders>
            <w:shd w:val="clear" w:color="auto" w:fill="auto"/>
          </w:tcPr>
          <w:p w14:paraId="0000035F" w14:textId="147F7C83" w:rsidR="00294ABB" w:rsidRDefault="0033259A" w:rsidP="00835B56">
            <w:pPr>
              <w:spacing w:before="60" w:after="60"/>
              <w:jc w:val="center"/>
              <w:rPr>
                <w:color w:val="000000"/>
                <w:sz w:val="18"/>
                <w:szCs w:val="18"/>
              </w:rPr>
            </w:pPr>
            <w:r>
              <w:rPr>
                <w:color w:val="000000"/>
                <w:sz w:val="18"/>
                <w:szCs w:val="18"/>
              </w:rPr>
              <w:br/>
            </w:r>
            <w:r w:rsidR="00420BFB">
              <w:rPr>
                <w:color w:val="000000"/>
                <w:sz w:val="18"/>
                <w:szCs w:val="18"/>
              </w:rPr>
              <w:t>Total cultural trade A to F</w:t>
            </w:r>
          </w:p>
        </w:tc>
      </w:tr>
      <w:tr w:rsidR="00294ABB" w14:paraId="20E32CEC" w14:textId="77777777" w:rsidTr="00835B56">
        <w:trPr>
          <w:trHeight w:val="300"/>
          <w:jc w:val="center"/>
        </w:trPr>
        <w:tc>
          <w:tcPr>
            <w:tcW w:w="2151" w:type="dxa"/>
            <w:tcBorders>
              <w:top w:val="nil"/>
              <w:left w:val="single" w:sz="8" w:space="0" w:color="000000"/>
              <w:bottom w:val="nil"/>
              <w:right w:val="single" w:sz="4" w:space="0" w:color="000000"/>
            </w:tcBorders>
            <w:shd w:val="clear" w:color="auto" w:fill="auto"/>
            <w:vAlign w:val="bottom"/>
          </w:tcPr>
          <w:p w14:paraId="00000360" w14:textId="77777777" w:rsidR="00294ABB" w:rsidRDefault="00420BFB">
            <w:pPr>
              <w:spacing w:after="0"/>
              <w:jc w:val="left"/>
              <w:rPr>
                <w:b/>
                <w:color w:val="000000"/>
                <w:sz w:val="18"/>
                <w:szCs w:val="18"/>
              </w:rPr>
            </w:pPr>
            <w:r>
              <w:rPr>
                <w:b/>
                <w:color w:val="000000"/>
                <w:sz w:val="18"/>
                <w:szCs w:val="18"/>
              </w:rPr>
              <w:t> </w:t>
            </w:r>
          </w:p>
        </w:tc>
        <w:tc>
          <w:tcPr>
            <w:tcW w:w="1103" w:type="dxa"/>
            <w:tcBorders>
              <w:top w:val="nil"/>
              <w:left w:val="nil"/>
              <w:bottom w:val="nil"/>
              <w:right w:val="single" w:sz="4" w:space="0" w:color="000000"/>
            </w:tcBorders>
            <w:shd w:val="clear" w:color="auto" w:fill="auto"/>
            <w:vAlign w:val="bottom"/>
          </w:tcPr>
          <w:p w14:paraId="00000361" w14:textId="77777777" w:rsidR="00294ABB" w:rsidRDefault="00420BFB">
            <w:pPr>
              <w:spacing w:after="0"/>
              <w:jc w:val="center"/>
              <w:rPr>
                <w:color w:val="000000"/>
                <w:sz w:val="18"/>
                <w:szCs w:val="18"/>
              </w:rPr>
            </w:pPr>
            <w:r>
              <w:rPr>
                <w:color w:val="000000"/>
                <w:sz w:val="18"/>
                <w:szCs w:val="18"/>
              </w:rPr>
              <w:t> </w:t>
            </w:r>
          </w:p>
        </w:tc>
        <w:tc>
          <w:tcPr>
            <w:tcW w:w="1247" w:type="dxa"/>
            <w:tcBorders>
              <w:top w:val="nil"/>
              <w:left w:val="nil"/>
              <w:bottom w:val="nil"/>
              <w:right w:val="nil"/>
            </w:tcBorders>
            <w:shd w:val="clear" w:color="auto" w:fill="auto"/>
            <w:vAlign w:val="bottom"/>
          </w:tcPr>
          <w:p w14:paraId="00000362" w14:textId="77777777" w:rsidR="00294ABB" w:rsidRDefault="00420BFB">
            <w:pPr>
              <w:spacing w:after="0"/>
              <w:jc w:val="center"/>
              <w:rPr>
                <w:color w:val="000000"/>
                <w:sz w:val="18"/>
                <w:szCs w:val="18"/>
              </w:rPr>
            </w:pPr>
            <w:r>
              <w:rPr>
                <w:color w:val="000000"/>
                <w:sz w:val="18"/>
                <w:szCs w:val="18"/>
              </w:rPr>
              <w:t> </w:t>
            </w:r>
          </w:p>
        </w:tc>
        <w:tc>
          <w:tcPr>
            <w:tcW w:w="1098" w:type="dxa"/>
            <w:tcBorders>
              <w:top w:val="nil"/>
              <w:left w:val="single" w:sz="4" w:space="0" w:color="000000"/>
              <w:bottom w:val="nil"/>
              <w:right w:val="nil"/>
            </w:tcBorders>
            <w:shd w:val="clear" w:color="auto" w:fill="auto"/>
            <w:vAlign w:val="bottom"/>
          </w:tcPr>
          <w:p w14:paraId="00000363" w14:textId="77777777" w:rsidR="00294ABB" w:rsidRDefault="00420BFB">
            <w:pPr>
              <w:spacing w:after="0"/>
              <w:jc w:val="center"/>
              <w:rPr>
                <w:color w:val="000000"/>
                <w:sz w:val="18"/>
                <w:szCs w:val="18"/>
              </w:rPr>
            </w:pPr>
            <w:r>
              <w:rPr>
                <w:color w:val="000000"/>
                <w:sz w:val="18"/>
                <w:szCs w:val="18"/>
              </w:rPr>
              <w:t> </w:t>
            </w:r>
          </w:p>
        </w:tc>
        <w:tc>
          <w:tcPr>
            <w:tcW w:w="1098" w:type="dxa"/>
            <w:tcBorders>
              <w:top w:val="nil"/>
              <w:left w:val="single" w:sz="4" w:space="0" w:color="000000"/>
              <w:bottom w:val="nil"/>
              <w:right w:val="single" w:sz="4" w:space="0" w:color="000000"/>
            </w:tcBorders>
            <w:shd w:val="clear" w:color="auto" w:fill="auto"/>
            <w:vAlign w:val="bottom"/>
          </w:tcPr>
          <w:p w14:paraId="00000364" w14:textId="77777777" w:rsidR="00294ABB" w:rsidRDefault="00420BFB">
            <w:pPr>
              <w:spacing w:after="0"/>
              <w:jc w:val="left"/>
              <w:rPr>
                <w:color w:val="000000"/>
                <w:sz w:val="18"/>
                <w:szCs w:val="18"/>
              </w:rPr>
            </w:pPr>
            <w:r>
              <w:rPr>
                <w:color w:val="000000"/>
                <w:sz w:val="18"/>
                <w:szCs w:val="18"/>
              </w:rPr>
              <w:t> </w:t>
            </w:r>
          </w:p>
        </w:tc>
        <w:tc>
          <w:tcPr>
            <w:tcW w:w="1128" w:type="dxa"/>
            <w:tcBorders>
              <w:top w:val="nil"/>
              <w:left w:val="nil"/>
              <w:bottom w:val="nil"/>
              <w:right w:val="single" w:sz="4" w:space="0" w:color="000000"/>
            </w:tcBorders>
            <w:shd w:val="clear" w:color="auto" w:fill="auto"/>
            <w:vAlign w:val="bottom"/>
          </w:tcPr>
          <w:p w14:paraId="00000365" w14:textId="77777777" w:rsidR="00294ABB" w:rsidRDefault="00420BFB">
            <w:pPr>
              <w:spacing w:after="0"/>
              <w:jc w:val="left"/>
              <w:rPr>
                <w:color w:val="000000"/>
                <w:sz w:val="18"/>
                <w:szCs w:val="18"/>
              </w:rPr>
            </w:pPr>
            <w:r>
              <w:rPr>
                <w:color w:val="000000"/>
                <w:sz w:val="18"/>
                <w:szCs w:val="18"/>
              </w:rPr>
              <w:t> </w:t>
            </w:r>
          </w:p>
        </w:tc>
        <w:tc>
          <w:tcPr>
            <w:tcW w:w="1104" w:type="dxa"/>
            <w:tcBorders>
              <w:top w:val="nil"/>
              <w:left w:val="nil"/>
              <w:bottom w:val="nil"/>
              <w:right w:val="nil"/>
            </w:tcBorders>
            <w:shd w:val="clear" w:color="auto" w:fill="auto"/>
            <w:vAlign w:val="bottom"/>
          </w:tcPr>
          <w:p w14:paraId="00000366" w14:textId="77777777" w:rsidR="00294ABB" w:rsidRDefault="00294ABB">
            <w:pPr>
              <w:spacing w:after="0"/>
              <w:jc w:val="left"/>
              <w:rPr>
                <w:color w:val="000000"/>
                <w:sz w:val="18"/>
                <w:szCs w:val="18"/>
              </w:rPr>
            </w:pPr>
          </w:p>
        </w:tc>
        <w:tc>
          <w:tcPr>
            <w:tcW w:w="1231" w:type="dxa"/>
            <w:tcBorders>
              <w:top w:val="nil"/>
              <w:left w:val="single" w:sz="4" w:space="0" w:color="000000"/>
              <w:bottom w:val="nil"/>
              <w:right w:val="single" w:sz="8" w:space="0" w:color="000000"/>
            </w:tcBorders>
            <w:shd w:val="clear" w:color="auto" w:fill="auto"/>
            <w:vAlign w:val="bottom"/>
          </w:tcPr>
          <w:p w14:paraId="00000367" w14:textId="77777777" w:rsidR="00294ABB" w:rsidRDefault="00420BFB">
            <w:pPr>
              <w:spacing w:after="0"/>
              <w:jc w:val="left"/>
              <w:rPr>
                <w:color w:val="000000"/>
                <w:sz w:val="18"/>
                <w:szCs w:val="18"/>
              </w:rPr>
            </w:pPr>
            <w:r>
              <w:rPr>
                <w:color w:val="000000"/>
                <w:sz w:val="18"/>
                <w:szCs w:val="18"/>
              </w:rPr>
              <w:t> </w:t>
            </w:r>
          </w:p>
        </w:tc>
      </w:tr>
      <w:tr w:rsidR="00294ABB" w14:paraId="463F2C15" w14:textId="77777777" w:rsidTr="00835B56">
        <w:trPr>
          <w:trHeight w:val="290"/>
          <w:jc w:val="center"/>
        </w:trPr>
        <w:tc>
          <w:tcPr>
            <w:tcW w:w="2151" w:type="dxa"/>
            <w:tcBorders>
              <w:top w:val="single" w:sz="8" w:space="0" w:color="000000"/>
              <w:left w:val="single" w:sz="8" w:space="0" w:color="000000"/>
              <w:bottom w:val="nil"/>
              <w:right w:val="single" w:sz="4" w:space="0" w:color="000000"/>
            </w:tcBorders>
            <w:shd w:val="clear" w:color="auto" w:fill="auto"/>
            <w:vAlign w:val="bottom"/>
          </w:tcPr>
          <w:p w14:paraId="00000368" w14:textId="77777777" w:rsidR="00294ABB" w:rsidRDefault="00420BFB" w:rsidP="00835B56">
            <w:pPr>
              <w:spacing w:before="60" w:after="60"/>
              <w:jc w:val="left"/>
              <w:rPr>
                <w:b/>
                <w:color w:val="000000"/>
                <w:sz w:val="18"/>
                <w:szCs w:val="18"/>
              </w:rPr>
            </w:pPr>
            <w:r>
              <w:rPr>
                <w:b/>
                <w:color w:val="000000"/>
                <w:sz w:val="18"/>
                <w:szCs w:val="18"/>
              </w:rPr>
              <w:t>USMCA</w:t>
            </w:r>
          </w:p>
        </w:tc>
        <w:tc>
          <w:tcPr>
            <w:tcW w:w="1103" w:type="dxa"/>
            <w:tcBorders>
              <w:top w:val="single" w:sz="8" w:space="0" w:color="000000"/>
              <w:left w:val="nil"/>
              <w:bottom w:val="nil"/>
              <w:right w:val="nil"/>
            </w:tcBorders>
            <w:shd w:val="clear" w:color="auto" w:fill="auto"/>
            <w:tcMar>
              <w:right w:w="284" w:type="dxa"/>
            </w:tcMar>
            <w:vAlign w:val="bottom"/>
          </w:tcPr>
          <w:p w14:paraId="00000369" w14:textId="77777777" w:rsidR="00294ABB" w:rsidRDefault="00420BFB" w:rsidP="00835B56">
            <w:pPr>
              <w:spacing w:before="60" w:after="60"/>
              <w:jc w:val="right"/>
              <w:rPr>
                <w:b/>
                <w:color w:val="000000"/>
                <w:sz w:val="18"/>
                <w:szCs w:val="18"/>
              </w:rPr>
            </w:pPr>
            <w:r>
              <w:rPr>
                <w:b/>
                <w:color w:val="000000"/>
                <w:sz w:val="18"/>
                <w:szCs w:val="18"/>
              </w:rPr>
              <w:t>1.55</w:t>
            </w:r>
          </w:p>
        </w:tc>
        <w:tc>
          <w:tcPr>
            <w:tcW w:w="1247" w:type="dxa"/>
            <w:tcBorders>
              <w:top w:val="single" w:sz="8" w:space="0" w:color="000000"/>
              <w:left w:val="single" w:sz="4" w:space="0" w:color="000000"/>
              <w:bottom w:val="nil"/>
              <w:right w:val="single" w:sz="4" w:space="0" w:color="000000"/>
            </w:tcBorders>
            <w:shd w:val="clear" w:color="auto" w:fill="auto"/>
            <w:tcMar>
              <w:right w:w="284" w:type="dxa"/>
            </w:tcMar>
            <w:vAlign w:val="bottom"/>
          </w:tcPr>
          <w:p w14:paraId="0000036A" w14:textId="77777777" w:rsidR="00294ABB" w:rsidRDefault="00420BFB" w:rsidP="00835B56">
            <w:pPr>
              <w:spacing w:before="60" w:after="60"/>
              <w:jc w:val="right"/>
              <w:rPr>
                <w:b/>
                <w:color w:val="000000"/>
                <w:sz w:val="18"/>
                <w:szCs w:val="18"/>
              </w:rPr>
            </w:pPr>
            <w:r>
              <w:rPr>
                <w:b/>
                <w:color w:val="000000"/>
                <w:sz w:val="18"/>
                <w:szCs w:val="18"/>
              </w:rPr>
              <w:t>34.48</w:t>
            </w:r>
          </w:p>
        </w:tc>
        <w:tc>
          <w:tcPr>
            <w:tcW w:w="1098" w:type="dxa"/>
            <w:tcBorders>
              <w:top w:val="single" w:sz="8" w:space="0" w:color="000000"/>
              <w:left w:val="nil"/>
              <w:bottom w:val="nil"/>
              <w:right w:val="nil"/>
            </w:tcBorders>
            <w:shd w:val="clear" w:color="auto" w:fill="auto"/>
            <w:tcMar>
              <w:right w:w="284" w:type="dxa"/>
            </w:tcMar>
            <w:vAlign w:val="bottom"/>
          </w:tcPr>
          <w:p w14:paraId="0000036B" w14:textId="77777777" w:rsidR="00294ABB" w:rsidRDefault="00420BFB" w:rsidP="00835B56">
            <w:pPr>
              <w:spacing w:before="60" w:after="60"/>
              <w:jc w:val="right"/>
              <w:rPr>
                <w:b/>
                <w:color w:val="000000"/>
                <w:sz w:val="18"/>
                <w:szCs w:val="18"/>
              </w:rPr>
            </w:pPr>
            <w:r>
              <w:rPr>
                <w:b/>
                <w:color w:val="000000"/>
                <w:sz w:val="18"/>
                <w:szCs w:val="18"/>
              </w:rPr>
              <w:t>9.00</w:t>
            </w:r>
          </w:p>
        </w:tc>
        <w:tc>
          <w:tcPr>
            <w:tcW w:w="1098" w:type="dxa"/>
            <w:tcBorders>
              <w:top w:val="single" w:sz="8" w:space="0" w:color="000000"/>
              <w:left w:val="single" w:sz="4" w:space="0" w:color="000000"/>
              <w:bottom w:val="nil"/>
              <w:right w:val="single" w:sz="4" w:space="0" w:color="000000"/>
            </w:tcBorders>
            <w:shd w:val="clear" w:color="auto" w:fill="auto"/>
            <w:tcMar>
              <w:right w:w="284" w:type="dxa"/>
            </w:tcMar>
            <w:vAlign w:val="bottom"/>
          </w:tcPr>
          <w:p w14:paraId="0000036C" w14:textId="77777777" w:rsidR="00294ABB" w:rsidRDefault="00420BFB" w:rsidP="00835B56">
            <w:pPr>
              <w:spacing w:before="60" w:after="60"/>
              <w:jc w:val="right"/>
              <w:rPr>
                <w:b/>
                <w:color w:val="000000"/>
                <w:sz w:val="18"/>
                <w:szCs w:val="18"/>
              </w:rPr>
            </w:pPr>
            <w:r>
              <w:rPr>
                <w:b/>
                <w:color w:val="000000"/>
                <w:sz w:val="18"/>
                <w:szCs w:val="18"/>
              </w:rPr>
              <w:t>4.52</w:t>
            </w:r>
          </w:p>
        </w:tc>
        <w:tc>
          <w:tcPr>
            <w:tcW w:w="1128" w:type="dxa"/>
            <w:tcBorders>
              <w:top w:val="single" w:sz="8" w:space="0" w:color="000000"/>
              <w:left w:val="nil"/>
              <w:bottom w:val="nil"/>
              <w:right w:val="nil"/>
            </w:tcBorders>
            <w:shd w:val="clear" w:color="auto" w:fill="auto"/>
            <w:tcMar>
              <w:right w:w="284" w:type="dxa"/>
            </w:tcMar>
            <w:vAlign w:val="bottom"/>
          </w:tcPr>
          <w:p w14:paraId="0000036D" w14:textId="77777777" w:rsidR="00294ABB" w:rsidRDefault="00420BFB" w:rsidP="00835B56">
            <w:pPr>
              <w:spacing w:before="60" w:after="60"/>
              <w:jc w:val="right"/>
              <w:rPr>
                <w:b/>
                <w:color w:val="000000"/>
                <w:sz w:val="18"/>
                <w:szCs w:val="18"/>
              </w:rPr>
            </w:pPr>
            <w:r>
              <w:rPr>
                <w:b/>
                <w:color w:val="000000"/>
                <w:sz w:val="18"/>
                <w:szCs w:val="18"/>
              </w:rPr>
              <w:t>na</w:t>
            </w:r>
          </w:p>
        </w:tc>
        <w:tc>
          <w:tcPr>
            <w:tcW w:w="1104" w:type="dxa"/>
            <w:tcBorders>
              <w:top w:val="single" w:sz="8" w:space="0" w:color="000000"/>
              <w:left w:val="single" w:sz="4" w:space="0" w:color="000000"/>
              <w:bottom w:val="nil"/>
              <w:right w:val="single" w:sz="4" w:space="0" w:color="000000"/>
            </w:tcBorders>
            <w:shd w:val="clear" w:color="auto" w:fill="auto"/>
            <w:tcMar>
              <w:right w:w="284" w:type="dxa"/>
            </w:tcMar>
            <w:vAlign w:val="bottom"/>
          </w:tcPr>
          <w:p w14:paraId="0000036E" w14:textId="77777777" w:rsidR="00294ABB" w:rsidRDefault="00420BFB" w:rsidP="00835B56">
            <w:pPr>
              <w:spacing w:before="60" w:after="60"/>
              <w:jc w:val="right"/>
              <w:rPr>
                <w:b/>
                <w:color w:val="000000"/>
                <w:sz w:val="18"/>
                <w:szCs w:val="18"/>
              </w:rPr>
            </w:pPr>
            <w:r>
              <w:rPr>
                <w:b/>
                <w:color w:val="000000"/>
                <w:sz w:val="18"/>
                <w:szCs w:val="18"/>
              </w:rPr>
              <w:t>0.00</w:t>
            </w:r>
          </w:p>
        </w:tc>
        <w:tc>
          <w:tcPr>
            <w:tcW w:w="1231" w:type="dxa"/>
            <w:tcBorders>
              <w:top w:val="single" w:sz="8" w:space="0" w:color="000000"/>
              <w:left w:val="nil"/>
              <w:bottom w:val="nil"/>
              <w:right w:val="single" w:sz="8" w:space="0" w:color="000000"/>
            </w:tcBorders>
            <w:shd w:val="clear" w:color="auto" w:fill="auto"/>
            <w:tcMar>
              <w:right w:w="284" w:type="dxa"/>
            </w:tcMar>
            <w:vAlign w:val="bottom"/>
          </w:tcPr>
          <w:p w14:paraId="0000036F" w14:textId="77777777" w:rsidR="00294ABB" w:rsidRDefault="00420BFB" w:rsidP="00835B56">
            <w:pPr>
              <w:spacing w:before="60" w:after="60"/>
              <w:jc w:val="right"/>
              <w:rPr>
                <w:b/>
                <w:color w:val="000000"/>
                <w:sz w:val="18"/>
                <w:szCs w:val="18"/>
              </w:rPr>
            </w:pPr>
            <w:r>
              <w:rPr>
                <w:b/>
                <w:color w:val="000000"/>
                <w:sz w:val="18"/>
                <w:szCs w:val="18"/>
              </w:rPr>
              <w:t>10.26</w:t>
            </w:r>
          </w:p>
        </w:tc>
      </w:tr>
      <w:tr w:rsidR="00294ABB" w14:paraId="008AED03" w14:textId="77777777" w:rsidTr="00835B56">
        <w:trPr>
          <w:trHeight w:val="300"/>
          <w:jc w:val="center"/>
        </w:trPr>
        <w:tc>
          <w:tcPr>
            <w:tcW w:w="2151" w:type="dxa"/>
            <w:tcBorders>
              <w:top w:val="single" w:sz="4" w:space="0" w:color="000000"/>
              <w:left w:val="single" w:sz="8" w:space="0" w:color="000000"/>
              <w:bottom w:val="single" w:sz="8" w:space="0" w:color="000000"/>
              <w:right w:val="single" w:sz="4" w:space="0" w:color="000000"/>
            </w:tcBorders>
            <w:shd w:val="clear" w:color="auto" w:fill="auto"/>
            <w:vAlign w:val="bottom"/>
          </w:tcPr>
          <w:p w14:paraId="00000370" w14:textId="77777777" w:rsidR="00294ABB" w:rsidRDefault="00420BFB" w:rsidP="00835B56">
            <w:pPr>
              <w:spacing w:before="60" w:after="60"/>
              <w:jc w:val="right"/>
              <w:rPr>
                <w:i/>
                <w:color w:val="000000"/>
                <w:sz w:val="18"/>
                <w:szCs w:val="18"/>
              </w:rPr>
            </w:pPr>
            <w:r>
              <w:rPr>
                <w:i/>
                <w:color w:val="000000"/>
                <w:sz w:val="18"/>
                <w:szCs w:val="18"/>
              </w:rPr>
              <w:t>Cultural trade</w:t>
            </w:r>
          </w:p>
        </w:tc>
        <w:tc>
          <w:tcPr>
            <w:tcW w:w="1103" w:type="dxa"/>
            <w:tcBorders>
              <w:top w:val="single" w:sz="4" w:space="0" w:color="000000"/>
              <w:left w:val="nil"/>
              <w:bottom w:val="single" w:sz="8" w:space="0" w:color="000000"/>
              <w:right w:val="nil"/>
            </w:tcBorders>
            <w:shd w:val="clear" w:color="auto" w:fill="auto"/>
            <w:tcMar>
              <w:right w:w="284" w:type="dxa"/>
            </w:tcMar>
            <w:vAlign w:val="bottom"/>
          </w:tcPr>
          <w:p w14:paraId="00000371" w14:textId="77777777" w:rsidR="00294ABB" w:rsidRDefault="00420BFB" w:rsidP="00835B56">
            <w:pPr>
              <w:spacing w:before="60" w:after="60"/>
              <w:jc w:val="right"/>
              <w:rPr>
                <w:i/>
                <w:color w:val="000000"/>
                <w:sz w:val="18"/>
                <w:szCs w:val="18"/>
              </w:rPr>
            </w:pPr>
            <w:r>
              <w:rPr>
                <w:i/>
                <w:color w:val="000000"/>
                <w:sz w:val="18"/>
                <w:szCs w:val="18"/>
              </w:rPr>
              <w:t>14.458</w:t>
            </w:r>
          </w:p>
        </w:tc>
        <w:tc>
          <w:tcPr>
            <w:tcW w:w="1247" w:type="dxa"/>
            <w:tcBorders>
              <w:top w:val="single" w:sz="4" w:space="0" w:color="000000"/>
              <w:left w:val="single" w:sz="4" w:space="0" w:color="000000"/>
              <w:bottom w:val="single" w:sz="8" w:space="0" w:color="000000"/>
              <w:right w:val="single" w:sz="4" w:space="0" w:color="000000"/>
            </w:tcBorders>
            <w:shd w:val="clear" w:color="auto" w:fill="auto"/>
            <w:tcMar>
              <w:right w:w="284" w:type="dxa"/>
            </w:tcMar>
            <w:vAlign w:val="bottom"/>
          </w:tcPr>
          <w:p w14:paraId="00000372" w14:textId="77777777" w:rsidR="00294ABB" w:rsidRDefault="00420BFB" w:rsidP="00835B56">
            <w:pPr>
              <w:spacing w:before="60" w:after="60"/>
              <w:jc w:val="right"/>
              <w:rPr>
                <w:i/>
                <w:color w:val="000000"/>
                <w:sz w:val="18"/>
                <w:szCs w:val="18"/>
              </w:rPr>
            </w:pPr>
            <w:r>
              <w:rPr>
                <w:i/>
                <w:color w:val="000000"/>
                <w:sz w:val="18"/>
                <w:szCs w:val="18"/>
              </w:rPr>
              <w:t>17.743</w:t>
            </w:r>
          </w:p>
        </w:tc>
        <w:tc>
          <w:tcPr>
            <w:tcW w:w="1098" w:type="dxa"/>
            <w:tcBorders>
              <w:top w:val="single" w:sz="4" w:space="0" w:color="000000"/>
              <w:left w:val="nil"/>
              <w:bottom w:val="single" w:sz="8" w:space="0" w:color="000000"/>
              <w:right w:val="nil"/>
            </w:tcBorders>
            <w:shd w:val="clear" w:color="auto" w:fill="auto"/>
            <w:tcMar>
              <w:right w:w="284" w:type="dxa"/>
            </w:tcMar>
            <w:vAlign w:val="bottom"/>
          </w:tcPr>
          <w:p w14:paraId="00000373" w14:textId="77777777" w:rsidR="00294ABB" w:rsidRDefault="00420BFB" w:rsidP="00835B56">
            <w:pPr>
              <w:spacing w:before="60" w:after="60"/>
              <w:jc w:val="right"/>
              <w:rPr>
                <w:i/>
                <w:color w:val="000000"/>
                <w:sz w:val="18"/>
                <w:szCs w:val="18"/>
              </w:rPr>
            </w:pPr>
            <w:r>
              <w:rPr>
                <w:i/>
                <w:color w:val="000000"/>
                <w:sz w:val="18"/>
                <w:szCs w:val="18"/>
              </w:rPr>
              <w:t>131.039</w:t>
            </w:r>
          </w:p>
        </w:tc>
        <w:tc>
          <w:tcPr>
            <w:tcW w:w="1098" w:type="dxa"/>
            <w:tcBorders>
              <w:top w:val="single" w:sz="4" w:space="0" w:color="000000"/>
              <w:left w:val="single" w:sz="4" w:space="0" w:color="000000"/>
              <w:bottom w:val="single" w:sz="8" w:space="0" w:color="000000"/>
              <w:right w:val="single" w:sz="4" w:space="0" w:color="000000"/>
            </w:tcBorders>
            <w:shd w:val="clear" w:color="auto" w:fill="auto"/>
            <w:tcMar>
              <w:right w:w="284" w:type="dxa"/>
            </w:tcMar>
            <w:vAlign w:val="bottom"/>
          </w:tcPr>
          <w:p w14:paraId="00000374" w14:textId="77777777" w:rsidR="00294ABB" w:rsidRDefault="00420BFB" w:rsidP="00835B56">
            <w:pPr>
              <w:spacing w:before="60" w:after="60"/>
              <w:jc w:val="right"/>
              <w:rPr>
                <w:i/>
                <w:color w:val="000000"/>
                <w:sz w:val="18"/>
                <w:szCs w:val="18"/>
              </w:rPr>
            </w:pPr>
            <w:r>
              <w:rPr>
                <w:i/>
                <w:color w:val="000000"/>
                <w:sz w:val="18"/>
                <w:szCs w:val="18"/>
              </w:rPr>
              <w:t>23.994</w:t>
            </w:r>
          </w:p>
        </w:tc>
        <w:tc>
          <w:tcPr>
            <w:tcW w:w="1128" w:type="dxa"/>
            <w:tcBorders>
              <w:top w:val="single" w:sz="4" w:space="0" w:color="000000"/>
              <w:left w:val="nil"/>
              <w:bottom w:val="single" w:sz="8" w:space="0" w:color="000000"/>
              <w:right w:val="nil"/>
            </w:tcBorders>
            <w:shd w:val="clear" w:color="auto" w:fill="auto"/>
            <w:tcMar>
              <w:right w:w="284" w:type="dxa"/>
            </w:tcMar>
            <w:vAlign w:val="bottom"/>
          </w:tcPr>
          <w:p w14:paraId="00000375" w14:textId="77777777" w:rsidR="00294ABB" w:rsidRDefault="00420BFB" w:rsidP="00835B56">
            <w:pPr>
              <w:spacing w:before="60" w:after="60"/>
              <w:jc w:val="right"/>
              <w:rPr>
                <w:i/>
                <w:color w:val="000000"/>
                <w:sz w:val="18"/>
                <w:szCs w:val="18"/>
              </w:rPr>
            </w:pPr>
            <w:r>
              <w:rPr>
                <w:i/>
                <w:color w:val="000000"/>
                <w:sz w:val="18"/>
                <w:szCs w:val="18"/>
              </w:rPr>
              <w:t>0.000</w:t>
            </w:r>
          </w:p>
        </w:tc>
        <w:tc>
          <w:tcPr>
            <w:tcW w:w="1104" w:type="dxa"/>
            <w:tcBorders>
              <w:top w:val="single" w:sz="4" w:space="0" w:color="000000"/>
              <w:left w:val="single" w:sz="4" w:space="0" w:color="000000"/>
              <w:bottom w:val="single" w:sz="8" w:space="0" w:color="000000"/>
              <w:right w:val="single" w:sz="4" w:space="0" w:color="000000"/>
            </w:tcBorders>
            <w:shd w:val="clear" w:color="auto" w:fill="auto"/>
            <w:tcMar>
              <w:right w:w="284" w:type="dxa"/>
            </w:tcMar>
            <w:vAlign w:val="bottom"/>
          </w:tcPr>
          <w:p w14:paraId="00000376" w14:textId="77777777" w:rsidR="00294ABB" w:rsidRDefault="00420BFB" w:rsidP="00835B56">
            <w:pPr>
              <w:spacing w:before="60" w:after="60"/>
              <w:jc w:val="right"/>
              <w:rPr>
                <w:i/>
                <w:color w:val="000000"/>
                <w:sz w:val="18"/>
                <w:szCs w:val="18"/>
              </w:rPr>
            </w:pPr>
            <w:r>
              <w:rPr>
                <w:i/>
                <w:color w:val="000000"/>
                <w:sz w:val="18"/>
                <w:szCs w:val="18"/>
              </w:rPr>
              <w:t>0.004</w:t>
            </w:r>
          </w:p>
        </w:tc>
        <w:tc>
          <w:tcPr>
            <w:tcW w:w="1231" w:type="dxa"/>
            <w:tcBorders>
              <w:top w:val="single" w:sz="4" w:space="0" w:color="000000"/>
              <w:left w:val="nil"/>
              <w:bottom w:val="single" w:sz="8" w:space="0" w:color="000000"/>
              <w:right w:val="single" w:sz="8" w:space="0" w:color="000000"/>
            </w:tcBorders>
            <w:shd w:val="clear" w:color="auto" w:fill="auto"/>
            <w:tcMar>
              <w:right w:w="284" w:type="dxa"/>
            </w:tcMar>
            <w:vAlign w:val="bottom"/>
          </w:tcPr>
          <w:p w14:paraId="00000377" w14:textId="77777777" w:rsidR="00294ABB" w:rsidRDefault="00420BFB" w:rsidP="00835B56">
            <w:pPr>
              <w:spacing w:before="60" w:after="60"/>
              <w:jc w:val="right"/>
              <w:rPr>
                <w:i/>
                <w:color w:val="000000"/>
                <w:sz w:val="18"/>
                <w:szCs w:val="18"/>
              </w:rPr>
            </w:pPr>
            <w:r>
              <w:rPr>
                <w:i/>
                <w:color w:val="000000"/>
                <w:sz w:val="18"/>
                <w:szCs w:val="18"/>
              </w:rPr>
              <w:t>187.238</w:t>
            </w:r>
          </w:p>
        </w:tc>
      </w:tr>
      <w:tr w:rsidR="00294ABB" w14:paraId="6CB33539" w14:textId="77777777" w:rsidTr="00835B56">
        <w:trPr>
          <w:trHeight w:val="290"/>
          <w:jc w:val="center"/>
        </w:trPr>
        <w:tc>
          <w:tcPr>
            <w:tcW w:w="2151" w:type="dxa"/>
            <w:tcBorders>
              <w:top w:val="nil"/>
              <w:left w:val="single" w:sz="8" w:space="0" w:color="000000"/>
              <w:bottom w:val="nil"/>
              <w:right w:val="single" w:sz="4" w:space="0" w:color="000000"/>
            </w:tcBorders>
            <w:shd w:val="clear" w:color="auto" w:fill="auto"/>
            <w:vAlign w:val="bottom"/>
          </w:tcPr>
          <w:p w14:paraId="00000378" w14:textId="77777777" w:rsidR="00294ABB" w:rsidRDefault="00420BFB" w:rsidP="00835B56">
            <w:pPr>
              <w:spacing w:before="60" w:after="60"/>
              <w:jc w:val="left"/>
              <w:rPr>
                <w:b/>
                <w:color w:val="000000"/>
                <w:sz w:val="18"/>
                <w:szCs w:val="18"/>
              </w:rPr>
            </w:pPr>
            <w:r>
              <w:rPr>
                <w:b/>
                <w:color w:val="000000"/>
                <w:sz w:val="18"/>
                <w:szCs w:val="18"/>
              </w:rPr>
              <w:t>SADC</w:t>
            </w:r>
          </w:p>
        </w:tc>
        <w:tc>
          <w:tcPr>
            <w:tcW w:w="1103" w:type="dxa"/>
            <w:tcBorders>
              <w:top w:val="nil"/>
              <w:left w:val="nil"/>
              <w:bottom w:val="nil"/>
              <w:right w:val="nil"/>
            </w:tcBorders>
            <w:shd w:val="clear" w:color="auto" w:fill="auto"/>
            <w:tcMar>
              <w:right w:w="284" w:type="dxa"/>
            </w:tcMar>
            <w:vAlign w:val="bottom"/>
          </w:tcPr>
          <w:p w14:paraId="00000379" w14:textId="77777777" w:rsidR="00294ABB" w:rsidRDefault="00420BFB" w:rsidP="00835B56">
            <w:pPr>
              <w:spacing w:before="60" w:after="60"/>
              <w:jc w:val="right"/>
              <w:rPr>
                <w:b/>
                <w:color w:val="000000"/>
                <w:sz w:val="18"/>
                <w:szCs w:val="18"/>
              </w:rPr>
            </w:pPr>
            <w:r>
              <w:rPr>
                <w:b/>
                <w:color w:val="000000"/>
                <w:sz w:val="18"/>
                <w:szCs w:val="18"/>
              </w:rPr>
              <w:t>65.28</w:t>
            </w:r>
          </w:p>
        </w:tc>
        <w:tc>
          <w:tcPr>
            <w:tcW w:w="1247" w:type="dxa"/>
            <w:tcBorders>
              <w:top w:val="nil"/>
              <w:left w:val="single" w:sz="4" w:space="0" w:color="000000"/>
              <w:bottom w:val="nil"/>
              <w:right w:val="single" w:sz="4" w:space="0" w:color="000000"/>
            </w:tcBorders>
            <w:shd w:val="clear" w:color="auto" w:fill="auto"/>
            <w:tcMar>
              <w:right w:w="284" w:type="dxa"/>
            </w:tcMar>
            <w:vAlign w:val="bottom"/>
          </w:tcPr>
          <w:p w14:paraId="0000037A" w14:textId="77777777" w:rsidR="00294ABB" w:rsidRDefault="00420BFB" w:rsidP="00835B56">
            <w:pPr>
              <w:spacing w:before="60" w:after="60"/>
              <w:jc w:val="right"/>
              <w:rPr>
                <w:b/>
                <w:color w:val="000000"/>
                <w:sz w:val="18"/>
                <w:szCs w:val="18"/>
              </w:rPr>
            </w:pPr>
            <w:r>
              <w:rPr>
                <w:b/>
                <w:color w:val="000000"/>
                <w:sz w:val="18"/>
                <w:szCs w:val="18"/>
              </w:rPr>
              <w:t>1.64</w:t>
            </w:r>
          </w:p>
        </w:tc>
        <w:tc>
          <w:tcPr>
            <w:tcW w:w="1098" w:type="dxa"/>
            <w:tcBorders>
              <w:top w:val="nil"/>
              <w:left w:val="nil"/>
              <w:bottom w:val="nil"/>
              <w:right w:val="nil"/>
            </w:tcBorders>
            <w:shd w:val="clear" w:color="auto" w:fill="auto"/>
            <w:tcMar>
              <w:right w:w="284" w:type="dxa"/>
            </w:tcMar>
            <w:vAlign w:val="bottom"/>
          </w:tcPr>
          <w:p w14:paraId="0000037B" w14:textId="77777777" w:rsidR="00294ABB" w:rsidRDefault="00420BFB" w:rsidP="00835B56">
            <w:pPr>
              <w:spacing w:before="60" w:after="60"/>
              <w:jc w:val="right"/>
              <w:rPr>
                <w:b/>
                <w:color w:val="000000"/>
                <w:sz w:val="18"/>
                <w:szCs w:val="18"/>
              </w:rPr>
            </w:pPr>
            <w:r>
              <w:rPr>
                <w:b/>
                <w:color w:val="000000"/>
                <w:sz w:val="18"/>
                <w:szCs w:val="18"/>
              </w:rPr>
              <w:t>18.23</w:t>
            </w:r>
          </w:p>
        </w:tc>
        <w:tc>
          <w:tcPr>
            <w:tcW w:w="1098" w:type="dxa"/>
            <w:tcBorders>
              <w:top w:val="nil"/>
              <w:left w:val="single" w:sz="4" w:space="0" w:color="000000"/>
              <w:bottom w:val="nil"/>
              <w:right w:val="single" w:sz="4" w:space="0" w:color="000000"/>
            </w:tcBorders>
            <w:shd w:val="clear" w:color="auto" w:fill="auto"/>
            <w:tcMar>
              <w:right w:w="284" w:type="dxa"/>
            </w:tcMar>
            <w:vAlign w:val="bottom"/>
          </w:tcPr>
          <w:p w14:paraId="0000037C" w14:textId="77777777" w:rsidR="00294ABB" w:rsidRDefault="00420BFB" w:rsidP="00835B56">
            <w:pPr>
              <w:spacing w:before="60" w:after="60"/>
              <w:jc w:val="right"/>
              <w:rPr>
                <w:b/>
                <w:color w:val="000000"/>
                <w:sz w:val="18"/>
                <w:szCs w:val="18"/>
              </w:rPr>
            </w:pPr>
            <w:r>
              <w:rPr>
                <w:b/>
                <w:color w:val="000000"/>
                <w:sz w:val="18"/>
                <w:szCs w:val="18"/>
              </w:rPr>
              <w:t>28.10</w:t>
            </w:r>
          </w:p>
        </w:tc>
        <w:tc>
          <w:tcPr>
            <w:tcW w:w="1128" w:type="dxa"/>
            <w:tcBorders>
              <w:top w:val="nil"/>
              <w:left w:val="nil"/>
              <w:bottom w:val="nil"/>
              <w:right w:val="nil"/>
            </w:tcBorders>
            <w:shd w:val="clear" w:color="auto" w:fill="auto"/>
            <w:tcMar>
              <w:right w:w="284" w:type="dxa"/>
            </w:tcMar>
            <w:vAlign w:val="bottom"/>
          </w:tcPr>
          <w:p w14:paraId="0000037D" w14:textId="77777777" w:rsidR="00294ABB" w:rsidRDefault="00420BFB" w:rsidP="00835B56">
            <w:pPr>
              <w:spacing w:before="60" w:after="60"/>
              <w:jc w:val="right"/>
              <w:rPr>
                <w:b/>
                <w:color w:val="000000"/>
                <w:sz w:val="18"/>
                <w:szCs w:val="18"/>
              </w:rPr>
            </w:pPr>
            <w:r>
              <w:rPr>
                <w:b/>
                <w:color w:val="000000"/>
                <w:sz w:val="18"/>
                <w:szCs w:val="18"/>
              </w:rPr>
              <w:t>na</w:t>
            </w:r>
          </w:p>
        </w:tc>
        <w:tc>
          <w:tcPr>
            <w:tcW w:w="1104" w:type="dxa"/>
            <w:tcBorders>
              <w:top w:val="nil"/>
              <w:left w:val="single" w:sz="4" w:space="0" w:color="000000"/>
              <w:bottom w:val="nil"/>
              <w:right w:val="single" w:sz="4" w:space="0" w:color="000000"/>
            </w:tcBorders>
            <w:shd w:val="clear" w:color="auto" w:fill="auto"/>
            <w:tcMar>
              <w:right w:w="284" w:type="dxa"/>
            </w:tcMar>
            <w:vAlign w:val="bottom"/>
          </w:tcPr>
          <w:p w14:paraId="0000037E" w14:textId="77777777" w:rsidR="00294ABB" w:rsidRDefault="00420BFB" w:rsidP="00835B56">
            <w:pPr>
              <w:spacing w:before="60" w:after="60"/>
              <w:jc w:val="right"/>
              <w:rPr>
                <w:b/>
                <w:color w:val="000000"/>
                <w:sz w:val="18"/>
                <w:szCs w:val="18"/>
              </w:rPr>
            </w:pPr>
            <w:r>
              <w:rPr>
                <w:b/>
                <w:color w:val="000000"/>
                <w:sz w:val="18"/>
                <w:szCs w:val="18"/>
              </w:rPr>
              <w:t>0.00</w:t>
            </w:r>
          </w:p>
        </w:tc>
        <w:tc>
          <w:tcPr>
            <w:tcW w:w="1231" w:type="dxa"/>
            <w:tcBorders>
              <w:top w:val="nil"/>
              <w:left w:val="nil"/>
              <w:bottom w:val="nil"/>
              <w:right w:val="single" w:sz="8" w:space="0" w:color="000000"/>
            </w:tcBorders>
            <w:shd w:val="clear" w:color="auto" w:fill="auto"/>
            <w:tcMar>
              <w:right w:w="284" w:type="dxa"/>
            </w:tcMar>
            <w:vAlign w:val="bottom"/>
          </w:tcPr>
          <w:p w14:paraId="0000037F" w14:textId="77777777" w:rsidR="00294ABB" w:rsidRDefault="00420BFB" w:rsidP="00835B56">
            <w:pPr>
              <w:spacing w:before="60" w:after="60"/>
              <w:jc w:val="right"/>
              <w:rPr>
                <w:b/>
                <w:color w:val="000000"/>
                <w:sz w:val="18"/>
                <w:szCs w:val="18"/>
              </w:rPr>
            </w:pPr>
            <w:r>
              <w:rPr>
                <w:b/>
                <w:color w:val="000000"/>
                <w:sz w:val="18"/>
                <w:szCs w:val="18"/>
              </w:rPr>
              <w:t>22.68</w:t>
            </w:r>
          </w:p>
        </w:tc>
      </w:tr>
      <w:tr w:rsidR="00294ABB" w14:paraId="320DC132" w14:textId="77777777" w:rsidTr="00835B56">
        <w:trPr>
          <w:trHeight w:val="300"/>
          <w:jc w:val="center"/>
        </w:trPr>
        <w:tc>
          <w:tcPr>
            <w:tcW w:w="2151" w:type="dxa"/>
            <w:tcBorders>
              <w:top w:val="single" w:sz="4" w:space="0" w:color="000000"/>
              <w:left w:val="single" w:sz="8" w:space="0" w:color="000000"/>
              <w:bottom w:val="single" w:sz="8" w:space="0" w:color="000000"/>
              <w:right w:val="single" w:sz="4" w:space="0" w:color="000000"/>
            </w:tcBorders>
            <w:shd w:val="clear" w:color="auto" w:fill="auto"/>
            <w:vAlign w:val="bottom"/>
          </w:tcPr>
          <w:p w14:paraId="00000380" w14:textId="77777777" w:rsidR="00294ABB" w:rsidRDefault="00420BFB" w:rsidP="00835B56">
            <w:pPr>
              <w:spacing w:before="60" w:after="60"/>
              <w:jc w:val="right"/>
              <w:rPr>
                <w:i/>
                <w:color w:val="000000"/>
                <w:sz w:val="18"/>
                <w:szCs w:val="18"/>
              </w:rPr>
            </w:pPr>
            <w:r>
              <w:rPr>
                <w:i/>
                <w:color w:val="000000"/>
                <w:sz w:val="18"/>
                <w:szCs w:val="18"/>
              </w:rPr>
              <w:t>Cultural trade</w:t>
            </w:r>
          </w:p>
        </w:tc>
        <w:tc>
          <w:tcPr>
            <w:tcW w:w="1103" w:type="dxa"/>
            <w:tcBorders>
              <w:top w:val="single" w:sz="4" w:space="0" w:color="000000"/>
              <w:left w:val="nil"/>
              <w:bottom w:val="single" w:sz="8" w:space="0" w:color="000000"/>
              <w:right w:val="nil"/>
            </w:tcBorders>
            <w:shd w:val="clear" w:color="auto" w:fill="auto"/>
            <w:tcMar>
              <w:right w:w="284" w:type="dxa"/>
            </w:tcMar>
            <w:vAlign w:val="bottom"/>
          </w:tcPr>
          <w:p w14:paraId="00000381" w14:textId="77777777" w:rsidR="00294ABB" w:rsidRDefault="00420BFB" w:rsidP="00835B56">
            <w:pPr>
              <w:spacing w:before="60" w:after="60"/>
              <w:jc w:val="right"/>
              <w:rPr>
                <w:i/>
                <w:color w:val="000000"/>
                <w:sz w:val="18"/>
                <w:szCs w:val="18"/>
              </w:rPr>
            </w:pPr>
            <w:r>
              <w:rPr>
                <w:i/>
                <w:color w:val="000000"/>
                <w:sz w:val="18"/>
                <w:szCs w:val="18"/>
              </w:rPr>
              <w:t>0.337</w:t>
            </w:r>
          </w:p>
        </w:tc>
        <w:tc>
          <w:tcPr>
            <w:tcW w:w="1247" w:type="dxa"/>
            <w:tcBorders>
              <w:top w:val="single" w:sz="4" w:space="0" w:color="000000"/>
              <w:left w:val="single" w:sz="4" w:space="0" w:color="000000"/>
              <w:bottom w:val="single" w:sz="8" w:space="0" w:color="000000"/>
              <w:right w:val="single" w:sz="4" w:space="0" w:color="000000"/>
            </w:tcBorders>
            <w:shd w:val="clear" w:color="auto" w:fill="auto"/>
            <w:tcMar>
              <w:right w:w="284" w:type="dxa"/>
            </w:tcMar>
            <w:vAlign w:val="bottom"/>
          </w:tcPr>
          <w:p w14:paraId="00000382" w14:textId="77777777" w:rsidR="00294ABB" w:rsidRDefault="00420BFB" w:rsidP="00835B56">
            <w:pPr>
              <w:spacing w:before="60" w:after="60"/>
              <w:jc w:val="right"/>
              <w:rPr>
                <w:i/>
                <w:color w:val="000000"/>
                <w:sz w:val="18"/>
                <w:szCs w:val="18"/>
              </w:rPr>
            </w:pPr>
            <w:r>
              <w:rPr>
                <w:i/>
                <w:color w:val="000000"/>
                <w:sz w:val="18"/>
                <w:szCs w:val="18"/>
              </w:rPr>
              <w:t>10.029</w:t>
            </w:r>
          </w:p>
        </w:tc>
        <w:tc>
          <w:tcPr>
            <w:tcW w:w="1098" w:type="dxa"/>
            <w:tcBorders>
              <w:top w:val="single" w:sz="4" w:space="0" w:color="000000"/>
              <w:left w:val="nil"/>
              <w:bottom w:val="single" w:sz="8" w:space="0" w:color="000000"/>
              <w:right w:val="nil"/>
            </w:tcBorders>
            <w:shd w:val="clear" w:color="auto" w:fill="auto"/>
            <w:tcMar>
              <w:right w:w="284" w:type="dxa"/>
            </w:tcMar>
            <w:vAlign w:val="bottom"/>
          </w:tcPr>
          <w:p w14:paraId="00000383" w14:textId="77777777" w:rsidR="00294ABB" w:rsidRDefault="00420BFB" w:rsidP="00835B56">
            <w:pPr>
              <w:spacing w:before="60" w:after="60"/>
              <w:jc w:val="right"/>
              <w:rPr>
                <w:i/>
                <w:color w:val="000000"/>
                <w:sz w:val="18"/>
                <w:szCs w:val="18"/>
              </w:rPr>
            </w:pPr>
            <w:r>
              <w:rPr>
                <w:i/>
                <w:color w:val="000000"/>
                <w:sz w:val="18"/>
                <w:szCs w:val="18"/>
              </w:rPr>
              <w:t>23.509</w:t>
            </w:r>
          </w:p>
        </w:tc>
        <w:tc>
          <w:tcPr>
            <w:tcW w:w="1098" w:type="dxa"/>
            <w:tcBorders>
              <w:top w:val="single" w:sz="4" w:space="0" w:color="000000"/>
              <w:left w:val="single" w:sz="4" w:space="0" w:color="000000"/>
              <w:bottom w:val="single" w:sz="8" w:space="0" w:color="000000"/>
              <w:right w:val="single" w:sz="4" w:space="0" w:color="000000"/>
            </w:tcBorders>
            <w:shd w:val="clear" w:color="auto" w:fill="auto"/>
            <w:tcMar>
              <w:right w:w="284" w:type="dxa"/>
            </w:tcMar>
            <w:vAlign w:val="bottom"/>
          </w:tcPr>
          <w:p w14:paraId="00000384" w14:textId="77777777" w:rsidR="00294ABB" w:rsidRDefault="00420BFB" w:rsidP="00835B56">
            <w:pPr>
              <w:spacing w:before="60" w:after="60"/>
              <w:jc w:val="right"/>
              <w:rPr>
                <w:i/>
                <w:color w:val="000000"/>
                <w:sz w:val="18"/>
                <w:szCs w:val="18"/>
              </w:rPr>
            </w:pPr>
            <w:r>
              <w:rPr>
                <w:i/>
                <w:color w:val="000000"/>
                <w:sz w:val="18"/>
                <w:szCs w:val="18"/>
              </w:rPr>
              <w:t>55.625</w:t>
            </w:r>
          </w:p>
        </w:tc>
        <w:tc>
          <w:tcPr>
            <w:tcW w:w="1128" w:type="dxa"/>
            <w:tcBorders>
              <w:top w:val="single" w:sz="4" w:space="0" w:color="000000"/>
              <w:left w:val="nil"/>
              <w:bottom w:val="single" w:sz="8" w:space="0" w:color="000000"/>
              <w:right w:val="nil"/>
            </w:tcBorders>
            <w:shd w:val="clear" w:color="auto" w:fill="auto"/>
            <w:tcMar>
              <w:right w:w="284" w:type="dxa"/>
            </w:tcMar>
            <w:vAlign w:val="bottom"/>
          </w:tcPr>
          <w:p w14:paraId="00000385" w14:textId="77777777" w:rsidR="00294ABB" w:rsidRDefault="00420BFB" w:rsidP="00835B56">
            <w:pPr>
              <w:spacing w:before="60" w:after="60"/>
              <w:jc w:val="right"/>
              <w:rPr>
                <w:i/>
                <w:color w:val="000000"/>
                <w:sz w:val="18"/>
                <w:szCs w:val="18"/>
              </w:rPr>
            </w:pPr>
            <w:r>
              <w:rPr>
                <w:i/>
                <w:color w:val="000000"/>
                <w:sz w:val="18"/>
                <w:szCs w:val="18"/>
              </w:rPr>
              <w:t>0.000</w:t>
            </w:r>
          </w:p>
        </w:tc>
        <w:tc>
          <w:tcPr>
            <w:tcW w:w="1104" w:type="dxa"/>
            <w:tcBorders>
              <w:top w:val="single" w:sz="4" w:space="0" w:color="000000"/>
              <w:left w:val="single" w:sz="4" w:space="0" w:color="000000"/>
              <w:bottom w:val="single" w:sz="8" w:space="0" w:color="000000"/>
              <w:right w:val="single" w:sz="4" w:space="0" w:color="000000"/>
            </w:tcBorders>
            <w:shd w:val="clear" w:color="auto" w:fill="auto"/>
            <w:tcMar>
              <w:right w:w="284" w:type="dxa"/>
            </w:tcMar>
            <w:vAlign w:val="bottom"/>
          </w:tcPr>
          <w:p w14:paraId="00000386" w14:textId="77777777" w:rsidR="00294ABB" w:rsidRDefault="00420BFB" w:rsidP="00835B56">
            <w:pPr>
              <w:spacing w:before="60" w:after="60"/>
              <w:jc w:val="right"/>
              <w:rPr>
                <w:i/>
                <w:color w:val="000000"/>
                <w:sz w:val="18"/>
                <w:szCs w:val="18"/>
              </w:rPr>
            </w:pPr>
            <w:r>
              <w:rPr>
                <w:i/>
                <w:color w:val="000000"/>
                <w:sz w:val="18"/>
                <w:szCs w:val="18"/>
              </w:rPr>
              <w:t>0.014</w:t>
            </w:r>
          </w:p>
        </w:tc>
        <w:tc>
          <w:tcPr>
            <w:tcW w:w="1231" w:type="dxa"/>
            <w:tcBorders>
              <w:top w:val="single" w:sz="4" w:space="0" w:color="000000"/>
              <w:left w:val="nil"/>
              <w:bottom w:val="single" w:sz="8" w:space="0" w:color="000000"/>
              <w:right w:val="single" w:sz="8" w:space="0" w:color="000000"/>
            </w:tcBorders>
            <w:shd w:val="clear" w:color="auto" w:fill="auto"/>
            <w:tcMar>
              <w:right w:w="284" w:type="dxa"/>
            </w:tcMar>
            <w:vAlign w:val="bottom"/>
          </w:tcPr>
          <w:p w14:paraId="00000387" w14:textId="77777777" w:rsidR="00294ABB" w:rsidRDefault="00420BFB" w:rsidP="00835B56">
            <w:pPr>
              <w:spacing w:before="60" w:after="60"/>
              <w:jc w:val="right"/>
              <w:rPr>
                <w:i/>
                <w:color w:val="000000"/>
                <w:sz w:val="18"/>
                <w:szCs w:val="18"/>
              </w:rPr>
            </w:pPr>
            <w:r>
              <w:rPr>
                <w:i/>
                <w:color w:val="000000"/>
                <w:sz w:val="18"/>
                <w:szCs w:val="18"/>
              </w:rPr>
              <w:t>89.514</w:t>
            </w:r>
          </w:p>
        </w:tc>
      </w:tr>
      <w:tr w:rsidR="00294ABB" w14:paraId="54B97959" w14:textId="77777777" w:rsidTr="00835B56">
        <w:trPr>
          <w:trHeight w:val="300"/>
          <w:jc w:val="center"/>
        </w:trPr>
        <w:tc>
          <w:tcPr>
            <w:tcW w:w="2151" w:type="dxa"/>
            <w:tcBorders>
              <w:top w:val="nil"/>
              <w:left w:val="single" w:sz="8" w:space="0" w:color="000000"/>
              <w:bottom w:val="nil"/>
              <w:right w:val="single" w:sz="4" w:space="0" w:color="000000"/>
            </w:tcBorders>
            <w:shd w:val="clear" w:color="auto" w:fill="auto"/>
            <w:vAlign w:val="bottom"/>
          </w:tcPr>
          <w:p w14:paraId="00000388" w14:textId="77777777" w:rsidR="00294ABB" w:rsidRDefault="00420BFB" w:rsidP="00835B56">
            <w:pPr>
              <w:spacing w:before="60" w:after="60"/>
              <w:jc w:val="left"/>
              <w:rPr>
                <w:color w:val="000000"/>
                <w:sz w:val="18"/>
                <w:szCs w:val="18"/>
              </w:rPr>
            </w:pPr>
            <w:r>
              <w:rPr>
                <w:color w:val="000000"/>
                <w:sz w:val="18"/>
                <w:szCs w:val="18"/>
              </w:rPr>
              <w:t> </w:t>
            </w:r>
          </w:p>
        </w:tc>
        <w:tc>
          <w:tcPr>
            <w:tcW w:w="1103" w:type="dxa"/>
            <w:tcBorders>
              <w:top w:val="nil"/>
              <w:left w:val="nil"/>
              <w:bottom w:val="nil"/>
              <w:right w:val="nil"/>
            </w:tcBorders>
            <w:shd w:val="clear" w:color="auto" w:fill="auto"/>
            <w:tcMar>
              <w:right w:w="284" w:type="dxa"/>
            </w:tcMar>
            <w:vAlign w:val="bottom"/>
          </w:tcPr>
          <w:p w14:paraId="00000389" w14:textId="77777777" w:rsidR="00294ABB" w:rsidRDefault="00294ABB" w:rsidP="00835B56">
            <w:pPr>
              <w:spacing w:before="60" w:after="60"/>
              <w:jc w:val="right"/>
              <w:rPr>
                <w:color w:val="000000"/>
                <w:sz w:val="18"/>
                <w:szCs w:val="18"/>
              </w:rPr>
            </w:pPr>
          </w:p>
        </w:tc>
        <w:tc>
          <w:tcPr>
            <w:tcW w:w="1247" w:type="dxa"/>
            <w:tcBorders>
              <w:top w:val="nil"/>
              <w:left w:val="single" w:sz="4" w:space="0" w:color="000000"/>
              <w:bottom w:val="nil"/>
              <w:right w:val="single" w:sz="4" w:space="0" w:color="000000"/>
            </w:tcBorders>
            <w:shd w:val="clear" w:color="auto" w:fill="auto"/>
            <w:tcMar>
              <w:right w:w="284" w:type="dxa"/>
            </w:tcMar>
            <w:vAlign w:val="bottom"/>
          </w:tcPr>
          <w:p w14:paraId="0000038A" w14:textId="77777777" w:rsidR="00294ABB" w:rsidRDefault="00420BFB" w:rsidP="00835B56">
            <w:pPr>
              <w:spacing w:before="60" w:after="60"/>
              <w:jc w:val="right"/>
              <w:rPr>
                <w:color w:val="000000"/>
                <w:sz w:val="18"/>
                <w:szCs w:val="18"/>
              </w:rPr>
            </w:pPr>
            <w:r>
              <w:rPr>
                <w:color w:val="000000"/>
                <w:sz w:val="18"/>
                <w:szCs w:val="18"/>
              </w:rPr>
              <w:t> </w:t>
            </w:r>
          </w:p>
        </w:tc>
        <w:tc>
          <w:tcPr>
            <w:tcW w:w="1098" w:type="dxa"/>
            <w:tcBorders>
              <w:top w:val="nil"/>
              <w:left w:val="nil"/>
              <w:bottom w:val="nil"/>
              <w:right w:val="nil"/>
            </w:tcBorders>
            <w:shd w:val="clear" w:color="auto" w:fill="auto"/>
            <w:tcMar>
              <w:right w:w="284" w:type="dxa"/>
            </w:tcMar>
            <w:vAlign w:val="bottom"/>
          </w:tcPr>
          <w:p w14:paraId="0000038B" w14:textId="77777777" w:rsidR="00294ABB" w:rsidRDefault="00294ABB" w:rsidP="00835B56">
            <w:pPr>
              <w:spacing w:before="60" w:after="60"/>
              <w:jc w:val="right"/>
              <w:rPr>
                <w:color w:val="000000"/>
                <w:sz w:val="18"/>
                <w:szCs w:val="18"/>
              </w:rPr>
            </w:pPr>
          </w:p>
        </w:tc>
        <w:tc>
          <w:tcPr>
            <w:tcW w:w="1098" w:type="dxa"/>
            <w:tcBorders>
              <w:top w:val="nil"/>
              <w:left w:val="single" w:sz="4" w:space="0" w:color="000000"/>
              <w:bottom w:val="nil"/>
              <w:right w:val="single" w:sz="4" w:space="0" w:color="000000"/>
            </w:tcBorders>
            <w:shd w:val="clear" w:color="auto" w:fill="auto"/>
            <w:tcMar>
              <w:right w:w="284" w:type="dxa"/>
            </w:tcMar>
            <w:vAlign w:val="bottom"/>
          </w:tcPr>
          <w:p w14:paraId="0000038C" w14:textId="77777777" w:rsidR="00294ABB" w:rsidRDefault="00420BFB" w:rsidP="00835B56">
            <w:pPr>
              <w:spacing w:before="60" w:after="60"/>
              <w:jc w:val="right"/>
              <w:rPr>
                <w:color w:val="000000"/>
                <w:sz w:val="18"/>
                <w:szCs w:val="18"/>
              </w:rPr>
            </w:pPr>
            <w:r>
              <w:rPr>
                <w:color w:val="000000"/>
                <w:sz w:val="18"/>
                <w:szCs w:val="18"/>
              </w:rPr>
              <w:t> </w:t>
            </w:r>
          </w:p>
        </w:tc>
        <w:tc>
          <w:tcPr>
            <w:tcW w:w="1128" w:type="dxa"/>
            <w:tcBorders>
              <w:top w:val="nil"/>
              <w:left w:val="nil"/>
              <w:bottom w:val="nil"/>
              <w:right w:val="nil"/>
            </w:tcBorders>
            <w:shd w:val="clear" w:color="auto" w:fill="auto"/>
            <w:tcMar>
              <w:right w:w="284" w:type="dxa"/>
            </w:tcMar>
            <w:vAlign w:val="bottom"/>
          </w:tcPr>
          <w:p w14:paraId="0000038D" w14:textId="77777777" w:rsidR="00294ABB" w:rsidRDefault="00294ABB" w:rsidP="00835B56">
            <w:pPr>
              <w:spacing w:before="60" w:after="60"/>
              <w:jc w:val="right"/>
              <w:rPr>
                <w:color w:val="000000"/>
                <w:sz w:val="18"/>
                <w:szCs w:val="18"/>
              </w:rPr>
            </w:pPr>
          </w:p>
        </w:tc>
        <w:tc>
          <w:tcPr>
            <w:tcW w:w="1104" w:type="dxa"/>
            <w:tcBorders>
              <w:top w:val="nil"/>
              <w:left w:val="single" w:sz="4" w:space="0" w:color="000000"/>
              <w:bottom w:val="nil"/>
              <w:right w:val="single" w:sz="4" w:space="0" w:color="000000"/>
            </w:tcBorders>
            <w:shd w:val="clear" w:color="auto" w:fill="auto"/>
            <w:tcMar>
              <w:right w:w="284" w:type="dxa"/>
            </w:tcMar>
            <w:vAlign w:val="bottom"/>
          </w:tcPr>
          <w:p w14:paraId="0000038E" w14:textId="77777777" w:rsidR="00294ABB" w:rsidRDefault="00420BFB" w:rsidP="00835B56">
            <w:pPr>
              <w:spacing w:before="60" w:after="60"/>
              <w:jc w:val="right"/>
              <w:rPr>
                <w:color w:val="000000"/>
                <w:sz w:val="18"/>
                <w:szCs w:val="18"/>
              </w:rPr>
            </w:pPr>
            <w:r>
              <w:rPr>
                <w:color w:val="000000"/>
                <w:sz w:val="18"/>
                <w:szCs w:val="18"/>
              </w:rPr>
              <w:t> </w:t>
            </w:r>
          </w:p>
        </w:tc>
        <w:tc>
          <w:tcPr>
            <w:tcW w:w="1231" w:type="dxa"/>
            <w:tcBorders>
              <w:top w:val="nil"/>
              <w:left w:val="nil"/>
              <w:bottom w:val="nil"/>
              <w:right w:val="single" w:sz="8" w:space="0" w:color="000000"/>
            </w:tcBorders>
            <w:shd w:val="clear" w:color="auto" w:fill="auto"/>
            <w:tcMar>
              <w:right w:w="284" w:type="dxa"/>
            </w:tcMar>
            <w:vAlign w:val="bottom"/>
          </w:tcPr>
          <w:p w14:paraId="0000038F" w14:textId="77777777" w:rsidR="00294ABB" w:rsidRDefault="00420BFB" w:rsidP="00835B56">
            <w:pPr>
              <w:spacing w:before="60" w:after="60"/>
              <w:jc w:val="right"/>
              <w:rPr>
                <w:color w:val="000000"/>
                <w:sz w:val="18"/>
                <w:szCs w:val="18"/>
              </w:rPr>
            </w:pPr>
            <w:r>
              <w:rPr>
                <w:color w:val="000000"/>
                <w:sz w:val="18"/>
                <w:szCs w:val="18"/>
              </w:rPr>
              <w:t> </w:t>
            </w:r>
          </w:p>
        </w:tc>
      </w:tr>
      <w:tr w:rsidR="00294ABB" w14:paraId="6A713188" w14:textId="77777777" w:rsidTr="00835B56">
        <w:trPr>
          <w:trHeight w:val="290"/>
          <w:jc w:val="center"/>
        </w:trPr>
        <w:tc>
          <w:tcPr>
            <w:tcW w:w="2151" w:type="dxa"/>
            <w:tcBorders>
              <w:top w:val="single" w:sz="8" w:space="0" w:color="000000"/>
              <w:left w:val="single" w:sz="8" w:space="0" w:color="000000"/>
              <w:bottom w:val="nil"/>
              <w:right w:val="single" w:sz="4" w:space="0" w:color="000000"/>
            </w:tcBorders>
            <w:shd w:val="clear" w:color="auto" w:fill="auto"/>
            <w:vAlign w:val="bottom"/>
          </w:tcPr>
          <w:p w14:paraId="00000390" w14:textId="061C65A7" w:rsidR="00294ABB" w:rsidRDefault="00420BFB" w:rsidP="00835B56">
            <w:pPr>
              <w:spacing w:before="60" w:after="60"/>
              <w:jc w:val="left"/>
              <w:rPr>
                <w:b/>
                <w:color w:val="000000"/>
                <w:sz w:val="18"/>
                <w:szCs w:val="18"/>
              </w:rPr>
            </w:pPr>
            <w:r>
              <w:rPr>
                <w:b/>
                <w:color w:val="000000"/>
                <w:sz w:val="18"/>
                <w:szCs w:val="18"/>
              </w:rPr>
              <w:t>World</w:t>
            </w:r>
            <w:r w:rsidR="001B10E6">
              <w:rPr>
                <w:b/>
                <w:color w:val="000000"/>
                <w:sz w:val="18"/>
                <w:szCs w:val="18"/>
              </w:rPr>
              <w:t xml:space="preserve"> </w:t>
            </w:r>
          </w:p>
        </w:tc>
        <w:tc>
          <w:tcPr>
            <w:tcW w:w="1103" w:type="dxa"/>
            <w:tcBorders>
              <w:top w:val="single" w:sz="8" w:space="0" w:color="000000"/>
              <w:left w:val="nil"/>
              <w:bottom w:val="nil"/>
              <w:right w:val="nil"/>
            </w:tcBorders>
            <w:shd w:val="clear" w:color="auto" w:fill="auto"/>
            <w:tcMar>
              <w:right w:w="284" w:type="dxa"/>
            </w:tcMar>
            <w:vAlign w:val="bottom"/>
          </w:tcPr>
          <w:p w14:paraId="00000391" w14:textId="77777777" w:rsidR="00294ABB" w:rsidRDefault="00420BFB" w:rsidP="00835B56">
            <w:pPr>
              <w:spacing w:before="60" w:after="60"/>
              <w:jc w:val="right"/>
              <w:rPr>
                <w:b/>
                <w:color w:val="000000"/>
                <w:sz w:val="18"/>
                <w:szCs w:val="18"/>
              </w:rPr>
            </w:pPr>
            <w:r>
              <w:rPr>
                <w:b/>
                <w:color w:val="000000"/>
                <w:sz w:val="18"/>
                <w:szCs w:val="18"/>
              </w:rPr>
              <w:t>10.11</w:t>
            </w:r>
          </w:p>
        </w:tc>
        <w:tc>
          <w:tcPr>
            <w:tcW w:w="1247" w:type="dxa"/>
            <w:tcBorders>
              <w:top w:val="single" w:sz="8" w:space="0" w:color="000000"/>
              <w:left w:val="single" w:sz="4" w:space="0" w:color="000000"/>
              <w:bottom w:val="nil"/>
              <w:right w:val="single" w:sz="4" w:space="0" w:color="000000"/>
            </w:tcBorders>
            <w:shd w:val="clear" w:color="auto" w:fill="auto"/>
            <w:tcMar>
              <w:right w:w="284" w:type="dxa"/>
            </w:tcMar>
            <w:vAlign w:val="bottom"/>
          </w:tcPr>
          <w:p w14:paraId="00000392" w14:textId="77777777" w:rsidR="00294ABB" w:rsidRDefault="00420BFB" w:rsidP="00835B56">
            <w:pPr>
              <w:spacing w:before="60" w:after="60"/>
              <w:jc w:val="right"/>
              <w:rPr>
                <w:b/>
                <w:color w:val="000000"/>
                <w:sz w:val="18"/>
                <w:szCs w:val="18"/>
              </w:rPr>
            </w:pPr>
            <w:r>
              <w:rPr>
                <w:b/>
                <w:color w:val="000000"/>
                <w:sz w:val="18"/>
                <w:szCs w:val="18"/>
              </w:rPr>
              <w:t>30.41</w:t>
            </w:r>
          </w:p>
        </w:tc>
        <w:tc>
          <w:tcPr>
            <w:tcW w:w="1098" w:type="dxa"/>
            <w:tcBorders>
              <w:top w:val="single" w:sz="8" w:space="0" w:color="000000"/>
              <w:left w:val="nil"/>
              <w:bottom w:val="nil"/>
              <w:right w:val="nil"/>
            </w:tcBorders>
            <w:shd w:val="clear" w:color="auto" w:fill="auto"/>
            <w:tcMar>
              <w:right w:w="284" w:type="dxa"/>
            </w:tcMar>
            <w:vAlign w:val="bottom"/>
          </w:tcPr>
          <w:p w14:paraId="00000393" w14:textId="77777777" w:rsidR="00294ABB" w:rsidRDefault="00420BFB" w:rsidP="00835B56">
            <w:pPr>
              <w:spacing w:before="60" w:after="60"/>
              <w:jc w:val="right"/>
              <w:rPr>
                <w:b/>
                <w:color w:val="000000"/>
                <w:sz w:val="18"/>
                <w:szCs w:val="18"/>
              </w:rPr>
            </w:pPr>
            <w:r>
              <w:rPr>
                <w:b/>
                <w:color w:val="000000"/>
                <w:sz w:val="18"/>
                <w:szCs w:val="18"/>
              </w:rPr>
              <w:t>37.02</w:t>
            </w:r>
          </w:p>
        </w:tc>
        <w:tc>
          <w:tcPr>
            <w:tcW w:w="1098" w:type="dxa"/>
            <w:tcBorders>
              <w:top w:val="single" w:sz="8" w:space="0" w:color="000000"/>
              <w:left w:val="single" w:sz="4" w:space="0" w:color="000000"/>
              <w:bottom w:val="nil"/>
              <w:right w:val="single" w:sz="4" w:space="0" w:color="000000"/>
            </w:tcBorders>
            <w:shd w:val="clear" w:color="auto" w:fill="auto"/>
            <w:tcMar>
              <w:right w:w="284" w:type="dxa"/>
            </w:tcMar>
            <w:vAlign w:val="bottom"/>
          </w:tcPr>
          <w:p w14:paraId="00000394" w14:textId="77777777" w:rsidR="00294ABB" w:rsidRDefault="00420BFB" w:rsidP="00835B56">
            <w:pPr>
              <w:spacing w:before="60" w:after="60"/>
              <w:jc w:val="right"/>
              <w:rPr>
                <w:b/>
                <w:color w:val="000000"/>
                <w:sz w:val="18"/>
                <w:szCs w:val="18"/>
              </w:rPr>
            </w:pPr>
            <w:r>
              <w:rPr>
                <w:b/>
                <w:color w:val="000000"/>
                <w:sz w:val="18"/>
                <w:szCs w:val="18"/>
              </w:rPr>
              <w:t>56.22</w:t>
            </w:r>
          </w:p>
        </w:tc>
        <w:tc>
          <w:tcPr>
            <w:tcW w:w="1128" w:type="dxa"/>
            <w:tcBorders>
              <w:top w:val="single" w:sz="8" w:space="0" w:color="000000"/>
              <w:left w:val="nil"/>
              <w:bottom w:val="nil"/>
              <w:right w:val="nil"/>
            </w:tcBorders>
            <w:shd w:val="clear" w:color="auto" w:fill="auto"/>
            <w:tcMar>
              <w:right w:w="284" w:type="dxa"/>
            </w:tcMar>
            <w:vAlign w:val="bottom"/>
          </w:tcPr>
          <w:p w14:paraId="00000395" w14:textId="77777777" w:rsidR="00294ABB" w:rsidRDefault="00420BFB" w:rsidP="00835B56">
            <w:pPr>
              <w:spacing w:before="60" w:after="60"/>
              <w:jc w:val="right"/>
              <w:rPr>
                <w:b/>
                <w:color w:val="000000"/>
                <w:sz w:val="18"/>
                <w:szCs w:val="18"/>
              </w:rPr>
            </w:pPr>
            <w:r>
              <w:rPr>
                <w:b/>
                <w:color w:val="000000"/>
                <w:sz w:val="18"/>
                <w:szCs w:val="18"/>
              </w:rPr>
              <w:t>na</w:t>
            </w:r>
          </w:p>
        </w:tc>
        <w:tc>
          <w:tcPr>
            <w:tcW w:w="1104" w:type="dxa"/>
            <w:tcBorders>
              <w:top w:val="single" w:sz="8" w:space="0" w:color="000000"/>
              <w:left w:val="single" w:sz="4" w:space="0" w:color="000000"/>
              <w:bottom w:val="nil"/>
              <w:right w:val="single" w:sz="4" w:space="0" w:color="000000"/>
            </w:tcBorders>
            <w:shd w:val="clear" w:color="auto" w:fill="auto"/>
            <w:tcMar>
              <w:right w:w="284" w:type="dxa"/>
            </w:tcMar>
            <w:vAlign w:val="bottom"/>
          </w:tcPr>
          <w:p w14:paraId="00000396" w14:textId="77777777" w:rsidR="00294ABB" w:rsidRDefault="00420BFB" w:rsidP="00835B56">
            <w:pPr>
              <w:spacing w:before="60" w:after="60"/>
              <w:jc w:val="right"/>
              <w:rPr>
                <w:b/>
                <w:color w:val="000000"/>
                <w:sz w:val="18"/>
                <w:szCs w:val="18"/>
              </w:rPr>
            </w:pPr>
            <w:r>
              <w:rPr>
                <w:b/>
                <w:color w:val="000000"/>
                <w:sz w:val="18"/>
                <w:szCs w:val="18"/>
              </w:rPr>
              <w:t>31.93</w:t>
            </w:r>
          </w:p>
        </w:tc>
        <w:tc>
          <w:tcPr>
            <w:tcW w:w="1231" w:type="dxa"/>
            <w:tcBorders>
              <w:top w:val="single" w:sz="8" w:space="0" w:color="000000"/>
              <w:left w:val="nil"/>
              <w:bottom w:val="nil"/>
              <w:right w:val="single" w:sz="8" w:space="0" w:color="000000"/>
            </w:tcBorders>
            <w:shd w:val="clear" w:color="auto" w:fill="auto"/>
            <w:tcMar>
              <w:right w:w="284" w:type="dxa"/>
            </w:tcMar>
            <w:vAlign w:val="bottom"/>
          </w:tcPr>
          <w:p w14:paraId="00000397" w14:textId="77777777" w:rsidR="00294ABB" w:rsidRDefault="00420BFB" w:rsidP="00835B56">
            <w:pPr>
              <w:spacing w:before="60" w:after="60"/>
              <w:jc w:val="right"/>
              <w:rPr>
                <w:b/>
                <w:color w:val="000000"/>
                <w:sz w:val="18"/>
                <w:szCs w:val="18"/>
              </w:rPr>
            </w:pPr>
            <w:r>
              <w:rPr>
                <w:b/>
                <w:color w:val="000000"/>
                <w:sz w:val="18"/>
                <w:szCs w:val="18"/>
              </w:rPr>
              <w:t>39.08</w:t>
            </w:r>
          </w:p>
        </w:tc>
      </w:tr>
      <w:tr w:rsidR="00294ABB" w14:paraId="13862552" w14:textId="77777777" w:rsidTr="00835B56">
        <w:trPr>
          <w:trHeight w:val="300"/>
          <w:jc w:val="center"/>
        </w:trPr>
        <w:tc>
          <w:tcPr>
            <w:tcW w:w="2151" w:type="dxa"/>
            <w:tcBorders>
              <w:top w:val="single" w:sz="4" w:space="0" w:color="000000"/>
              <w:left w:val="single" w:sz="8" w:space="0" w:color="000000"/>
              <w:bottom w:val="single" w:sz="8" w:space="0" w:color="000000"/>
              <w:right w:val="single" w:sz="4" w:space="0" w:color="000000"/>
            </w:tcBorders>
            <w:shd w:val="clear" w:color="auto" w:fill="auto"/>
            <w:vAlign w:val="bottom"/>
          </w:tcPr>
          <w:p w14:paraId="00000398" w14:textId="77777777" w:rsidR="00294ABB" w:rsidRDefault="00420BFB" w:rsidP="00835B56">
            <w:pPr>
              <w:spacing w:before="60" w:after="60"/>
              <w:jc w:val="right"/>
              <w:rPr>
                <w:i/>
                <w:color w:val="000000"/>
                <w:sz w:val="18"/>
                <w:szCs w:val="18"/>
              </w:rPr>
            </w:pPr>
            <w:r>
              <w:rPr>
                <w:i/>
                <w:color w:val="000000"/>
                <w:sz w:val="18"/>
                <w:szCs w:val="18"/>
              </w:rPr>
              <w:t>Cultural trade</w:t>
            </w:r>
          </w:p>
        </w:tc>
        <w:tc>
          <w:tcPr>
            <w:tcW w:w="1103" w:type="dxa"/>
            <w:tcBorders>
              <w:top w:val="single" w:sz="4" w:space="0" w:color="000000"/>
              <w:left w:val="nil"/>
              <w:bottom w:val="single" w:sz="8" w:space="0" w:color="000000"/>
              <w:right w:val="nil"/>
            </w:tcBorders>
            <w:shd w:val="clear" w:color="auto" w:fill="auto"/>
            <w:tcMar>
              <w:right w:w="284" w:type="dxa"/>
            </w:tcMar>
            <w:vAlign w:val="bottom"/>
          </w:tcPr>
          <w:p w14:paraId="00000399" w14:textId="77777777" w:rsidR="00294ABB" w:rsidRDefault="00420BFB" w:rsidP="00835B56">
            <w:pPr>
              <w:spacing w:before="60" w:after="60"/>
              <w:jc w:val="right"/>
              <w:rPr>
                <w:i/>
                <w:color w:val="000000"/>
                <w:sz w:val="18"/>
                <w:szCs w:val="18"/>
              </w:rPr>
            </w:pPr>
            <w:r>
              <w:rPr>
                <w:i/>
                <w:color w:val="000000"/>
                <w:sz w:val="18"/>
                <w:szCs w:val="18"/>
              </w:rPr>
              <w:t>26.442</w:t>
            </w:r>
          </w:p>
        </w:tc>
        <w:tc>
          <w:tcPr>
            <w:tcW w:w="1247" w:type="dxa"/>
            <w:tcBorders>
              <w:top w:val="single" w:sz="4" w:space="0" w:color="000000"/>
              <w:left w:val="single" w:sz="4" w:space="0" w:color="000000"/>
              <w:bottom w:val="single" w:sz="8" w:space="0" w:color="000000"/>
              <w:right w:val="single" w:sz="4" w:space="0" w:color="000000"/>
            </w:tcBorders>
            <w:shd w:val="clear" w:color="auto" w:fill="auto"/>
            <w:tcMar>
              <w:right w:w="284" w:type="dxa"/>
            </w:tcMar>
            <w:vAlign w:val="bottom"/>
          </w:tcPr>
          <w:p w14:paraId="0000039A" w14:textId="77777777" w:rsidR="00294ABB" w:rsidRDefault="00420BFB" w:rsidP="00835B56">
            <w:pPr>
              <w:spacing w:before="60" w:after="60"/>
              <w:jc w:val="right"/>
              <w:rPr>
                <w:i/>
                <w:color w:val="000000"/>
                <w:sz w:val="18"/>
                <w:szCs w:val="18"/>
              </w:rPr>
            </w:pPr>
            <w:r>
              <w:rPr>
                <w:i/>
                <w:color w:val="000000"/>
                <w:sz w:val="18"/>
                <w:szCs w:val="18"/>
              </w:rPr>
              <w:t>149.797</w:t>
            </w:r>
          </w:p>
        </w:tc>
        <w:tc>
          <w:tcPr>
            <w:tcW w:w="1098" w:type="dxa"/>
            <w:tcBorders>
              <w:top w:val="single" w:sz="4" w:space="0" w:color="000000"/>
              <w:left w:val="nil"/>
              <w:bottom w:val="single" w:sz="8" w:space="0" w:color="000000"/>
              <w:right w:val="nil"/>
            </w:tcBorders>
            <w:shd w:val="clear" w:color="auto" w:fill="auto"/>
            <w:tcMar>
              <w:right w:w="284" w:type="dxa"/>
            </w:tcMar>
            <w:vAlign w:val="bottom"/>
          </w:tcPr>
          <w:p w14:paraId="0000039B" w14:textId="77777777" w:rsidR="00294ABB" w:rsidRDefault="00420BFB" w:rsidP="00835B56">
            <w:pPr>
              <w:spacing w:before="60" w:after="60"/>
              <w:jc w:val="right"/>
              <w:rPr>
                <w:i/>
                <w:color w:val="000000"/>
                <w:sz w:val="18"/>
                <w:szCs w:val="18"/>
              </w:rPr>
            </w:pPr>
            <w:r>
              <w:rPr>
                <w:i/>
                <w:color w:val="000000"/>
                <w:sz w:val="18"/>
                <w:szCs w:val="18"/>
              </w:rPr>
              <w:t>428.432</w:t>
            </w:r>
          </w:p>
        </w:tc>
        <w:tc>
          <w:tcPr>
            <w:tcW w:w="1098" w:type="dxa"/>
            <w:tcBorders>
              <w:top w:val="single" w:sz="4" w:space="0" w:color="000000"/>
              <w:left w:val="single" w:sz="4" w:space="0" w:color="000000"/>
              <w:bottom w:val="single" w:sz="8" w:space="0" w:color="000000"/>
              <w:right w:val="single" w:sz="4" w:space="0" w:color="000000"/>
            </w:tcBorders>
            <w:shd w:val="clear" w:color="auto" w:fill="auto"/>
            <w:tcMar>
              <w:right w:w="284" w:type="dxa"/>
            </w:tcMar>
            <w:vAlign w:val="bottom"/>
          </w:tcPr>
          <w:p w14:paraId="0000039C" w14:textId="77777777" w:rsidR="00294ABB" w:rsidRDefault="00420BFB" w:rsidP="00835B56">
            <w:pPr>
              <w:spacing w:before="60" w:after="60"/>
              <w:jc w:val="right"/>
              <w:rPr>
                <w:i/>
                <w:color w:val="000000"/>
                <w:sz w:val="18"/>
                <w:szCs w:val="18"/>
              </w:rPr>
            </w:pPr>
            <w:r>
              <w:rPr>
                <w:i/>
                <w:color w:val="000000"/>
                <w:sz w:val="18"/>
                <w:szCs w:val="18"/>
              </w:rPr>
              <w:t>171.913</w:t>
            </w:r>
          </w:p>
        </w:tc>
        <w:tc>
          <w:tcPr>
            <w:tcW w:w="1128" w:type="dxa"/>
            <w:tcBorders>
              <w:top w:val="single" w:sz="4" w:space="0" w:color="000000"/>
              <w:left w:val="nil"/>
              <w:bottom w:val="single" w:sz="8" w:space="0" w:color="000000"/>
              <w:right w:val="nil"/>
            </w:tcBorders>
            <w:shd w:val="clear" w:color="auto" w:fill="auto"/>
            <w:tcMar>
              <w:right w:w="284" w:type="dxa"/>
            </w:tcMar>
            <w:vAlign w:val="bottom"/>
          </w:tcPr>
          <w:p w14:paraId="0000039D" w14:textId="77777777" w:rsidR="00294ABB" w:rsidRDefault="00420BFB" w:rsidP="00835B56">
            <w:pPr>
              <w:spacing w:before="60" w:after="60"/>
              <w:jc w:val="right"/>
              <w:rPr>
                <w:i/>
                <w:color w:val="000000"/>
                <w:sz w:val="18"/>
                <w:szCs w:val="18"/>
              </w:rPr>
            </w:pPr>
            <w:r>
              <w:rPr>
                <w:i/>
                <w:color w:val="000000"/>
                <w:sz w:val="18"/>
                <w:szCs w:val="18"/>
              </w:rPr>
              <w:t>0.000</w:t>
            </w:r>
          </w:p>
        </w:tc>
        <w:tc>
          <w:tcPr>
            <w:tcW w:w="1104" w:type="dxa"/>
            <w:tcBorders>
              <w:top w:val="single" w:sz="4" w:space="0" w:color="000000"/>
              <w:left w:val="single" w:sz="4" w:space="0" w:color="000000"/>
              <w:bottom w:val="single" w:sz="8" w:space="0" w:color="000000"/>
              <w:right w:val="single" w:sz="4" w:space="0" w:color="000000"/>
            </w:tcBorders>
            <w:shd w:val="clear" w:color="auto" w:fill="auto"/>
            <w:tcMar>
              <w:right w:w="284" w:type="dxa"/>
            </w:tcMar>
            <w:vAlign w:val="bottom"/>
          </w:tcPr>
          <w:p w14:paraId="0000039E" w14:textId="77777777" w:rsidR="00294ABB" w:rsidRDefault="00420BFB" w:rsidP="00835B56">
            <w:pPr>
              <w:spacing w:before="60" w:after="60"/>
              <w:jc w:val="right"/>
              <w:rPr>
                <w:i/>
                <w:color w:val="000000"/>
                <w:sz w:val="18"/>
                <w:szCs w:val="18"/>
              </w:rPr>
            </w:pPr>
            <w:r>
              <w:rPr>
                <w:i/>
                <w:color w:val="000000"/>
                <w:sz w:val="18"/>
                <w:szCs w:val="18"/>
              </w:rPr>
              <w:t>0.119</w:t>
            </w:r>
          </w:p>
        </w:tc>
        <w:tc>
          <w:tcPr>
            <w:tcW w:w="1231" w:type="dxa"/>
            <w:tcBorders>
              <w:top w:val="single" w:sz="4" w:space="0" w:color="000000"/>
              <w:left w:val="nil"/>
              <w:bottom w:val="single" w:sz="8" w:space="0" w:color="000000"/>
              <w:right w:val="single" w:sz="8" w:space="0" w:color="000000"/>
            </w:tcBorders>
            <w:shd w:val="clear" w:color="auto" w:fill="auto"/>
            <w:tcMar>
              <w:right w:w="284" w:type="dxa"/>
            </w:tcMar>
            <w:vAlign w:val="bottom"/>
          </w:tcPr>
          <w:p w14:paraId="0000039F" w14:textId="77777777" w:rsidR="00294ABB" w:rsidRDefault="00420BFB" w:rsidP="00835B56">
            <w:pPr>
              <w:spacing w:before="60" w:after="60"/>
              <w:jc w:val="right"/>
              <w:rPr>
                <w:i/>
                <w:color w:val="000000"/>
                <w:sz w:val="18"/>
                <w:szCs w:val="18"/>
              </w:rPr>
            </w:pPr>
            <w:r>
              <w:rPr>
                <w:i/>
                <w:color w:val="000000"/>
                <w:sz w:val="18"/>
                <w:szCs w:val="18"/>
              </w:rPr>
              <w:t>776.703</w:t>
            </w:r>
          </w:p>
        </w:tc>
      </w:tr>
    </w:tbl>
    <w:p w14:paraId="000003A0" w14:textId="73060925" w:rsidR="00294ABB" w:rsidRPr="00835B56" w:rsidRDefault="00420BFB" w:rsidP="00835B56">
      <w:pPr>
        <w:spacing w:before="120" w:line="259" w:lineRule="auto"/>
        <w:rPr>
          <w:iCs/>
        </w:rPr>
      </w:pPr>
      <w:r w:rsidRPr="00835B56">
        <w:rPr>
          <w:iCs/>
        </w:rPr>
        <w:t>Source: Authors</w:t>
      </w:r>
      <w:r w:rsidR="00C93471" w:rsidRPr="00835B56">
        <w:rPr>
          <w:iCs/>
        </w:rPr>
        <w:t>’</w:t>
      </w:r>
      <w:r w:rsidRPr="00835B56">
        <w:rPr>
          <w:iCs/>
        </w:rPr>
        <w:t xml:space="preserve"> computations based on nominal trade data from ITC, 2021</w:t>
      </w:r>
      <w:r w:rsidRPr="00835B56">
        <w:rPr>
          <w:iCs/>
        </w:rPr>
        <w:tab/>
      </w:r>
      <w:r w:rsidRPr="00835B56">
        <w:rPr>
          <w:iCs/>
        </w:rPr>
        <w:tab/>
      </w:r>
      <w:r w:rsidRPr="00835B56">
        <w:rPr>
          <w:iCs/>
        </w:rPr>
        <w:tab/>
      </w:r>
    </w:p>
    <w:p w14:paraId="000003A1" w14:textId="77777777" w:rsidR="00294ABB" w:rsidRPr="00835B56" w:rsidRDefault="00420BFB" w:rsidP="00835B56">
      <w:pPr>
        <w:spacing w:line="259" w:lineRule="auto"/>
        <w:rPr>
          <w:iCs/>
          <w:sz w:val="18"/>
          <w:szCs w:val="18"/>
        </w:rPr>
      </w:pPr>
      <w:r w:rsidRPr="00835B56">
        <w:rPr>
          <w:iCs/>
        </w:rPr>
        <w:t>na: Index cannot be computed due to missing data or zero trade flows</w:t>
      </w:r>
      <w:r w:rsidRPr="00835B56">
        <w:rPr>
          <w:iCs/>
        </w:rPr>
        <w:tab/>
      </w:r>
      <w:r w:rsidRPr="00835B56">
        <w:rPr>
          <w:iCs/>
          <w:sz w:val="18"/>
          <w:szCs w:val="18"/>
        </w:rPr>
        <w:tab/>
      </w:r>
      <w:r w:rsidRPr="00835B56">
        <w:rPr>
          <w:iCs/>
          <w:sz w:val="18"/>
          <w:szCs w:val="18"/>
        </w:rPr>
        <w:tab/>
      </w:r>
      <w:r w:rsidRPr="00835B56">
        <w:rPr>
          <w:iCs/>
          <w:sz w:val="18"/>
          <w:szCs w:val="18"/>
        </w:rPr>
        <w:tab/>
      </w:r>
    </w:p>
    <w:p w14:paraId="000003A3" w14:textId="194FA38A" w:rsidR="00294ABB" w:rsidRDefault="00420BFB">
      <w:pPr>
        <w:spacing w:line="259" w:lineRule="auto"/>
        <w:rPr>
          <w:sz w:val="22"/>
          <w:szCs w:val="22"/>
        </w:rPr>
      </w:pPr>
      <w:r>
        <w:rPr>
          <w:sz w:val="22"/>
          <w:szCs w:val="22"/>
        </w:rPr>
        <w:t>In South Africa’s cultural goods trade with USMCA, there is notable IIT of 34.48% in the Performance and Celebration domain. However, IIT indices are relatively low in the other domains and for cultural goods trade with USMCA in the aggregate which is just 10.26%.</w:t>
      </w:r>
      <w:r w:rsidR="001B10E6">
        <w:rPr>
          <w:sz w:val="22"/>
          <w:szCs w:val="22"/>
        </w:rPr>
        <w:t xml:space="preserve"> </w:t>
      </w:r>
      <w:r>
        <w:rPr>
          <w:sz w:val="22"/>
          <w:szCs w:val="22"/>
        </w:rPr>
        <w:t>In the case of Visual Arts and Craft, with an IIT index of 9%, the trade balance (shown earlier in Table 7 for 2019) is significantly in South Africa’s favour.</w:t>
      </w:r>
      <w:r w:rsidR="001B10E6">
        <w:rPr>
          <w:sz w:val="22"/>
          <w:szCs w:val="22"/>
        </w:rPr>
        <w:t xml:space="preserve"> </w:t>
      </w:r>
      <w:r>
        <w:rPr>
          <w:sz w:val="22"/>
          <w:szCs w:val="22"/>
        </w:rPr>
        <w:t xml:space="preserve">If South Africa increased its imports </w:t>
      </w:r>
      <w:r>
        <w:rPr>
          <w:sz w:val="22"/>
          <w:szCs w:val="22"/>
        </w:rPr>
        <w:lastRenderedPageBreak/>
        <w:t xml:space="preserve">from USMCA in this domain the trade surplus would be reduced and yet the IIT index would rise. Hence, a measure known as marginal IIT (MIIT) is generally used to discuss IIT index changes over time (Cattaneo and Fryer, 2002). MIIT considers how much of the </w:t>
      </w:r>
      <w:r>
        <w:rPr>
          <w:i/>
          <w:sz w:val="22"/>
          <w:szCs w:val="22"/>
        </w:rPr>
        <w:t>new</w:t>
      </w:r>
      <w:r>
        <w:rPr>
          <w:sz w:val="22"/>
          <w:szCs w:val="22"/>
        </w:rPr>
        <w:t xml:space="preserve"> trade is actually intra-industry in nature.</w:t>
      </w:r>
      <w:r w:rsidR="001B10E6">
        <w:rPr>
          <w:sz w:val="22"/>
          <w:szCs w:val="22"/>
        </w:rPr>
        <w:t xml:space="preserve"> </w:t>
      </w:r>
      <w:r>
        <w:rPr>
          <w:sz w:val="22"/>
          <w:szCs w:val="22"/>
        </w:rPr>
        <w:t>This would be an interesting area for further research.</w:t>
      </w:r>
      <w:r w:rsidR="001B10E6">
        <w:rPr>
          <w:sz w:val="22"/>
          <w:szCs w:val="22"/>
        </w:rPr>
        <w:t xml:space="preserve"> </w:t>
      </w:r>
      <w:r>
        <w:rPr>
          <w:sz w:val="22"/>
          <w:szCs w:val="22"/>
        </w:rPr>
        <w:t>In the Books and Press domain, with an IIT index of 4.52%, the situation is slightly different. South Africa has a trade deficit with USMCA in this domain (see Table 7).</w:t>
      </w:r>
      <w:r w:rsidR="001B10E6">
        <w:rPr>
          <w:sz w:val="22"/>
          <w:szCs w:val="22"/>
        </w:rPr>
        <w:t xml:space="preserve"> </w:t>
      </w:r>
      <w:r>
        <w:rPr>
          <w:sz w:val="22"/>
          <w:szCs w:val="22"/>
        </w:rPr>
        <w:t>Export promotion by South Africa in Books and Press would both reduce the country’s deficit and increase the IIT index for this domain.</w:t>
      </w:r>
    </w:p>
    <w:p w14:paraId="000003A4" w14:textId="6958FD19" w:rsidR="00294ABB" w:rsidRDefault="00420BFB">
      <w:pPr>
        <w:spacing w:line="259" w:lineRule="auto"/>
        <w:rPr>
          <w:sz w:val="22"/>
          <w:szCs w:val="22"/>
        </w:rPr>
      </w:pPr>
      <w:r>
        <w:rPr>
          <w:sz w:val="22"/>
          <w:szCs w:val="22"/>
        </w:rPr>
        <w:t>Table 8 shows that there is more IIT between South Africa and the SADC region for cultural goods trade overall (22.68%) than with USMCA (10.26%).</w:t>
      </w:r>
      <w:r w:rsidR="001B10E6">
        <w:rPr>
          <w:sz w:val="22"/>
          <w:szCs w:val="22"/>
        </w:rPr>
        <w:t xml:space="preserve"> </w:t>
      </w:r>
      <w:r>
        <w:rPr>
          <w:sz w:val="22"/>
          <w:szCs w:val="22"/>
        </w:rPr>
        <w:t>This is also the case in Cultural and Natural Heritage (65.28%), Visual Arts and Crafts (18.23%), and Books and Press (28.10%) in comparison to USMCA.</w:t>
      </w:r>
      <w:r w:rsidR="001B10E6">
        <w:rPr>
          <w:sz w:val="22"/>
          <w:szCs w:val="22"/>
        </w:rPr>
        <w:t xml:space="preserve"> </w:t>
      </w:r>
      <w:r>
        <w:rPr>
          <w:sz w:val="22"/>
          <w:szCs w:val="22"/>
        </w:rPr>
        <w:t>It is important to note that while trade is quite balanced between South Africa and SADC in Cultural and Natural Heritage, yielding a high IIT index, the trade flows involved are very small, as Table 8 indicates.</w:t>
      </w:r>
      <w:r w:rsidR="001B10E6">
        <w:rPr>
          <w:sz w:val="22"/>
          <w:szCs w:val="22"/>
        </w:rPr>
        <w:t xml:space="preserve"> </w:t>
      </w:r>
      <w:r>
        <w:rPr>
          <w:sz w:val="22"/>
          <w:szCs w:val="22"/>
        </w:rPr>
        <w:t>Trade promotion in this domain on both the export and import side could raise the IIT index further. However, there are only two product codes under Cultural and Natural Heritage which may limit the prospects for increased intra-domain specialisation. South Africa already has a trade surplus vis-à-vis SADC in Visual Arts and Crafts and Books and Press.</w:t>
      </w:r>
      <w:r w:rsidR="001B10E6">
        <w:rPr>
          <w:sz w:val="22"/>
          <w:szCs w:val="22"/>
        </w:rPr>
        <w:t xml:space="preserve"> </w:t>
      </w:r>
      <w:r>
        <w:rPr>
          <w:sz w:val="22"/>
          <w:szCs w:val="22"/>
        </w:rPr>
        <w:t>However, since these domains contain more product categories, there may be greater scope for intra-industry (i.e. intra-domain) specialisation between the partners as trade expands.</w:t>
      </w:r>
    </w:p>
    <w:p w14:paraId="000003A5" w14:textId="022751AA" w:rsidR="00294ABB" w:rsidRDefault="00420BFB">
      <w:pPr>
        <w:spacing w:line="259" w:lineRule="auto"/>
        <w:rPr>
          <w:sz w:val="22"/>
          <w:szCs w:val="22"/>
        </w:rPr>
      </w:pPr>
      <w:r>
        <w:rPr>
          <w:sz w:val="22"/>
          <w:szCs w:val="22"/>
        </w:rPr>
        <w:t>Finally, it is interesting to compare the scale of South Africa’s IIT with USMCA and SADC for 2019 (in Table 8 above) with the country’s IIT with the EU and BRICS blocs, analysed in Cattaneo and Snowball (2020: Table 9) for 2018.</w:t>
      </w:r>
      <w:r w:rsidR="001B10E6">
        <w:rPr>
          <w:sz w:val="22"/>
          <w:szCs w:val="22"/>
        </w:rPr>
        <w:t xml:space="preserve"> </w:t>
      </w:r>
      <w:r>
        <w:rPr>
          <w:sz w:val="22"/>
          <w:szCs w:val="22"/>
        </w:rPr>
        <w:t>As noted in the previous report, South Africa’s IIT in cultural goods trade with the EU in 2018 was 27.3%, higher than that with both SADC (22.69%) and USMCA (10.26%) a year later.</w:t>
      </w:r>
      <w:r w:rsidR="001B10E6">
        <w:rPr>
          <w:sz w:val="22"/>
          <w:szCs w:val="22"/>
        </w:rPr>
        <w:t xml:space="preserve"> </w:t>
      </w:r>
      <w:r>
        <w:rPr>
          <w:sz w:val="22"/>
          <w:szCs w:val="22"/>
        </w:rPr>
        <w:t>However, IIT with the BRICS grouping was very low (at 5.01% in 2018), reflecting the cultural goods trade deficit that South Africa has with China in particular, but also with India.</w:t>
      </w:r>
      <w:r w:rsidR="001B10E6">
        <w:rPr>
          <w:sz w:val="22"/>
          <w:szCs w:val="22"/>
        </w:rPr>
        <w:t xml:space="preserve"> </w:t>
      </w:r>
    </w:p>
    <w:p w14:paraId="000003A6" w14:textId="600CB710" w:rsidR="00294ABB" w:rsidRDefault="00420BFB">
      <w:pPr>
        <w:spacing w:line="259" w:lineRule="auto"/>
        <w:rPr>
          <w:sz w:val="22"/>
          <w:szCs w:val="22"/>
        </w:rPr>
      </w:pPr>
      <w:r>
        <w:rPr>
          <w:sz w:val="22"/>
          <w:szCs w:val="22"/>
        </w:rPr>
        <w:t>Two points are interesting to note here. Firstly, South Africa’s relatively high IIT with the EU and SADC (compared to the other regional blocs under discussion) reflects what has been observed about South Africa’s trade with the EU and SADC more generally, namely that it involves relatively more value-added manufacturing trade than might be expected.</w:t>
      </w:r>
      <w:r w:rsidR="001B10E6">
        <w:rPr>
          <w:sz w:val="22"/>
          <w:szCs w:val="22"/>
        </w:rPr>
        <w:t xml:space="preserve"> </w:t>
      </w:r>
      <w:r>
        <w:rPr>
          <w:sz w:val="22"/>
          <w:szCs w:val="22"/>
        </w:rPr>
        <w:t>On the other hand, trade with the country’s main BRICS partners (China and India) is much more inter-industry in nature, involving the export of lower value-added commodities in exchange for higher value-added manufactured goods (</w:t>
      </w:r>
      <w:r w:rsidR="00BE3E59">
        <w:rPr>
          <w:sz w:val="22"/>
          <w:szCs w:val="22"/>
        </w:rPr>
        <w:t>dti</w:t>
      </w:r>
      <w:r>
        <w:rPr>
          <w:sz w:val="22"/>
          <w:szCs w:val="22"/>
        </w:rPr>
        <w:t>, 2018).</w:t>
      </w:r>
      <w:r w:rsidR="001B10E6">
        <w:rPr>
          <w:sz w:val="22"/>
          <w:szCs w:val="22"/>
        </w:rPr>
        <w:t xml:space="preserve"> </w:t>
      </w:r>
      <w:r>
        <w:rPr>
          <w:sz w:val="22"/>
          <w:szCs w:val="22"/>
        </w:rPr>
        <w:t>The second point to note is that in the case of USMCA, the relatively low IIT indices generally reflect a comparatively significant trade surplus in South Africa’s favour (with the exception of the Books and Press domain).</w:t>
      </w:r>
      <w:r w:rsidR="001B10E6">
        <w:rPr>
          <w:sz w:val="22"/>
          <w:szCs w:val="22"/>
        </w:rPr>
        <w:t xml:space="preserve"> </w:t>
      </w:r>
      <w:r>
        <w:rPr>
          <w:sz w:val="22"/>
          <w:szCs w:val="22"/>
        </w:rPr>
        <w:t>Further research would be interesting on the product categories driving these trends within the various domains.</w:t>
      </w:r>
    </w:p>
    <w:p w14:paraId="000003A8" w14:textId="77777777" w:rsidR="00294ABB" w:rsidRDefault="00420BFB" w:rsidP="00835B56">
      <w:pPr>
        <w:pStyle w:val="Heading2"/>
        <w:spacing w:line="240" w:lineRule="auto"/>
        <w:ind w:left="578" w:hanging="578"/>
      </w:pPr>
      <w:bookmarkStart w:id="54" w:name="_Toc92623047"/>
      <w:r>
        <w:t>South Africa’s cultural goods trade complementarity with USMCA and SADC in comparative perspective</w:t>
      </w:r>
      <w:bookmarkEnd w:id="54"/>
    </w:p>
    <w:p w14:paraId="000003A9" w14:textId="77777777" w:rsidR="00294ABB" w:rsidRDefault="00294ABB">
      <w:pPr>
        <w:spacing w:after="0" w:line="259" w:lineRule="auto"/>
        <w:jc w:val="left"/>
      </w:pPr>
    </w:p>
    <w:p w14:paraId="000003AA" w14:textId="6554912E" w:rsidR="00294ABB" w:rsidRDefault="00420BFB" w:rsidP="00835B56">
      <w:pPr>
        <w:spacing w:line="259" w:lineRule="auto"/>
        <w:rPr>
          <w:sz w:val="22"/>
          <w:szCs w:val="22"/>
        </w:rPr>
      </w:pPr>
      <w:r>
        <w:rPr>
          <w:sz w:val="22"/>
          <w:szCs w:val="22"/>
        </w:rPr>
        <w:t>As noted in Section 3.4, trade complementarity indices (TCIs) are used to assess the potential for trade expansion between trading partners by measuring the similarity between the structure of one partner’s exports to the world and the structure of another partner’s imports from the world, and vice versa (Michaely, 1996; UNCTAD and WTO, 2012: 30</w:t>
      </w:r>
      <w:r w:rsidR="00D7775D">
        <w:rPr>
          <w:sz w:val="22"/>
          <w:szCs w:val="22"/>
        </w:rPr>
        <w:t>–</w:t>
      </w:r>
      <w:r>
        <w:rPr>
          <w:sz w:val="22"/>
          <w:szCs w:val="22"/>
        </w:rPr>
        <w:t>31).</w:t>
      </w:r>
      <w:r w:rsidR="001B10E6">
        <w:rPr>
          <w:sz w:val="22"/>
          <w:szCs w:val="22"/>
        </w:rPr>
        <w:t xml:space="preserve"> </w:t>
      </w:r>
      <w:r>
        <w:rPr>
          <w:sz w:val="22"/>
          <w:szCs w:val="22"/>
        </w:rPr>
        <w:t xml:space="preserve">In the case of South Africa’s cultural goods trade, the country’s Export TCI would measure the overlap between the share of each sub-sector in the country’s cultural good exports to the world and the share of each sub-sector in the partner’s cultural good imports from the world. In the same </w:t>
      </w:r>
      <w:r>
        <w:rPr>
          <w:sz w:val="22"/>
          <w:szCs w:val="22"/>
        </w:rPr>
        <w:lastRenderedPageBreak/>
        <w:t>way, the Import TCI would measure the overlap between the share of each sub-sector in South Africa’s cultural goods imports from the world and the share of each sub-sector in the partner’s cultural goods exports to the world (Cattaneo and Snowball, 2018: 18).</w:t>
      </w:r>
      <w:r w:rsidR="001B10E6">
        <w:rPr>
          <w:sz w:val="22"/>
          <w:szCs w:val="22"/>
        </w:rPr>
        <w:t xml:space="preserve"> </w:t>
      </w:r>
      <w:r>
        <w:rPr>
          <w:sz w:val="22"/>
          <w:szCs w:val="22"/>
        </w:rPr>
        <w:t>The formula for each TCI is provided in Section 3.4 above.</w:t>
      </w:r>
      <w:r w:rsidR="001B10E6">
        <w:rPr>
          <w:sz w:val="22"/>
          <w:szCs w:val="22"/>
        </w:rPr>
        <w:t xml:space="preserve"> </w:t>
      </w:r>
      <w:r>
        <w:rPr>
          <w:sz w:val="22"/>
          <w:szCs w:val="22"/>
        </w:rPr>
        <w:t>The TCIs are computed using the six-digit level of the HS in order to compare the cultural product trade shares in the various domains of the UNESCO FCS.</w:t>
      </w:r>
    </w:p>
    <w:p w14:paraId="000003AC" w14:textId="62123380" w:rsidR="00294ABB" w:rsidRDefault="00420BFB" w:rsidP="00835B56">
      <w:pPr>
        <w:spacing w:line="259" w:lineRule="auto"/>
        <w:rPr>
          <w:sz w:val="22"/>
          <w:szCs w:val="22"/>
        </w:rPr>
      </w:pPr>
      <w:r>
        <w:rPr>
          <w:sz w:val="22"/>
          <w:szCs w:val="22"/>
        </w:rPr>
        <w:t xml:space="preserve">While Sections 4.2 and 4.3 of this report examine the </w:t>
      </w:r>
      <w:r>
        <w:rPr>
          <w:i/>
          <w:sz w:val="22"/>
          <w:szCs w:val="22"/>
        </w:rPr>
        <w:t>existing</w:t>
      </w:r>
      <w:r>
        <w:rPr>
          <w:sz w:val="22"/>
          <w:szCs w:val="22"/>
        </w:rPr>
        <w:t xml:space="preserve"> trends in and structure of South Africa’s cultural goods trade with the USMCA bloc and SADC in a comparative regional setting, the TCI discussion in the present section allows for the analysis of </w:t>
      </w:r>
      <w:r>
        <w:rPr>
          <w:i/>
          <w:sz w:val="22"/>
          <w:szCs w:val="22"/>
        </w:rPr>
        <w:t>potential</w:t>
      </w:r>
      <w:r>
        <w:rPr>
          <w:sz w:val="22"/>
          <w:szCs w:val="22"/>
        </w:rPr>
        <w:t xml:space="preserve"> trade patterns between these partners in the event of further trade expansion.</w:t>
      </w:r>
      <w:r w:rsidR="001B10E6">
        <w:rPr>
          <w:sz w:val="22"/>
          <w:szCs w:val="22"/>
        </w:rPr>
        <w:t xml:space="preserve"> </w:t>
      </w:r>
      <w:r>
        <w:rPr>
          <w:sz w:val="22"/>
          <w:szCs w:val="22"/>
        </w:rPr>
        <w:t>They do not rely on current bilateral trade flows between the partners themselves, but rather on the structure of each party’s trade with the rest of the world in the various cultural product trade categories.</w:t>
      </w:r>
    </w:p>
    <w:p w14:paraId="000003AD" w14:textId="35F47639" w:rsidR="00294ABB" w:rsidRDefault="00420BFB">
      <w:pPr>
        <w:rPr>
          <w:sz w:val="22"/>
          <w:szCs w:val="22"/>
        </w:rPr>
      </w:pPr>
      <w:r>
        <w:rPr>
          <w:sz w:val="22"/>
          <w:szCs w:val="22"/>
        </w:rPr>
        <w:t>With this in mind, Table 9 presents the results of the calculations of TCIs between South Africa and the USMCA bloc on the one hand, and South Africa and SADC on the other hand, for 2019.</w:t>
      </w:r>
      <w:r w:rsidR="001B10E6">
        <w:rPr>
          <w:sz w:val="22"/>
          <w:szCs w:val="22"/>
        </w:rPr>
        <w:t xml:space="preserve"> </w:t>
      </w:r>
      <w:r>
        <w:rPr>
          <w:sz w:val="22"/>
          <w:szCs w:val="22"/>
        </w:rPr>
        <w:t>South Africa’s Export and Import TCIs with the EU for 2019 are also included for comparative purposes.</w:t>
      </w:r>
    </w:p>
    <w:p w14:paraId="000003AE" w14:textId="0F701551" w:rsidR="00294ABB" w:rsidRPr="00835B56" w:rsidRDefault="008B6A61" w:rsidP="008B6A61">
      <w:pPr>
        <w:pStyle w:val="Caption"/>
        <w:rPr>
          <w:color w:val="44546A"/>
          <w:sz w:val="24"/>
          <w:szCs w:val="24"/>
        </w:rPr>
      </w:pPr>
      <w:bookmarkStart w:id="55" w:name="_heading=h.41mghml" w:colFirst="0" w:colLast="0"/>
      <w:bookmarkStart w:id="56" w:name="_Toc92623709"/>
      <w:bookmarkEnd w:id="55"/>
      <w:r w:rsidRPr="00835B56">
        <w:rPr>
          <w:sz w:val="20"/>
          <w:szCs w:val="20"/>
        </w:rPr>
        <w:t xml:space="preserve">Table </w:t>
      </w:r>
      <w:r w:rsidR="006B6995" w:rsidRPr="00835B56">
        <w:rPr>
          <w:sz w:val="20"/>
          <w:szCs w:val="20"/>
        </w:rPr>
        <w:fldChar w:fldCharType="begin"/>
      </w:r>
      <w:r w:rsidR="006B6995" w:rsidRPr="00835B56">
        <w:rPr>
          <w:sz w:val="20"/>
          <w:szCs w:val="20"/>
        </w:rPr>
        <w:instrText xml:space="preserve"> SEQ Table \* ARABIC </w:instrText>
      </w:r>
      <w:r w:rsidR="006B6995" w:rsidRPr="00835B56">
        <w:rPr>
          <w:sz w:val="20"/>
          <w:szCs w:val="20"/>
        </w:rPr>
        <w:fldChar w:fldCharType="separate"/>
      </w:r>
      <w:r w:rsidR="00682412">
        <w:rPr>
          <w:noProof/>
          <w:sz w:val="20"/>
          <w:szCs w:val="20"/>
        </w:rPr>
        <w:t>9</w:t>
      </w:r>
      <w:r w:rsidR="006B6995" w:rsidRPr="00835B56">
        <w:rPr>
          <w:noProof/>
          <w:sz w:val="20"/>
          <w:szCs w:val="20"/>
        </w:rPr>
        <w:fldChar w:fldCharType="end"/>
      </w:r>
      <w:r w:rsidR="00C93471" w:rsidRPr="00835B56">
        <w:rPr>
          <w:noProof/>
          <w:sz w:val="20"/>
          <w:szCs w:val="20"/>
        </w:rPr>
        <w:t>:</w:t>
      </w:r>
      <w:r w:rsidRPr="00835B56">
        <w:rPr>
          <w:sz w:val="20"/>
          <w:szCs w:val="20"/>
        </w:rPr>
        <w:t xml:space="preserve"> </w:t>
      </w:r>
      <w:r w:rsidR="00420BFB" w:rsidRPr="00835B56">
        <w:rPr>
          <w:color w:val="44546A"/>
          <w:sz w:val="20"/>
          <w:szCs w:val="20"/>
        </w:rPr>
        <w:t>Trade complementarity indices (%) between South Africa and selected regions, 2019</w:t>
      </w:r>
      <w:bookmarkEnd w:id="56"/>
    </w:p>
    <w:tbl>
      <w:tblPr>
        <w:tblStyle w:val="a7"/>
        <w:tblW w:w="5500" w:type="dxa"/>
        <w:jc w:val="center"/>
        <w:tblLayout w:type="fixed"/>
        <w:tblLook w:val="0400" w:firstRow="0" w:lastRow="0" w:firstColumn="0" w:lastColumn="0" w:noHBand="0" w:noVBand="1"/>
      </w:tblPr>
      <w:tblGrid>
        <w:gridCol w:w="2773"/>
        <w:gridCol w:w="909"/>
        <w:gridCol w:w="909"/>
        <w:gridCol w:w="909"/>
      </w:tblGrid>
      <w:tr w:rsidR="00294ABB" w14:paraId="1C527862" w14:textId="77777777" w:rsidTr="00835B56">
        <w:trPr>
          <w:trHeight w:val="310"/>
          <w:jc w:val="center"/>
        </w:trPr>
        <w:tc>
          <w:tcPr>
            <w:tcW w:w="2773" w:type="dxa"/>
            <w:tcBorders>
              <w:top w:val="single" w:sz="4" w:space="0" w:color="000000"/>
              <w:left w:val="single" w:sz="4" w:space="0" w:color="000000"/>
              <w:bottom w:val="single" w:sz="4" w:space="0" w:color="000000"/>
              <w:right w:val="nil"/>
            </w:tcBorders>
            <w:shd w:val="clear" w:color="auto" w:fill="auto"/>
            <w:vAlign w:val="bottom"/>
          </w:tcPr>
          <w:p w14:paraId="000003AF" w14:textId="77777777" w:rsidR="00294ABB" w:rsidRPr="00835B56" w:rsidRDefault="00420BFB" w:rsidP="00835B56">
            <w:pPr>
              <w:spacing w:before="60" w:after="60"/>
              <w:jc w:val="left"/>
              <w:rPr>
                <w:color w:val="000000"/>
              </w:rPr>
            </w:pPr>
            <w:r w:rsidRPr="00835B56">
              <w:rPr>
                <w:color w:val="000000"/>
              </w:rPr>
              <w:t> </w:t>
            </w:r>
          </w:p>
        </w:tc>
        <w:tc>
          <w:tcPr>
            <w:tcW w:w="909" w:type="dxa"/>
            <w:tcBorders>
              <w:top w:val="single" w:sz="4" w:space="0" w:color="000000"/>
              <w:left w:val="single" w:sz="4" w:space="0" w:color="000000"/>
              <w:bottom w:val="single" w:sz="4" w:space="0" w:color="000000"/>
              <w:right w:val="nil"/>
            </w:tcBorders>
            <w:shd w:val="clear" w:color="auto" w:fill="auto"/>
            <w:tcMar>
              <w:left w:w="57" w:type="dxa"/>
              <w:right w:w="57" w:type="dxa"/>
            </w:tcMar>
            <w:vAlign w:val="bottom"/>
          </w:tcPr>
          <w:p w14:paraId="000003B0" w14:textId="77777777" w:rsidR="00294ABB" w:rsidRPr="00835B56" w:rsidRDefault="00420BFB" w:rsidP="00835B56">
            <w:pPr>
              <w:spacing w:before="60" w:after="60"/>
              <w:jc w:val="center"/>
              <w:rPr>
                <w:b/>
                <w:color w:val="000000"/>
              </w:rPr>
            </w:pPr>
            <w:r w:rsidRPr="00835B56">
              <w:rPr>
                <w:b/>
                <w:color w:val="000000"/>
              </w:rPr>
              <w:t> </w:t>
            </w:r>
          </w:p>
        </w:tc>
        <w:tc>
          <w:tcPr>
            <w:tcW w:w="909" w:type="dxa"/>
            <w:tcBorders>
              <w:top w:val="single" w:sz="4" w:space="0" w:color="000000"/>
              <w:left w:val="nil"/>
              <w:bottom w:val="single" w:sz="4" w:space="0" w:color="000000"/>
              <w:right w:val="nil"/>
            </w:tcBorders>
            <w:shd w:val="clear" w:color="auto" w:fill="auto"/>
            <w:tcMar>
              <w:left w:w="57" w:type="dxa"/>
              <w:right w:w="57" w:type="dxa"/>
            </w:tcMar>
            <w:vAlign w:val="bottom"/>
          </w:tcPr>
          <w:p w14:paraId="000003B1" w14:textId="77777777" w:rsidR="00294ABB" w:rsidRPr="00835B56" w:rsidRDefault="00420BFB" w:rsidP="00835B56">
            <w:pPr>
              <w:spacing w:before="60" w:after="60"/>
              <w:jc w:val="center"/>
              <w:rPr>
                <w:b/>
                <w:color w:val="000000"/>
              </w:rPr>
            </w:pPr>
            <w:r w:rsidRPr="00835B56">
              <w:rPr>
                <w:b/>
                <w:color w:val="000000"/>
              </w:rPr>
              <w:t>Partner</w:t>
            </w:r>
          </w:p>
        </w:tc>
        <w:tc>
          <w:tcPr>
            <w:tcW w:w="909" w:type="dxa"/>
            <w:tcBorders>
              <w:top w:val="single" w:sz="4" w:space="0" w:color="000000"/>
              <w:left w:val="nil"/>
              <w:bottom w:val="single" w:sz="4" w:space="0" w:color="000000"/>
              <w:right w:val="single" w:sz="4" w:space="0" w:color="000000"/>
            </w:tcBorders>
            <w:shd w:val="clear" w:color="auto" w:fill="auto"/>
            <w:tcMar>
              <w:left w:w="57" w:type="dxa"/>
              <w:right w:w="57" w:type="dxa"/>
            </w:tcMar>
            <w:vAlign w:val="bottom"/>
          </w:tcPr>
          <w:p w14:paraId="000003B2" w14:textId="77777777" w:rsidR="00294ABB" w:rsidRPr="00835B56" w:rsidRDefault="00420BFB" w:rsidP="00835B56">
            <w:pPr>
              <w:spacing w:before="60" w:after="60"/>
              <w:jc w:val="left"/>
              <w:rPr>
                <w:color w:val="000000"/>
              </w:rPr>
            </w:pPr>
            <w:r w:rsidRPr="00835B56">
              <w:rPr>
                <w:color w:val="000000"/>
              </w:rPr>
              <w:t> </w:t>
            </w:r>
          </w:p>
        </w:tc>
      </w:tr>
      <w:tr w:rsidR="00294ABB" w14:paraId="22E106EB" w14:textId="77777777" w:rsidTr="00835B56">
        <w:trPr>
          <w:trHeight w:val="310"/>
          <w:jc w:val="center"/>
        </w:trPr>
        <w:tc>
          <w:tcPr>
            <w:tcW w:w="2773" w:type="dxa"/>
            <w:tcBorders>
              <w:top w:val="nil"/>
              <w:left w:val="single" w:sz="4" w:space="0" w:color="000000"/>
              <w:bottom w:val="single" w:sz="4" w:space="0" w:color="000000"/>
              <w:right w:val="single" w:sz="4" w:space="0" w:color="000000"/>
            </w:tcBorders>
            <w:shd w:val="clear" w:color="auto" w:fill="auto"/>
            <w:vAlign w:val="bottom"/>
          </w:tcPr>
          <w:p w14:paraId="000003B3" w14:textId="77777777" w:rsidR="00294ABB" w:rsidRPr="00835B56" w:rsidRDefault="00420BFB" w:rsidP="00835B56">
            <w:pPr>
              <w:spacing w:before="60" w:after="60"/>
              <w:jc w:val="left"/>
              <w:rPr>
                <w:color w:val="000000"/>
              </w:rPr>
            </w:pPr>
            <w:r w:rsidRPr="00835B56">
              <w:rPr>
                <w:color w:val="000000"/>
              </w:rPr>
              <w:t> </w:t>
            </w:r>
          </w:p>
        </w:tc>
        <w:tc>
          <w:tcPr>
            <w:tcW w:w="909"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B4" w14:textId="77777777" w:rsidR="00294ABB" w:rsidRPr="00835B56" w:rsidRDefault="00420BFB" w:rsidP="00835B56">
            <w:pPr>
              <w:spacing w:before="60" w:after="60"/>
              <w:jc w:val="center"/>
              <w:rPr>
                <w:b/>
                <w:color w:val="000000"/>
              </w:rPr>
            </w:pPr>
            <w:r w:rsidRPr="00835B56">
              <w:rPr>
                <w:b/>
                <w:color w:val="000000"/>
              </w:rPr>
              <w:t>USMCA</w:t>
            </w:r>
          </w:p>
        </w:tc>
        <w:tc>
          <w:tcPr>
            <w:tcW w:w="909"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B5" w14:textId="77777777" w:rsidR="00294ABB" w:rsidRPr="00835B56" w:rsidRDefault="00420BFB" w:rsidP="00835B56">
            <w:pPr>
              <w:spacing w:before="60" w:after="60"/>
              <w:jc w:val="center"/>
              <w:rPr>
                <w:b/>
                <w:color w:val="000000"/>
              </w:rPr>
            </w:pPr>
            <w:r w:rsidRPr="00835B56">
              <w:rPr>
                <w:b/>
                <w:color w:val="000000"/>
              </w:rPr>
              <w:t>SADC</w:t>
            </w:r>
          </w:p>
        </w:tc>
        <w:tc>
          <w:tcPr>
            <w:tcW w:w="909"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B6" w14:textId="77777777" w:rsidR="00294ABB" w:rsidRPr="00835B56" w:rsidRDefault="00420BFB" w:rsidP="00835B56">
            <w:pPr>
              <w:spacing w:before="60" w:after="60"/>
              <w:jc w:val="center"/>
              <w:rPr>
                <w:b/>
                <w:color w:val="000000"/>
              </w:rPr>
            </w:pPr>
            <w:r w:rsidRPr="00835B56">
              <w:rPr>
                <w:b/>
                <w:color w:val="000000"/>
              </w:rPr>
              <w:t>EU</w:t>
            </w:r>
          </w:p>
        </w:tc>
      </w:tr>
      <w:tr w:rsidR="00294ABB" w14:paraId="2DD32B81" w14:textId="77777777" w:rsidTr="00835B56">
        <w:trPr>
          <w:trHeight w:val="310"/>
          <w:jc w:val="center"/>
        </w:trPr>
        <w:tc>
          <w:tcPr>
            <w:tcW w:w="2773" w:type="dxa"/>
            <w:tcBorders>
              <w:top w:val="nil"/>
              <w:left w:val="single" w:sz="4" w:space="0" w:color="000000"/>
              <w:bottom w:val="single" w:sz="4" w:space="0" w:color="000000"/>
              <w:right w:val="single" w:sz="4" w:space="0" w:color="000000"/>
            </w:tcBorders>
            <w:shd w:val="clear" w:color="auto" w:fill="auto"/>
            <w:vAlign w:val="bottom"/>
          </w:tcPr>
          <w:p w14:paraId="000003B7" w14:textId="33538774" w:rsidR="00294ABB" w:rsidRPr="00835B56" w:rsidRDefault="00420BFB" w:rsidP="00835B56">
            <w:pPr>
              <w:spacing w:before="60" w:after="60"/>
              <w:jc w:val="left"/>
              <w:rPr>
                <w:b/>
                <w:color w:val="000000"/>
              </w:rPr>
            </w:pPr>
            <w:r w:rsidRPr="00835B56">
              <w:rPr>
                <w:b/>
                <w:color w:val="000000"/>
              </w:rPr>
              <w:t>South Africa</w:t>
            </w:r>
            <w:r w:rsidR="00C93471" w:rsidRPr="00835B56">
              <w:rPr>
                <w:b/>
                <w:color w:val="000000"/>
              </w:rPr>
              <w:t>’</w:t>
            </w:r>
            <w:r w:rsidRPr="00835B56">
              <w:rPr>
                <w:b/>
                <w:color w:val="000000"/>
              </w:rPr>
              <w:t>s export TCI</w:t>
            </w:r>
          </w:p>
        </w:tc>
        <w:tc>
          <w:tcPr>
            <w:tcW w:w="909" w:type="dxa"/>
            <w:tcBorders>
              <w:top w:val="nil"/>
              <w:left w:val="nil"/>
              <w:bottom w:val="single" w:sz="4" w:space="0" w:color="000000"/>
              <w:right w:val="single" w:sz="4" w:space="0" w:color="000000"/>
            </w:tcBorders>
            <w:shd w:val="clear" w:color="auto" w:fill="auto"/>
            <w:vAlign w:val="bottom"/>
          </w:tcPr>
          <w:p w14:paraId="000003B8" w14:textId="77777777" w:rsidR="00294ABB" w:rsidRPr="00835B56" w:rsidRDefault="00420BFB" w:rsidP="00835B56">
            <w:pPr>
              <w:spacing w:before="60" w:after="60"/>
              <w:jc w:val="center"/>
              <w:rPr>
                <w:color w:val="000000"/>
              </w:rPr>
            </w:pPr>
            <w:r w:rsidRPr="00835B56">
              <w:rPr>
                <w:color w:val="000000"/>
              </w:rPr>
              <w:t>47.20</w:t>
            </w:r>
          </w:p>
        </w:tc>
        <w:tc>
          <w:tcPr>
            <w:tcW w:w="909" w:type="dxa"/>
            <w:tcBorders>
              <w:top w:val="nil"/>
              <w:left w:val="nil"/>
              <w:bottom w:val="single" w:sz="4" w:space="0" w:color="000000"/>
              <w:right w:val="single" w:sz="4" w:space="0" w:color="000000"/>
            </w:tcBorders>
            <w:shd w:val="clear" w:color="auto" w:fill="auto"/>
            <w:vAlign w:val="bottom"/>
          </w:tcPr>
          <w:p w14:paraId="000003B9" w14:textId="77777777" w:rsidR="00294ABB" w:rsidRPr="00835B56" w:rsidRDefault="00420BFB" w:rsidP="00835B56">
            <w:pPr>
              <w:spacing w:before="60" w:after="60"/>
              <w:jc w:val="center"/>
              <w:rPr>
                <w:color w:val="000000"/>
              </w:rPr>
            </w:pPr>
            <w:r w:rsidRPr="00835B56">
              <w:rPr>
                <w:color w:val="000000"/>
              </w:rPr>
              <w:t>35.79</w:t>
            </w:r>
          </w:p>
        </w:tc>
        <w:tc>
          <w:tcPr>
            <w:tcW w:w="909" w:type="dxa"/>
            <w:tcBorders>
              <w:top w:val="nil"/>
              <w:left w:val="nil"/>
              <w:bottom w:val="single" w:sz="4" w:space="0" w:color="000000"/>
              <w:right w:val="single" w:sz="4" w:space="0" w:color="000000"/>
            </w:tcBorders>
            <w:shd w:val="clear" w:color="auto" w:fill="auto"/>
            <w:vAlign w:val="bottom"/>
          </w:tcPr>
          <w:p w14:paraId="000003BA" w14:textId="77777777" w:rsidR="00294ABB" w:rsidRPr="00835B56" w:rsidRDefault="00420BFB" w:rsidP="00835B56">
            <w:pPr>
              <w:spacing w:before="60" w:after="60"/>
              <w:jc w:val="center"/>
              <w:rPr>
                <w:color w:val="000000"/>
              </w:rPr>
            </w:pPr>
            <w:r w:rsidRPr="00835B56">
              <w:rPr>
                <w:color w:val="000000"/>
              </w:rPr>
              <w:t>65.07</w:t>
            </w:r>
          </w:p>
        </w:tc>
      </w:tr>
      <w:tr w:rsidR="00294ABB" w14:paraId="1938CE4E" w14:textId="77777777" w:rsidTr="00835B56">
        <w:trPr>
          <w:trHeight w:val="310"/>
          <w:jc w:val="center"/>
        </w:trPr>
        <w:tc>
          <w:tcPr>
            <w:tcW w:w="2773" w:type="dxa"/>
            <w:tcBorders>
              <w:top w:val="nil"/>
              <w:left w:val="single" w:sz="4" w:space="0" w:color="000000"/>
              <w:bottom w:val="single" w:sz="4" w:space="0" w:color="000000"/>
              <w:right w:val="single" w:sz="4" w:space="0" w:color="000000"/>
            </w:tcBorders>
            <w:shd w:val="clear" w:color="auto" w:fill="auto"/>
            <w:vAlign w:val="bottom"/>
          </w:tcPr>
          <w:p w14:paraId="000003BB" w14:textId="26803FCA" w:rsidR="00294ABB" w:rsidRPr="00835B56" w:rsidRDefault="00420BFB" w:rsidP="00835B56">
            <w:pPr>
              <w:spacing w:before="60" w:after="60"/>
              <w:jc w:val="left"/>
              <w:rPr>
                <w:b/>
                <w:color w:val="000000"/>
              </w:rPr>
            </w:pPr>
            <w:r w:rsidRPr="00835B56">
              <w:rPr>
                <w:b/>
                <w:color w:val="000000"/>
              </w:rPr>
              <w:t>South Africa</w:t>
            </w:r>
            <w:r w:rsidR="00C93471" w:rsidRPr="00835B56">
              <w:rPr>
                <w:b/>
                <w:color w:val="000000"/>
              </w:rPr>
              <w:t>’</w:t>
            </w:r>
            <w:r w:rsidRPr="00835B56">
              <w:rPr>
                <w:b/>
                <w:color w:val="000000"/>
              </w:rPr>
              <w:t>s import TCI</w:t>
            </w:r>
          </w:p>
        </w:tc>
        <w:tc>
          <w:tcPr>
            <w:tcW w:w="909" w:type="dxa"/>
            <w:tcBorders>
              <w:top w:val="nil"/>
              <w:left w:val="nil"/>
              <w:bottom w:val="single" w:sz="4" w:space="0" w:color="000000"/>
              <w:right w:val="single" w:sz="4" w:space="0" w:color="000000"/>
            </w:tcBorders>
            <w:shd w:val="clear" w:color="auto" w:fill="auto"/>
            <w:vAlign w:val="bottom"/>
          </w:tcPr>
          <w:p w14:paraId="000003BC" w14:textId="77777777" w:rsidR="00294ABB" w:rsidRPr="00835B56" w:rsidRDefault="00420BFB" w:rsidP="00835B56">
            <w:pPr>
              <w:spacing w:before="60" w:after="60"/>
              <w:jc w:val="center"/>
              <w:rPr>
                <w:color w:val="000000"/>
              </w:rPr>
            </w:pPr>
            <w:r w:rsidRPr="00835B56">
              <w:rPr>
                <w:color w:val="000000"/>
              </w:rPr>
              <w:t>43.65</w:t>
            </w:r>
          </w:p>
        </w:tc>
        <w:tc>
          <w:tcPr>
            <w:tcW w:w="909" w:type="dxa"/>
            <w:tcBorders>
              <w:top w:val="nil"/>
              <w:left w:val="nil"/>
              <w:bottom w:val="single" w:sz="4" w:space="0" w:color="000000"/>
              <w:right w:val="single" w:sz="4" w:space="0" w:color="000000"/>
            </w:tcBorders>
            <w:shd w:val="clear" w:color="auto" w:fill="auto"/>
            <w:vAlign w:val="bottom"/>
          </w:tcPr>
          <w:p w14:paraId="000003BD" w14:textId="77777777" w:rsidR="00294ABB" w:rsidRPr="00835B56" w:rsidRDefault="00420BFB" w:rsidP="00835B56">
            <w:pPr>
              <w:spacing w:before="60" w:after="60"/>
              <w:jc w:val="center"/>
              <w:rPr>
                <w:color w:val="000000"/>
              </w:rPr>
            </w:pPr>
            <w:r w:rsidRPr="00835B56">
              <w:rPr>
                <w:color w:val="000000"/>
              </w:rPr>
              <w:t>21.06</w:t>
            </w:r>
          </w:p>
        </w:tc>
        <w:tc>
          <w:tcPr>
            <w:tcW w:w="909" w:type="dxa"/>
            <w:tcBorders>
              <w:top w:val="nil"/>
              <w:left w:val="nil"/>
              <w:bottom w:val="single" w:sz="4" w:space="0" w:color="000000"/>
              <w:right w:val="single" w:sz="4" w:space="0" w:color="000000"/>
            </w:tcBorders>
            <w:shd w:val="clear" w:color="auto" w:fill="auto"/>
            <w:vAlign w:val="bottom"/>
          </w:tcPr>
          <w:p w14:paraId="000003BE" w14:textId="77777777" w:rsidR="00294ABB" w:rsidRPr="00835B56" w:rsidRDefault="00420BFB" w:rsidP="00835B56">
            <w:pPr>
              <w:spacing w:before="60" w:after="60"/>
              <w:jc w:val="center"/>
              <w:rPr>
                <w:color w:val="000000"/>
              </w:rPr>
            </w:pPr>
            <w:r w:rsidRPr="00835B56">
              <w:rPr>
                <w:color w:val="000000"/>
              </w:rPr>
              <w:t>52.09</w:t>
            </w:r>
          </w:p>
        </w:tc>
      </w:tr>
    </w:tbl>
    <w:p w14:paraId="000003BF" w14:textId="77777777" w:rsidR="00294ABB" w:rsidRDefault="00294ABB">
      <w:pPr>
        <w:spacing w:after="0"/>
        <w:ind w:left="720" w:firstLine="288"/>
        <w:rPr>
          <w:i/>
          <w:color w:val="000000"/>
          <w:sz w:val="18"/>
          <w:szCs w:val="18"/>
        </w:rPr>
      </w:pPr>
    </w:p>
    <w:p w14:paraId="000003C0" w14:textId="5665A309" w:rsidR="00294ABB" w:rsidRPr="00835B56" w:rsidRDefault="00420BFB">
      <w:pPr>
        <w:spacing w:after="0"/>
        <w:ind w:left="720" w:firstLine="288"/>
        <w:rPr>
          <w:iCs/>
          <w:color w:val="000000"/>
        </w:rPr>
      </w:pPr>
      <w:r w:rsidRPr="00835B56">
        <w:rPr>
          <w:iCs/>
          <w:color w:val="000000"/>
        </w:rPr>
        <w:t>Source: Author</w:t>
      </w:r>
      <w:r w:rsidR="00C93471" w:rsidRPr="00835B56">
        <w:rPr>
          <w:iCs/>
          <w:color w:val="000000"/>
        </w:rPr>
        <w:t>’</w:t>
      </w:r>
      <w:r w:rsidRPr="00835B56">
        <w:rPr>
          <w:iCs/>
          <w:color w:val="000000"/>
        </w:rPr>
        <w:t>s computations based on nominal trade data from ITC, 2021</w:t>
      </w:r>
    </w:p>
    <w:p w14:paraId="000003C1" w14:textId="77777777" w:rsidR="00294ABB" w:rsidRDefault="00294ABB">
      <w:pPr>
        <w:spacing w:after="0" w:line="259" w:lineRule="auto"/>
        <w:rPr>
          <w:sz w:val="22"/>
          <w:szCs w:val="22"/>
        </w:rPr>
      </w:pPr>
    </w:p>
    <w:p w14:paraId="000003C2" w14:textId="45775C77" w:rsidR="00294ABB" w:rsidRDefault="00420BFB">
      <w:pPr>
        <w:spacing w:line="259" w:lineRule="auto"/>
        <w:rPr>
          <w:sz w:val="22"/>
          <w:szCs w:val="22"/>
        </w:rPr>
      </w:pPr>
      <w:r>
        <w:rPr>
          <w:sz w:val="22"/>
          <w:szCs w:val="22"/>
        </w:rPr>
        <w:t>South Africa’s Export TCI with the USMCA (47.20%) exceeds that with SADC (35.79%) by nearly 12 percentage points.</w:t>
      </w:r>
      <w:r w:rsidR="001B10E6">
        <w:rPr>
          <w:sz w:val="22"/>
          <w:szCs w:val="22"/>
        </w:rPr>
        <w:t xml:space="preserve"> </w:t>
      </w:r>
      <w:r>
        <w:rPr>
          <w:sz w:val="22"/>
          <w:szCs w:val="22"/>
        </w:rPr>
        <w:t>However, the country’s export TCI with the EU is even greater at 65.07%.</w:t>
      </w:r>
      <w:r w:rsidR="001B10E6">
        <w:rPr>
          <w:sz w:val="22"/>
          <w:szCs w:val="22"/>
        </w:rPr>
        <w:t xml:space="preserve"> </w:t>
      </w:r>
      <w:r>
        <w:rPr>
          <w:sz w:val="22"/>
          <w:szCs w:val="22"/>
        </w:rPr>
        <w:t>This is nearly 18 percentage points higher than South Africa’s Export TCI with USMCA and just under 30 percentage points more than that with SADC.</w:t>
      </w:r>
      <w:r w:rsidR="001B10E6">
        <w:rPr>
          <w:sz w:val="22"/>
          <w:szCs w:val="22"/>
        </w:rPr>
        <w:t xml:space="preserve"> </w:t>
      </w:r>
      <w:r>
        <w:rPr>
          <w:sz w:val="22"/>
          <w:szCs w:val="22"/>
        </w:rPr>
        <w:t>This underscores, firstly, the importance of bilateral intra-industry trade between South Africa and the EU, noted in Cattaneo and Snowball (2020) and again in Section 4.3 above, and secondly, the greater diversity across cultural trade sub-categories of this trade, within the various cultural domains, compared to other regional blocs.</w:t>
      </w:r>
      <w:r w:rsidR="001B10E6">
        <w:rPr>
          <w:sz w:val="22"/>
          <w:szCs w:val="22"/>
        </w:rPr>
        <w:t xml:space="preserve"> </w:t>
      </w:r>
      <w:r>
        <w:rPr>
          <w:sz w:val="22"/>
          <w:szCs w:val="22"/>
        </w:rPr>
        <w:t>This suggests that the EU provides a potentially significant import demand for South Africa’s cultural products in the event of further trade expansion with the bloc (Cattaneo and Snowball, 2019: 40; Kollamparambil, 2017).</w:t>
      </w:r>
    </w:p>
    <w:p w14:paraId="000003C3" w14:textId="51C3C859" w:rsidR="00294ABB" w:rsidRDefault="00420BFB">
      <w:pPr>
        <w:spacing w:line="259" w:lineRule="auto"/>
        <w:rPr>
          <w:sz w:val="22"/>
          <w:szCs w:val="22"/>
        </w:rPr>
      </w:pPr>
      <w:r>
        <w:rPr>
          <w:sz w:val="22"/>
          <w:szCs w:val="22"/>
        </w:rPr>
        <w:t>In the case of the USMCA and SADC, the comparatively lower Export TCIs, despite South Africa’s significant cultural goods exports to these blocs, suggest that the country’s cultural goods exports to these regions are concentrated in a fairly small range of (nevertheless significant) cultural product trade categories. The USMCA and SADC countries then satisfy their demand for other cultural products (that South Africa does not export globally) from different trading partners, other than South Africa.</w:t>
      </w:r>
      <w:r w:rsidR="001B10E6">
        <w:rPr>
          <w:sz w:val="22"/>
          <w:szCs w:val="22"/>
        </w:rPr>
        <w:t xml:space="preserve"> </w:t>
      </w:r>
      <w:r>
        <w:rPr>
          <w:sz w:val="22"/>
          <w:szCs w:val="22"/>
        </w:rPr>
        <w:t>A useful area for further research would be to detail over a longer time period which cultural product categories at the six-digit level South Africa is not exporting to any significant extent globally that these partners are demanding.</w:t>
      </w:r>
    </w:p>
    <w:p w14:paraId="000003C4" w14:textId="628730CF" w:rsidR="00294ABB" w:rsidRDefault="00420BFB">
      <w:pPr>
        <w:spacing w:line="259" w:lineRule="auto"/>
        <w:rPr>
          <w:sz w:val="22"/>
          <w:szCs w:val="22"/>
        </w:rPr>
      </w:pPr>
      <w:r>
        <w:rPr>
          <w:sz w:val="22"/>
          <w:szCs w:val="22"/>
        </w:rPr>
        <w:t>Despite the notable difference between South Africa’s Export TCI with the EU on the one hand, and those with USMCA and SADC on the other, the country’s Export TCIs with USMCA and SADC are by no means insignificant at 47.2% and 35.79% respectively.</w:t>
      </w:r>
      <w:r w:rsidR="001B10E6">
        <w:rPr>
          <w:sz w:val="22"/>
          <w:szCs w:val="22"/>
        </w:rPr>
        <w:t xml:space="preserve"> </w:t>
      </w:r>
      <w:r>
        <w:rPr>
          <w:sz w:val="22"/>
          <w:szCs w:val="22"/>
        </w:rPr>
        <w:t>This suggests that South Africa’s cultural good export structure goes quite some way in matching the cultural product import structure of USMCA in particular and, to a lesser extent, SADC.</w:t>
      </w:r>
      <w:r w:rsidR="001B10E6">
        <w:rPr>
          <w:sz w:val="22"/>
          <w:szCs w:val="22"/>
        </w:rPr>
        <w:t xml:space="preserve"> </w:t>
      </w:r>
      <w:r>
        <w:rPr>
          <w:sz w:val="22"/>
          <w:szCs w:val="22"/>
        </w:rPr>
        <w:t xml:space="preserve">The potential </w:t>
      </w:r>
      <w:r>
        <w:rPr>
          <w:sz w:val="22"/>
          <w:szCs w:val="22"/>
        </w:rPr>
        <w:lastRenderedPageBreak/>
        <w:t>for further cultural goods trade expansion with all three regions is therefore encouraging, although South Africa should work to diversify its cultural product offerings to match the import demand of some of its regional partners further, as well as focusing on product categories that are already performing well in its cultural goods trade.</w:t>
      </w:r>
    </w:p>
    <w:p w14:paraId="000003C5" w14:textId="27BA547A" w:rsidR="00294ABB" w:rsidRDefault="00420BFB">
      <w:pPr>
        <w:spacing w:line="259" w:lineRule="auto"/>
        <w:rPr>
          <w:sz w:val="22"/>
          <w:szCs w:val="22"/>
        </w:rPr>
      </w:pPr>
      <w:r>
        <w:rPr>
          <w:sz w:val="22"/>
          <w:szCs w:val="22"/>
        </w:rPr>
        <w:t>Turning to the import side, South Africa’s import TCIs are slightly lower across the board than its Export TCIs for the three regions depicted in Table 9.</w:t>
      </w:r>
      <w:r w:rsidR="001B10E6">
        <w:rPr>
          <w:sz w:val="22"/>
          <w:szCs w:val="22"/>
        </w:rPr>
        <w:t xml:space="preserve"> </w:t>
      </w:r>
      <w:r>
        <w:rPr>
          <w:sz w:val="22"/>
          <w:szCs w:val="22"/>
        </w:rPr>
        <w:t>South Africa’s import TCI is highest once again with the EU, at 52.09%, followed (more closely than in the case of the Export TCI) by USMCA at 43.65%.</w:t>
      </w:r>
      <w:r w:rsidR="001B10E6">
        <w:rPr>
          <w:sz w:val="22"/>
          <w:szCs w:val="22"/>
        </w:rPr>
        <w:t xml:space="preserve"> </w:t>
      </w:r>
      <w:r>
        <w:rPr>
          <w:sz w:val="22"/>
          <w:szCs w:val="22"/>
        </w:rPr>
        <w:t xml:space="preserve">A comparatively high Import TCI in this context suggests that South Africa provides a potential import demand for the cultural products exported by the partner country or region. </w:t>
      </w:r>
    </w:p>
    <w:p w14:paraId="000003C6" w14:textId="33AD417A" w:rsidR="00294ABB" w:rsidRDefault="00420BFB">
      <w:pPr>
        <w:spacing w:line="259" w:lineRule="auto"/>
        <w:rPr>
          <w:sz w:val="22"/>
          <w:szCs w:val="22"/>
        </w:rPr>
      </w:pPr>
      <w:r>
        <w:rPr>
          <w:sz w:val="22"/>
          <w:szCs w:val="22"/>
        </w:rPr>
        <w:t>In the case of SADC, South Africa’s Import TCI is relatively low at 21.06%.</w:t>
      </w:r>
      <w:r w:rsidR="001B10E6">
        <w:rPr>
          <w:sz w:val="22"/>
          <w:szCs w:val="22"/>
        </w:rPr>
        <w:t xml:space="preserve"> </w:t>
      </w:r>
      <w:r>
        <w:rPr>
          <w:sz w:val="22"/>
          <w:szCs w:val="22"/>
        </w:rPr>
        <w:t>This suggests that the region does not produce enough of the range of cultural products that South Africa imports.</w:t>
      </w:r>
      <w:r w:rsidR="001B10E6">
        <w:rPr>
          <w:sz w:val="22"/>
          <w:szCs w:val="22"/>
        </w:rPr>
        <w:t xml:space="preserve"> </w:t>
      </w:r>
      <w:r>
        <w:rPr>
          <w:sz w:val="22"/>
          <w:szCs w:val="22"/>
        </w:rPr>
        <w:t>South Africa therefore satisfies its import demand for a variety of cultural products from other sources.</w:t>
      </w:r>
      <w:r w:rsidR="001B10E6">
        <w:rPr>
          <w:sz w:val="22"/>
          <w:szCs w:val="22"/>
        </w:rPr>
        <w:t xml:space="preserve"> </w:t>
      </w:r>
      <w:r>
        <w:rPr>
          <w:sz w:val="22"/>
          <w:szCs w:val="22"/>
        </w:rPr>
        <w:t>This is a concern due to the ongoing trade imbalance between South Africa and its SADC partners, both in general and for cultural goods trade specifically.</w:t>
      </w:r>
      <w:r w:rsidR="001B10E6">
        <w:rPr>
          <w:sz w:val="22"/>
          <w:szCs w:val="22"/>
        </w:rPr>
        <w:t xml:space="preserve"> </w:t>
      </w:r>
      <w:r>
        <w:rPr>
          <w:sz w:val="22"/>
          <w:szCs w:val="22"/>
        </w:rPr>
        <w:t>Furthermore, the countries of the region are already enjoying duty-free access to the South African market under the SADC FTA which South Africa has fully implemented.</w:t>
      </w:r>
      <w:r w:rsidR="001B10E6">
        <w:rPr>
          <w:sz w:val="22"/>
          <w:szCs w:val="22"/>
        </w:rPr>
        <w:t xml:space="preserve"> </w:t>
      </w:r>
      <w:r>
        <w:rPr>
          <w:sz w:val="22"/>
          <w:szCs w:val="22"/>
        </w:rPr>
        <w:t>The implication is that barriers to further cultural goods trade expansion between South Africa and its SADC partners on the import side go beyond market access issues related to tariffs.</w:t>
      </w:r>
      <w:r w:rsidR="001B10E6">
        <w:rPr>
          <w:sz w:val="22"/>
          <w:szCs w:val="22"/>
        </w:rPr>
        <w:t xml:space="preserve"> </w:t>
      </w:r>
      <w:r>
        <w:rPr>
          <w:sz w:val="22"/>
          <w:szCs w:val="22"/>
        </w:rPr>
        <w:t xml:space="preserve">There is a need to build productive capacity in the CCIs in the SADC region, </w:t>
      </w:r>
      <w:r w:rsidR="00D7775D">
        <w:rPr>
          <w:sz w:val="22"/>
          <w:szCs w:val="22"/>
        </w:rPr>
        <w:t xml:space="preserve">and </w:t>
      </w:r>
      <w:r>
        <w:rPr>
          <w:sz w:val="22"/>
          <w:szCs w:val="22"/>
        </w:rPr>
        <w:t>address non-tariff barriers, infrastructure constraints, transport costs, financing and information flows.</w:t>
      </w:r>
    </w:p>
    <w:p w14:paraId="000003C7" w14:textId="75EE1258" w:rsidR="00294ABB" w:rsidRDefault="00420BFB" w:rsidP="002F1F1B">
      <w:pPr>
        <w:spacing w:line="259" w:lineRule="auto"/>
        <w:rPr>
          <w:sz w:val="22"/>
          <w:szCs w:val="22"/>
        </w:rPr>
      </w:pPr>
      <w:r>
        <w:rPr>
          <w:sz w:val="22"/>
          <w:szCs w:val="22"/>
        </w:rPr>
        <w:t>South Africa has adopted a development integration approach towards regional integration on the African continent.</w:t>
      </w:r>
      <w:r w:rsidR="001B10E6">
        <w:rPr>
          <w:sz w:val="22"/>
          <w:szCs w:val="22"/>
        </w:rPr>
        <w:t xml:space="preserve"> </w:t>
      </w:r>
      <w:r>
        <w:rPr>
          <w:sz w:val="22"/>
          <w:szCs w:val="22"/>
        </w:rPr>
        <w:t>This approach includes a regional industrial policy, infrastructure development and the promotion of regional value chains alongside trade integration (Ismail, 2017).</w:t>
      </w:r>
      <w:r w:rsidR="001B10E6">
        <w:rPr>
          <w:sz w:val="22"/>
          <w:szCs w:val="22"/>
        </w:rPr>
        <w:t xml:space="preserve"> </w:t>
      </w:r>
      <w:r>
        <w:rPr>
          <w:sz w:val="22"/>
          <w:szCs w:val="22"/>
        </w:rPr>
        <w:t>At the same time, as noted earlier in the report, South Africa’s Re-imagined Industrial Policy includes the creative economy as a key focus sector.</w:t>
      </w:r>
      <w:r w:rsidR="001B10E6">
        <w:rPr>
          <w:sz w:val="22"/>
          <w:szCs w:val="22"/>
        </w:rPr>
        <w:t xml:space="preserve"> </w:t>
      </w:r>
      <w:r>
        <w:rPr>
          <w:sz w:val="22"/>
          <w:szCs w:val="22"/>
        </w:rPr>
        <w:t>In the light of the discussion in this report, it is therefore important to add a regional dimension to South Africa’s CCI focus at the domestic level to harness the potential of the creative economy in other SADC countries and address regional imbalances.</w:t>
      </w:r>
      <w:r w:rsidR="001B10E6">
        <w:rPr>
          <w:sz w:val="22"/>
          <w:szCs w:val="22"/>
        </w:rPr>
        <w:t xml:space="preserve"> </w:t>
      </w:r>
      <w:r>
        <w:rPr>
          <w:sz w:val="22"/>
          <w:szCs w:val="22"/>
        </w:rPr>
        <w:t>The Creative Sector Master Plan that is under development could include a regional industrial strategy for the CCIs that takes account of existing AU and SADC frameworks that are relevant for South Africa’s cultural goods trade with SADC.</w:t>
      </w:r>
    </w:p>
    <w:p w14:paraId="000003C9" w14:textId="77777777" w:rsidR="00294ABB" w:rsidRDefault="00420BFB" w:rsidP="00835B56">
      <w:pPr>
        <w:pStyle w:val="Heading2"/>
        <w:spacing w:line="240" w:lineRule="auto"/>
        <w:ind w:left="578" w:hanging="578"/>
      </w:pPr>
      <w:bookmarkStart w:id="57" w:name="_Toc92623048"/>
      <w:r>
        <w:t>South Africa’s cultural services trade in the context of the COVID-19 pandemic</w:t>
      </w:r>
      <w:bookmarkEnd w:id="57"/>
    </w:p>
    <w:p w14:paraId="000003CA" w14:textId="77777777" w:rsidR="00294ABB" w:rsidRDefault="00294ABB">
      <w:pPr>
        <w:spacing w:after="0"/>
        <w:rPr>
          <w:sz w:val="22"/>
          <w:szCs w:val="22"/>
        </w:rPr>
      </w:pPr>
    </w:p>
    <w:p w14:paraId="000003CB" w14:textId="6700D7EE" w:rsidR="00294ABB" w:rsidRDefault="00420BFB" w:rsidP="00835B56">
      <w:pPr>
        <w:spacing w:line="259" w:lineRule="auto"/>
        <w:rPr>
          <w:sz w:val="22"/>
          <w:szCs w:val="22"/>
        </w:rPr>
      </w:pPr>
      <w:bookmarkStart w:id="58" w:name="_heading=h.vx1227" w:colFirst="0" w:colLast="0"/>
      <w:bookmarkEnd w:id="58"/>
      <w:r>
        <w:rPr>
          <w:sz w:val="22"/>
          <w:szCs w:val="22"/>
        </w:rPr>
        <w:t>It was noted in Section 3.1 that growing digitisation has increased the importance of particular services trade categories in the identification and measurement of cultural trade.</w:t>
      </w:r>
      <w:r w:rsidR="001B10E6">
        <w:rPr>
          <w:sz w:val="22"/>
          <w:szCs w:val="22"/>
        </w:rPr>
        <w:t xml:space="preserve"> </w:t>
      </w:r>
      <w:r>
        <w:rPr>
          <w:sz w:val="22"/>
          <w:szCs w:val="22"/>
        </w:rPr>
        <w:t>However, there is a lack of availability of services trade data at the required level of disaggregation to measure cultural services trade adequately in line with the EBOPS categories identified in the UNESCO FCS.</w:t>
      </w:r>
      <w:r w:rsidR="001B10E6">
        <w:rPr>
          <w:sz w:val="22"/>
          <w:szCs w:val="22"/>
        </w:rPr>
        <w:t xml:space="preserve"> </w:t>
      </w:r>
      <w:r>
        <w:rPr>
          <w:sz w:val="22"/>
          <w:szCs w:val="22"/>
        </w:rPr>
        <w:t>This is particularly the case in low- and middle-income countries.</w:t>
      </w:r>
      <w:r w:rsidR="001B10E6">
        <w:rPr>
          <w:sz w:val="22"/>
          <w:szCs w:val="22"/>
        </w:rPr>
        <w:t xml:space="preserve"> </w:t>
      </w:r>
      <w:r>
        <w:rPr>
          <w:sz w:val="22"/>
          <w:szCs w:val="22"/>
        </w:rPr>
        <w:t>Section 3.1 also described in some detail the services trade categories and data sources that are available to analyse South Africa’s cultural services trade.</w:t>
      </w:r>
      <w:r w:rsidR="001B10E6">
        <w:rPr>
          <w:sz w:val="22"/>
          <w:szCs w:val="22"/>
        </w:rPr>
        <w:t xml:space="preserve"> </w:t>
      </w:r>
      <w:r>
        <w:rPr>
          <w:sz w:val="22"/>
          <w:szCs w:val="22"/>
        </w:rPr>
        <w:t>Given the increasing importance of cultural services trade as a component of CCI trade, it is necessary to improve data collection and access to more of the relevant EBOPS services sub-categories outlined in Section 3.1.</w:t>
      </w:r>
    </w:p>
    <w:p w14:paraId="000003CC" w14:textId="2D2B7030" w:rsidR="00294ABB" w:rsidRDefault="00420BFB" w:rsidP="00835B56">
      <w:pPr>
        <w:spacing w:line="259" w:lineRule="auto"/>
      </w:pPr>
      <w:r>
        <w:rPr>
          <w:sz w:val="22"/>
          <w:szCs w:val="22"/>
        </w:rPr>
        <w:t>In a recent SACO trade report (Cattaneo and Snowball, 2020: 35</w:t>
      </w:r>
      <w:r w:rsidR="007165FB">
        <w:rPr>
          <w:sz w:val="22"/>
          <w:szCs w:val="22"/>
        </w:rPr>
        <w:t>–</w:t>
      </w:r>
      <w:r>
        <w:rPr>
          <w:sz w:val="22"/>
          <w:szCs w:val="22"/>
        </w:rPr>
        <w:t>41), trends in South Africa’s services trade categories that are relevant for cultural services trade were analysed for the period 2007 to 2018, using SARB and ITC-UNCTAD-WTO services trade data.</w:t>
      </w:r>
      <w:r w:rsidR="001B10E6">
        <w:rPr>
          <w:sz w:val="22"/>
          <w:szCs w:val="22"/>
        </w:rPr>
        <w:t xml:space="preserve"> </w:t>
      </w:r>
      <w:r>
        <w:rPr>
          <w:sz w:val="22"/>
          <w:szCs w:val="22"/>
        </w:rPr>
        <w:t>In this report, the analysis is extended to 2019</w:t>
      </w:r>
      <w:r w:rsidR="00641407">
        <w:rPr>
          <w:sz w:val="22"/>
          <w:szCs w:val="22"/>
        </w:rPr>
        <w:t>–</w:t>
      </w:r>
      <w:r>
        <w:rPr>
          <w:sz w:val="22"/>
          <w:szCs w:val="22"/>
        </w:rPr>
        <w:t>2020 in order to focus on the effect of the COVID-19 pandemic on these services.</w:t>
      </w:r>
      <w:r w:rsidR="001B10E6">
        <w:rPr>
          <w:sz w:val="22"/>
          <w:szCs w:val="22"/>
        </w:rPr>
        <w:t xml:space="preserve"> </w:t>
      </w:r>
      <w:r>
        <w:rPr>
          <w:sz w:val="22"/>
          <w:szCs w:val="22"/>
        </w:rPr>
        <w:t xml:space="preserve">To facilitate continuity from the previous report, the trend analysis </w:t>
      </w:r>
      <w:r>
        <w:rPr>
          <w:sz w:val="22"/>
          <w:szCs w:val="22"/>
        </w:rPr>
        <w:lastRenderedPageBreak/>
        <w:t>begins in 2018.</w:t>
      </w:r>
      <w:r w:rsidR="001B10E6">
        <w:rPr>
          <w:sz w:val="22"/>
          <w:szCs w:val="22"/>
        </w:rPr>
        <w:t xml:space="preserve"> </w:t>
      </w:r>
      <w:r>
        <w:rPr>
          <w:sz w:val="22"/>
          <w:szCs w:val="22"/>
        </w:rPr>
        <w:t>Table 10 thus depicts South Africa’s services exports, imports and trade balance in the sectors that are relevant for cultural services trade for the period 2018</w:t>
      </w:r>
      <w:r w:rsidR="00641407">
        <w:rPr>
          <w:sz w:val="22"/>
          <w:szCs w:val="22"/>
        </w:rPr>
        <w:t>–20</w:t>
      </w:r>
      <w:r>
        <w:rPr>
          <w:sz w:val="22"/>
          <w:szCs w:val="22"/>
        </w:rPr>
        <w:t>20.</w:t>
      </w:r>
      <w:r w:rsidR="001B10E6">
        <w:rPr>
          <w:sz w:val="22"/>
          <w:szCs w:val="22"/>
        </w:rPr>
        <w:t xml:space="preserve"> </w:t>
      </w:r>
      <w:r>
        <w:rPr>
          <w:sz w:val="22"/>
          <w:szCs w:val="22"/>
        </w:rPr>
        <w:t>Most of the data are from SARB (2021), but the partial disaggregation of Personal, Cultural and Recreational Services (PCR) to depict Audio-visual and Related Services as well as Other PCR separately is obtained from the ITC, UNCTAD and WTO (2021) Services Trade Database.</w:t>
      </w:r>
      <w:r w:rsidR="001B10E6">
        <w:rPr>
          <w:sz w:val="22"/>
          <w:szCs w:val="22"/>
        </w:rPr>
        <w:t xml:space="preserve"> </w:t>
      </w:r>
      <w:r>
        <w:rPr>
          <w:sz w:val="22"/>
          <w:szCs w:val="22"/>
        </w:rPr>
        <w:t>All data in the table are in current millions of Rand.</w:t>
      </w:r>
      <w:r w:rsidR="001B10E6">
        <w:rPr>
          <w:sz w:val="22"/>
          <w:szCs w:val="22"/>
        </w:rPr>
        <w:t xml:space="preserve"> </w:t>
      </w:r>
      <w:r>
        <w:rPr>
          <w:sz w:val="22"/>
          <w:szCs w:val="22"/>
        </w:rPr>
        <w:t>At the time of writing, services trade data for the first few quarters of 2021 were not yet available at the level of disaggregation shown in Table 10.</w:t>
      </w:r>
      <w:bookmarkStart w:id="59" w:name="bookmark=id.3fwokq0" w:colFirst="0" w:colLast="0"/>
      <w:bookmarkEnd w:id="59"/>
    </w:p>
    <w:p w14:paraId="000003CD" w14:textId="43836DD5" w:rsidR="00294ABB" w:rsidRPr="00835B56" w:rsidRDefault="008B6A61" w:rsidP="008B6A61">
      <w:pPr>
        <w:pStyle w:val="Caption"/>
        <w:rPr>
          <w:color w:val="44546A"/>
          <w:sz w:val="24"/>
          <w:szCs w:val="24"/>
        </w:rPr>
      </w:pPr>
      <w:bookmarkStart w:id="60" w:name="_heading=h.1v1yuxt" w:colFirst="0" w:colLast="0"/>
      <w:bookmarkStart w:id="61" w:name="_Toc92623710"/>
      <w:bookmarkEnd w:id="60"/>
      <w:r w:rsidRPr="00835B56">
        <w:rPr>
          <w:sz w:val="20"/>
          <w:szCs w:val="20"/>
        </w:rPr>
        <w:t xml:space="preserve">Table </w:t>
      </w:r>
      <w:r w:rsidR="006B6995" w:rsidRPr="00835B56">
        <w:rPr>
          <w:sz w:val="20"/>
          <w:szCs w:val="20"/>
        </w:rPr>
        <w:fldChar w:fldCharType="begin"/>
      </w:r>
      <w:r w:rsidR="006B6995" w:rsidRPr="00835B56">
        <w:rPr>
          <w:sz w:val="20"/>
          <w:szCs w:val="20"/>
        </w:rPr>
        <w:instrText xml:space="preserve"> SEQ Table \* ARABIC </w:instrText>
      </w:r>
      <w:r w:rsidR="006B6995" w:rsidRPr="00835B56">
        <w:rPr>
          <w:sz w:val="20"/>
          <w:szCs w:val="20"/>
        </w:rPr>
        <w:fldChar w:fldCharType="separate"/>
      </w:r>
      <w:r w:rsidR="00682412">
        <w:rPr>
          <w:noProof/>
          <w:sz w:val="20"/>
          <w:szCs w:val="20"/>
        </w:rPr>
        <w:t>10</w:t>
      </w:r>
      <w:r w:rsidR="006B6995" w:rsidRPr="00835B56">
        <w:rPr>
          <w:noProof/>
          <w:sz w:val="20"/>
          <w:szCs w:val="20"/>
        </w:rPr>
        <w:fldChar w:fldCharType="end"/>
      </w:r>
      <w:r w:rsidR="00BF296C">
        <w:rPr>
          <w:noProof/>
          <w:sz w:val="20"/>
          <w:szCs w:val="20"/>
        </w:rPr>
        <w:t>:</w:t>
      </w:r>
      <w:r w:rsidRPr="00835B56">
        <w:rPr>
          <w:sz w:val="20"/>
          <w:szCs w:val="20"/>
        </w:rPr>
        <w:t xml:space="preserve">. </w:t>
      </w:r>
      <w:r w:rsidR="00420BFB" w:rsidRPr="00835B56">
        <w:rPr>
          <w:color w:val="44546A"/>
          <w:sz w:val="20"/>
          <w:szCs w:val="20"/>
        </w:rPr>
        <w:t>South Africa</w:t>
      </w:r>
      <w:r w:rsidR="00C93471" w:rsidRPr="00835B56">
        <w:rPr>
          <w:color w:val="44546A"/>
          <w:sz w:val="20"/>
          <w:szCs w:val="20"/>
        </w:rPr>
        <w:t>’</w:t>
      </w:r>
      <w:r w:rsidR="00420BFB" w:rsidRPr="00835B56">
        <w:rPr>
          <w:color w:val="44546A"/>
          <w:sz w:val="20"/>
          <w:szCs w:val="20"/>
        </w:rPr>
        <w:t>s trade in services sectors relevant for cultural services trade 2018</w:t>
      </w:r>
      <w:r w:rsidR="00641407" w:rsidRPr="00835B56">
        <w:rPr>
          <w:color w:val="44546A"/>
          <w:sz w:val="20"/>
          <w:szCs w:val="20"/>
        </w:rPr>
        <w:t>–</w:t>
      </w:r>
      <w:r w:rsidR="00420BFB" w:rsidRPr="00835B56">
        <w:rPr>
          <w:color w:val="44546A"/>
          <w:sz w:val="20"/>
          <w:szCs w:val="20"/>
        </w:rPr>
        <w:t>2020</w:t>
      </w:r>
      <w:bookmarkEnd w:id="61"/>
    </w:p>
    <w:tbl>
      <w:tblPr>
        <w:tblStyle w:val="a8"/>
        <w:tblW w:w="8210" w:type="dxa"/>
        <w:jc w:val="center"/>
        <w:tblLayout w:type="fixed"/>
        <w:tblLook w:val="0400" w:firstRow="0" w:lastRow="0" w:firstColumn="0" w:lastColumn="0" w:noHBand="0" w:noVBand="1"/>
      </w:tblPr>
      <w:tblGrid>
        <w:gridCol w:w="5030"/>
        <w:gridCol w:w="1060"/>
        <w:gridCol w:w="1060"/>
        <w:gridCol w:w="1060"/>
      </w:tblGrid>
      <w:tr w:rsidR="00294ABB" w14:paraId="334F4307" w14:textId="77777777" w:rsidTr="00835B56">
        <w:trPr>
          <w:trHeight w:val="300"/>
          <w:jc w:val="center"/>
        </w:trPr>
        <w:tc>
          <w:tcPr>
            <w:tcW w:w="5030" w:type="dxa"/>
            <w:tcBorders>
              <w:top w:val="single" w:sz="8" w:space="0" w:color="000000"/>
              <w:left w:val="single" w:sz="8" w:space="0" w:color="000000"/>
              <w:bottom w:val="single" w:sz="8" w:space="0" w:color="000000"/>
              <w:right w:val="single" w:sz="4" w:space="0" w:color="000000"/>
            </w:tcBorders>
            <w:shd w:val="clear" w:color="auto" w:fill="auto"/>
            <w:vAlign w:val="bottom"/>
          </w:tcPr>
          <w:p w14:paraId="000003CE" w14:textId="77777777" w:rsidR="00294ABB" w:rsidRDefault="00420BFB" w:rsidP="00835B56">
            <w:pPr>
              <w:spacing w:before="60" w:after="60"/>
              <w:jc w:val="left"/>
              <w:rPr>
                <w:b/>
                <w:color w:val="000000"/>
                <w:sz w:val="18"/>
                <w:szCs w:val="18"/>
              </w:rPr>
            </w:pPr>
            <w:r>
              <w:rPr>
                <w:b/>
                <w:color w:val="000000"/>
                <w:sz w:val="18"/>
                <w:szCs w:val="18"/>
              </w:rPr>
              <w:t>Services trade in R millions</w:t>
            </w:r>
          </w:p>
        </w:tc>
        <w:tc>
          <w:tcPr>
            <w:tcW w:w="1060" w:type="dxa"/>
            <w:tcBorders>
              <w:top w:val="single" w:sz="8" w:space="0" w:color="000000"/>
              <w:left w:val="nil"/>
              <w:bottom w:val="single" w:sz="8" w:space="0" w:color="000000"/>
              <w:right w:val="single" w:sz="4" w:space="0" w:color="000000"/>
            </w:tcBorders>
            <w:shd w:val="clear" w:color="auto" w:fill="auto"/>
            <w:vAlign w:val="bottom"/>
          </w:tcPr>
          <w:p w14:paraId="000003CF" w14:textId="77777777" w:rsidR="00294ABB" w:rsidRDefault="00420BFB" w:rsidP="00835B56">
            <w:pPr>
              <w:spacing w:before="60" w:after="60"/>
              <w:jc w:val="center"/>
              <w:rPr>
                <w:b/>
                <w:color w:val="000000"/>
                <w:sz w:val="18"/>
                <w:szCs w:val="18"/>
              </w:rPr>
            </w:pPr>
            <w:r>
              <w:rPr>
                <w:b/>
                <w:color w:val="000000"/>
                <w:sz w:val="18"/>
                <w:szCs w:val="18"/>
              </w:rPr>
              <w:t>2018</w:t>
            </w:r>
          </w:p>
        </w:tc>
        <w:tc>
          <w:tcPr>
            <w:tcW w:w="1060" w:type="dxa"/>
            <w:tcBorders>
              <w:top w:val="single" w:sz="8" w:space="0" w:color="000000"/>
              <w:left w:val="nil"/>
              <w:bottom w:val="single" w:sz="8" w:space="0" w:color="000000"/>
              <w:right w:val="single" w:sz="4" w:space="0" w:color="000000"/>
            </w:tcBorders>
            <w:shd w:val="clear" w:color="auto" w:fill="auto"/>
            <w:vAlign w:val="bottom"/>
          </w:tcPr>
          <w:p w14:paraId="000003D0" w14:textId="77777777" w:rsidR="00294ABB" w:rsidRDefault="00420BFB" w:rsidP="00835B56">
            <w:pPr>
              <w:spacing w:before="60" w:after="60"/>
              <w:jc w:val="center"/>
              <w:rPr>
                <w:b/>
                <w:color w:val="000000"/>
                <w:sz w:val="18"/>
                <w:szCs w:val="18"/>
              </w:rPr>
            </w:pPr>
            <w:r>
              <w:rPr>
                <w:b/>
                <w:color w:val="000000"/>
                <w:sz w:val="18"/>
                <w:szCs w:val="18"/>
              </w:rPr>
              <w:t>2019</w:t>
            </w:r>
          </w:p>
        </w:tc>
        <w:tc>
          <w:tcPr>
            <w:tcW w:w="1060" w:type="dxa"/>
            <w:tcBorders>
              <w:top w:val="single" w:sz="8" w:space="0" w:color="000000"/>
              <w:left w:val="nil"/>
              <w:bottom w:val="single" w:sz="8" w:space="0" w:color="000000"/>
              <w:right w:val="single" w:sz="8" w:space="0" w:color="000000"/>
            </w:tcBorders>
            <w:shd w:val="clear" w:color="auto" w:fill="auto"/>
            <w:vAlign w:val="bottom"/>
          </w:tcPr>
          <w:p w14:paraId="000003D1" w14:textId="77777777" w:rsidR="00294ABB" w:rsidRDefault="00420BFB" w:rsidP="00835B56">
            <w:pPr>
              <w:spacing w:before="60" w:after="60"/>
              <w:jc w:val="center"/>
              <w:rPr>
                <w:b/>
                <w:color w:val="000000"/>
                <w:sz w:val="18"/>
                <w:szCs w:val="18"/>
              </w:rPr>
            </w:pPr>
            <w:r>
              <w:rPr>
                <w:b/>
                <w:color w:val="000000"/>
                <w:sz w:val="18"/>
                <w:szCs w:val="18"/>
              </w:rPr>
              <w:t>2020</w:t>
            </w:r>
          </w:p>
        </w:tc>
      </w:tr>
      <w:tr w:rsidR="00294ABB" w14:paraId="02CB4255" w14:textId="77777777" w:rsidTr="00835B56">
        <w:trPr>
          <w:trHeight w:val="290"/>
          <w:jc w:val="center"/>
        </w:trPr>
        <w:tc>
          <w:tcPr>
            <w:tcW w:w="5030" w:type="dxa"/>
            <w:tcBorders>
              <w:top w:val="nil"/>
              <w:left w:val="single" w:sz="8" w:space="0" w:color="000000"/>
              <w:bottom w:val="single" w:sz="4" w:space="0" w:color="000000"/>
              <w:right w:val="single" w:sz="4" w:space="0" w:color="000000"/>
            </w:tcBorders>
            <w:shd w:val="clear" w:color="auto" w:fill="auto"/>
            <w:vAlign w:val="bottom"/>
          </w:tcPr>
          <w:p w14:paraId="000003D2" w14:textId="747D7438" w:rsidR="00294ABB" w:rsidRDefault="00420BFB" w:rsidP="00835B56">
            <w:pPr>
              <w:tabs>
                <w:tab w:val="right" w:pos="4820"/>
              </w:tabs>
              <w:spacing w:before="60" w:after="60"/>
              <w:jc w:val="left"/>
              <w:rPr>
                <w:color w:val="000000"/>
                <w:sz w:val="18"/>
                <w:szCs w:val="18"/>
              </w:rPr>
            </w:pPr>
            <w:r>
              <w:rPr>
                <w:color w:val="000000"/>
                <w:sz w:val="18"/>
                <w:szCs w:val="18"/>
              </w:rPr>
              <w:t>Personal travel services</w:t>
            </w:r>
            <w:r w:rsidR="0052401C">
              <w:rPr>
                <w:color w:val="000000"/>
                <w:sz w:val="18"/>
                <w:szCs w:val="18"/>
              </w:rPr>
              <w:tab/>
            </w:r>
            <w:r>
              <w:rPr>
                <w:color w:val="000000"/>
                <w:sz w:val="18"/>
                <w:szCs w:val="18"/>
              </w:rPr>
              <w:t>Exp</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3D3" w14:textId="257294F3" w:rsidR="00294ABB" w:rsidRDefault="00420BFB" w:rsidP="00835B56">
            <w:pPr>
              <w:spacing w:before="60" w:after="60"/>
              <w:jc w:val="right"/>
              <w:rPr>
                <w:color w:val="000000"/>
                <w:sz w:val="18"/>
                <w:szCs w:val="18"/>
              </w:rPr>
            </w:pPr>
            <w:r>
              <w:rPr>
                <w:color w:val="000000"/>
                <w:sz w:val="18"/>
                <w:szCs w:val="18"/>
              </w:rPr>
              <w:t>108</w:t>
            </w:r>
            <w:r w:rsidR="006F2ABF">
              <w:rPr>
                <w:color w:val="000000"/>
                <w:sz w:val="18"/>
                <w:szCs w:val="18"/>
              </w:rPr>
              <w:t xml:space="preserve"> </w:t>
            </w:r>
            <w:r>
              <w:rPr>
                <w:color w:val="000000"/>
                <w:sz w:val="18"/>
                <w:szCs w:val="18"/>
              </w:rPr>
              <w:t>646</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3D4" w14:textId="1778B97F" w:rsidR="00294ABB" w:rsidRDefault="00420BFB" w:rsidP="00835B56">
            <w:pPr>
              <w:spacing w:before="60" w:after="60"/>
              <w:jc w:val="right"/>
              <w:rPr>
                <w:color w:val="000000"/>
                <w:sz w:val="18"/>
                <w:szCs w:val="18"/>
              </w:rPr>
            </w:pPr>
            <w:r>
              <w:rPr>
                <w:color w:val="000000"/>
                <w:sz w:val="18"/>
                <w:szCs w:val="18"/>
              </w:rPr>
              <w:t>111</w:t>
            </w:r>
            <w:r w:rsidR="006F2ABF">
              <w:rPr>
                <w:color w:val="000000"/>
                <w:sz w:val="18"/>
                <w:szCs w:val="18"/>
              </w:rPr>
              <w:t xml:space="preserve"> </w:t>
            </w:r>
            <w:r>
              <w:rPr>
                <w:color w:val="000000"/>
                <w:sz w:val="18"/>
                <w:szCs w:val="18"/>
              </w:rPr>
              <w:t>248</w:t>
            </w:r>
          </w:p>
        </w:tc>
        <w:tc>
          <w:tcPr>
            <w:tcW w:w="1060" w:type="dxa"/>
            <w:tcBorders>
              <w:top w:val="nil"/>
              <w:left w:val="nil"/>
              <w:bottom w:val="single" w:sz="4" w:space="0" w:color="000000"/>
              <w:right w:val="single" w:sz="8" w:space="0" w:color="000000"/>
            </w:tcBorders>
            <w:shd w:val="clear" w:color="auto" w:fill="auto"/>
            <w:tcMar>
              <w:right w:w="170" w:type="dxa"/>
            </w:tcMar>
            <w:vAlign w:val="center"/>
          </w:tcPr>
          <w:p w14:paraId="000003D5" w14:textId="5D29B392" w:rsidR="00294ABB" w:rsidRDefault="00420BFB" w:rsidP="00835B56">
            <w:pPr>
              <w:spacing w:before="60" w:after="60"/>
              <w:jc w:val="right"/>
              <w:rPr>
                <w:color w:val="000000"/>
                <w:sz w:val="18"/>
                <w:szCs w:val="18"/>
              </w:rPr>
            </w:pPr>
            <w:r>
              <w:rPr>
                <w:color w:val="000000"/>
                <w:sz w:val="18"/>
                <w:szCs w:val="18"/>
              </w:rPr>
              <w:t>37</w:t>
            </w:r>
            <w:r w:rsidR="00FB48CE">
              <w:rPr>
                <w:color w:val="000000"/>
                <w:sz w:val="18"/>
                <w:szCs w:val="18"/>
              </w:rPr>
              <w:t xml:space="preserve"> </w:t>
            </w:r>
            <w:r>
              <w:rPr>
                <w:color w:val="000000"/>
                <w:sz w:val="18"/>
                <w:szCs w:val="18"/>
              </w:rPr>
              <w:t>873</w:t>
            </w:r>
          </w:p>
        </w:tc>
      </w:tr>
      <w:tr w:rsidR="00294ABB" w14:paraId="4ABC61BD" w14:textId="77777777" w:rsidTr="00835B56">
        <w:trPr>
          <w:trHeight w:val="290"/>
          <w:jc w:val="center"/>
        </w:trPr>
        <w:tc>
          <w:tcPr>
            <w:tcW w:w="5030" w:type="dxa"/>
            <w:tcBorders>
              <w:top w:val="nil"/>
              <w:left w:val="single" w:sz="8" w:space="0" w:color="000000"/>
              <w:bottom w:val="single" w:sz="4" w:space="0" w:color="000000"/>
              <w:right w:val="single" w:sz="4" w:space="0" w:color="000000"/>
            </w:tcBorders>
            <w:shd w:val="clear" w:color="auto" w:fill="auto"/>
            <w:vAlign w:val="bottom"/>
          </w:tcPr>
          <w:p w14:paraId="000003D6" w14:textId="77777777" w:rsidR="00294ABB" w:rsidRDefault="00420BFB" w:rsidP="00835B56">
            <w:pPr>
              <w:tabs>
                <w:tab w:val="right" w:pos="4820"/>
              </w:tabs>
              <w:spacing w:before="60" w:after="60"/>
              <w:jc w:val="right"/>
              <w:rPr>
                <w:color w:val="000000"/>
                <w:sz w:val="18"/>
                <w:szCs w:val="18"/>
              </w:rPr>
            </w:pPr>
            <w:r>
              <w:rPr>
                <w:color w:val="000000"/>
                <w:sz w:val="18"/>
                <w:szCs w:val="18"/>
              </w:rPr>
              <w:t>Imp</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3D7" w14:textId="7E4134F4" w:rsidR="00294ABB" w:rsidRDefault="00420BFB" w:rsidP="00835B56">
            <w:pPr>
              <w:spacing w:before="60" w:after="60"/>
              <w:jc w:val="right"/>
              <w:rPr>
                <w:color w:val="000000"/>
                <w:sz w:val="18"/>
                <w:szCs w:val="18"/>
              </w:rPr>
            </w:pPr>
            <w:r>
              <w:rPr>
                <w:color w:val="000000"/>
                <w:sz w:val="18"/>
                <w:szCs w:val="18"/>
              </w:rPr>
              <w:t>32</w:t>
            </w:r>
            <w:r w:rsidR="006F2ABF">
              <w:rPr>
                <w:color w:val="000000"/>
                <w:sz w:val="18"/>
                <w:szCs w:val="18"/>
              </w:rPr>
              <w:t xml:space="preserve"> </w:t>
            </w:r>
            <w:r>
              <w:rPr>
                <w:color w:val="000000"/>
                <w:sz w:val="18"/>
                <w:szCs w:val="18"/>
              </w:rPr>
              <w:t>382</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3D8" w14:textId="3C3CDEA4" w:rsidR="00294ABB" w:rsidRDefault="00420BFB" w:rsidP="00835B56">
            <w:pPr>
              <w:spacing w:before="60" w:after="60"/>
              <w:jc w:val="right"/>
              <w:rPr>
                <w:color w:val="000000"/>
                <w:sz w:val="18"/>
                <w:szCs w:val="18"/>
              </w:rPr>
            </w:pPr>
            <w:r>
              <w:rPr>
                <w:color w:val="000000"/>
                <w:sz w:val="18"/>
                <w:szCs w:val="18"/>
              </w:rPr>
              <w:t>33</w:t>
            </w:r>
            <w:r w:rsidR="006F2ABF">
              <w:rPr>
                <w:color w:val="000000"/>
                <w:sz w:val="18"/>
                <w:szCs w:val="18"/>
              </w:rPr>
              <w:t xml:space="preserve"> </w:t>
            </w:r>
            <w:r>
              <w:rPr>
                <w:color w:val="000000"/>
                <w:sz w:val="18"/>
                <w:szCs w:val="18"/>
              </w:rPr>
              <w:t>643</w:t>
            </w:r>
          </w:p>
        </w:tc>
        <w:tc>
          <w:tcPr>
            <w:tcW w:w="1060" w:type="dxa"/>
            <w:tcBorders>
              <w:top w:val="nil"/>
              <w:left w:val="nil"/>
              <w:bottom w:val="single" w:sz="4" w:space="0" w:color="000000"/>
              <w:right w:val="single" w:sz="8" w:space="0" w:color="000000"/>
            </w:tcBorders>
            <w:shd w:val="clear" w:color="auto" w:fill="auto"/>
            <w:tcMar>
              <w:right w:w="170" w:type="dxa"/>
            </w:tcMar>
            <w:vAlign w:val="center"/>
          </w:tcPr>
          <w:p w14:paraId="000003D9" w14:textId="08B360FE" w:rsidR="00294ABB" w:rsidRDefault="00420BFB" w:rsidP="00835B56">
            <w:pPr>
              <w:spacing w:before="60" w:after="60"/>
              <w:jc w:val="right"/>
              <w:rPr>
                <w:color w:val="000000"/>
                <w:sz w:val="18"/>
                <w:szCs w:val="18"/>
              </w:rPr>
            </w:pPr>
            <w:r>
              <w:rPr>
                <w:color w:val="000000"/>
                <w:sz w:val="18"/>
                <w:szCs w:val="18"/>
              </w:rPr>
              <w:t>10</w:t>
            </w:r>
            <w:r w:rsidR="00FB48CE">
              <w:rPr>
                <w:color w:val="000000"/>
                <w:sz w:val="18"/>
                <w:szCs w:val="18"/>
              </w:rPr>
              <w:t xml:space="preserve"> </w:t>
            </w:r>
            <w:r>
              <w:rPr>
                <w:color w:val="000000"/>
                <w:sz w:val="18"/>
                <w:szCs w:val="18"/>
              </w:rPr>
              <w:t>192</w:t>
            </w:r>
          </w:p>
        </w:tc>
      </w:tr>
      <w:tr w:rsidR="00294ABB" w14:paraId="37FE659B" w14:textId="77777777" w:rsidTr="00835B56">
        <w:trPr>
          <w:trHeight w:val="300"/>
          <w:jc w:val="center"/>
        </w:trPr>
        <w:tc>
          <w:tcPr>
            <w:tcW w:w="5030" w:type="dxa"/>
            <w:tcBorders>
              <w:top w:val="nil"/>
              <w:left w:val="single" w:sz="8" w:space="0" w:color="000000"/>
              <w:bottom w:val="single" w:sz="8" w:space="0" w:color="000000"/>
              <w:right w:val="single" w:sz="4" w:space="0" w:color="000000"/>
            </w:tcBorders>
            <w:shd w:val="clear" w:color="auto" w:fill="D9D9D9"/>
            <w:vAlign w:val="bottom"/>
          </w:tcPr>
          <w:p w14:paraId="000003DA" w14:textId="77777777" w:rsidR="00294ABB" w:rsidRDefault="00420BFB" w:rsidP="00835B56">
            <w:pPr>
              <w:tabs>
                <w:tab w:val="right" w:pos="4820"/>
              </w:tabs>
              <w:spacing w:before="60" w:after="60"/>
              <w:jc w:val="right"/>
              <w:rPr>
                <w:i/>
                <w:color w:val="000000"/>
                <w:sz w:val="18"/>
                <w:szCs w:val="18"/>
              </w:rPr>
            </w:pPr>
            <w:r>
              <w:rPr>
                <w:i/>
                <w:color w:val="000000"/>
                <w:sz w:val="18"/>
                <w:szCs w:val="18"/>
              </w:rPr>
              <w:t>Balance</w:t>
            </w:r>
          </w:p>
        </w:tc>
        <w:tc>
          <w:tcPr>
            <w:tcW w:w="1060" w:type="dxa"/>
            <w:tcBorders>
              <w:top w:val="nil"/>
              <w:left w:val="nil"/>
              <w:bottom w:val="single" w:sz="8" w:space="0" w:color="000000"/>
              <w:right w:val="single" w:sz="4" w:space="0" w:color="000000"/>
            </w:tcBorders>
            <w:shd w:val="clear" w:color="auto" w:fill="D9D9D9"/>
            <w:tcMar>
              <w:right w:w="170" w:type="dxa"/>
            </w:tcMar>
            <w:vAlign w:val="center"/>
          </w:tcPr>
          <w:p w14:paraId="000003DB" w14:textId="664BA84F" w:rsidR="00294ABB" w:rsidRDefault="00420BFB" w:rsidP="00835B56">
            <w:pPr>
              <w:spacing w:before="60" w:after="60"/>
              <w:jc w:val="right"/>
              <w:rPr>
                <w:i/>
                <w:color w:val="000000"/>
                <w:sz w:val="18"/>
                <w:szCs w:val="18"/>
              </w:rPr>
            </w:pPr>
            <w:r>
              <w:rPr>
                <w:i/>
                <w:color w:val="000000"/>
                <w:sz w:val="18"/>
                <w:szCs w:val="18"/>
              </w:rPr>
              <w:t>76</w:t>
            </w:r>
            <w:r w:rsidR="006F2ABF">
              <w:rPr>
                <w:i/>
                <w:color w:val="000000"/>
                <w:sz w:val="18"/>
                <w:szCs w:val="18"/>
              </w:rPr>
              <w:t xml:space="preserve"> </w:t>
            </w:r>
            <w:r>
              <w:rPr>
                <w:i/>
                <w:color w:val="000000"/>
                <w:sz w:val="18"/>
                <w:szCs w:val="18"/>
              </w:rPr>
              <w:t>264</w:t>
            </w:r>
          </w:p>
        </w:tc>
        <w:tc>
          <w:tcPr>
            <w:tcW w:w="1060" w:type="dxa"/>
            <w:tcBorders>
              <w:top w:val="nil"/>
              <w:left w:val="nil"/>
              <w:bottom w:val="single" w:sz="8" w:space="0" w:color="000000"/>
              <w:right w:val="single" w:sz="4" w:space="0" w:color="000000"/>
            </w:tcBorders>
            <w:shd w:val="clear" w:color="auto" w:fill="D9D9D9"/>
            <w:tcMar>
              <w:right w:w="170" w:type="dxa"/>
            </w:tcMar>
            <w:vAlign w:val="center"/>
          </w:tcPr>
          <w:p w14:paraId="000003DC" w14:textId="7B124A23" w:rsidR="00294ABB" w:rsidRDefault="00420BFB" w:rsidP="00835B56">
            <w:pPr>
              <w:spacing w:before="60" w:after="60"/>
              <w:jc w:val="right"/>
              <w:rPr>
                <w:i/>
                <w:color w:val="000000"/>
                <w:sz w:val="18"/>
                <w:szCs w:val="18"/>
              </w:rPr>
            </w:pPr>
            <w:r>
              <w:rPr>
                <w:i/>
                <w:color w:val="000000"/>
                <w:sz w:val="18"/>
                <w:szCs w:val="18"/>
              </w:rPr>
              <w:t>77</w:t>
            </w:r>
            <w:r w:rsidR="006F2ABF">
              <w:rPr>
                <w:i/>
                <w:color w:val="000000"/>
                <w:sz w:val="18"/>
                <w:szCs w:val="18"/>
              </w:rPr>
              <w:t xml:space="preserve"> </w:t>
            </w:r>
            <w:r>
              <w:rPr>
                <w:i/>
                <w:color w:val="000000"/>
                <w:sz w:val="18"/>
                <w:szCs w:val="18"/>
              </w:rPr>
              <w:t>605</w:t>
            </w:r>
          </w:p>
        </w:tc>
        <w:tc>
          <w:tcPr>
            <w:tcW w:w="1060" w:type="dxa"/>
            <w:tcBorders>
              <w:top w:val="nil"/>
              <w:left w:val="nil"/>
              <w:bottom w:val="single" w:sz="8" w:space="0" w:color="000000"/>
              <w:right w:val="single" w:sz="8" w:space="0" w:color="000000"/>
            </w:tcBorders>
            <w:shd w:val="clear" w:color="auto" w:fill="D9D9D9"/>
            <w:tcMar>
              <w:right w:w="170" w:type="dxa"/>
            </w:tcMar>
            <w:vAlign w:val="center"/>
          </w:tcPr>
          <w:p w14:paraId="000003DD" w14:textId="3CAED317" w:rsidR="00294ABB" w:rsidRDefault="00420BFB" w:rsidP="00835B56">
            <w:pPr>
              <w:spacing w:before="60" w:after="60"/>
              <w:jc w:val="right"/>
              <w:rPr>
                <w:i/>
                <w:color w:val="000000"/>
                <w:sz w:val="18"/>
                <w:szCs w:val="18"/>
              </w:rPr>
            </w:pPr>
            <w:r>
              <w:rPr>
                <w:i/>
                <w:color w:val="000000"/>
                <w:sz w:val="18"/>
                <w:szCs w:val="18"/>
              </w:rPr>
              <w:t>27</w:t>
            </w:r>
            <w:r w:rsidR="00FB48CE">
              <w:rPr>
                <w:i/>
                <w:color w:val="000000"/>
                <w:sz w:val="18"/>
                <w:szCs w:val="18"/>
              </w:rPr>
              <w:t xml:space="preserve"> </w:t>
            </w:r>
            <w:r>
              <w:rPr>
                <w:i/>
                <w:color w:val="000000"/>
                <w:sz w:val="18"/>
                <w:szCs w:val="18"/>
              </w:rPr>
              <w:t>681</w:t>
            </w:r>
          </w:p>
        </w:tc>
      </w:tr>
      <w:tr w:rsidR="00294ABB" w14:paraId="358CC2E7" w14:textId="77777777" w:rsidTr="00835B56">
        <w:trPr>
          <w:trHeight w:val="290"/>
          <w:jc w:val="center"/>
        </w:trPr>
        <w:tc>
          <w:tcPr>
            <w:tcW w:w="5030" w:type="dxa"/>
            <w:tcBorders>
              <w:top w:val="nil"/>
              <w:left w:val="single" w:sz="8" w:space="0" w:color="000000"/>
              <w:bottom w:val="single" w:sz="4" w:space="0" w:color="000000"/>
              <w:right w:val="single" w:sz="4" w:space="0" w:color="000000"/>
            </w:tcBorders>
            <w:shd w:val="clear" w:color="auto" w:fill="auto"/>
            <w:vAlign w:val="bottom"/>
          </w:tcPr>
          <w:p w14:paraId="000003DE" w14:textId="3E67C5AD" w:rsidR="00294ABB" w:rsidRDefault="00420BFB" w:rsidP="00835B56">
            <w:pPr>
              <w:tabs>
                <w:tab w:val="right" w:pos="4820"/>
              </w:tabs>
              <w:spacing w:before="60" w:after="60"/>
              <w:jc w:val="left"/>
              <w:rPr>
                <w:color w:val="000000"/>
                <w:sz w:val="18"/>
                <w:szCs w:val="18"/>
              </w:rPr>
            </w:pPr>
            <w:r>
              <w:rPr>
                <w:color w:val="000000"/>
                <w:sz w:val="18"/>
                <w:szCs w:val="18"/>
              </w:rPr>
              <w:t>Charges for the use of intellectual property</w:t>
            </w:r>
            <w:r w:rsidR="0052401C">
              <w:rPr>
                <w:color w:val="000000"/>
                <w:sz w:val="18"/>
                <w:szCs w:val="18"/>
              </w:rPr>
              <w:tab/>
            </w:r>
            <w:r>
              <w:rPr>
                <w:color w:val="000000"/>
                <w:sz w:val="18"/>
                <w:szCs w:val="18"/>
              </w:rPr>
              <w:t>Exp</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3DF" w14:textId="39476426" w:rsidR="00294ABB" w:rsidRDefault="00420BFB" w:rsidP="00835B56">
            <w:pPr>
              <w:spacing w:before="60" w:after="60"/>
              <w:jc w:val="right"/>
              <w:rPr>
                <w:color w:val="000000"/>
                <w:sz w:val="18"/>
                <w:szCs w:val="18"/>
              </w:rPr>
            </w:pPr>
            <w:r>
              <w:rPr>
                <w:color w:val="000000"/>
                <w:sz w:val="18"/>
                <w:szCs w:val="18"/>
              </w:rPr>
              <w:t>2</w:t>
            </w:r>
            <w:r w:rsidR="006F2ABF">
              <w:rPr>
                <w:color w:val="000000"/>
                <w:sz w:val="18"/>
                <w:szCs w:val="18"/>
              </w:rPr>
              <w:t xml:space="preserve"> </w:t>
            </w:r>
            <w:r>
              <w:rPr>
                <w:color w:val="000000"/>
                <w:sz w:val="18"/>
                <w:szCs w:val="18"/>
              </w:rPr>
              <w:t>420</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3E0" w14:textId="796F6883" w:rsidR="00294ABB" w:rsidRDefault="00420BFB" w:rsidP="00835B56">
            <w:pPr>
              <w:spacing w:before="60" w:after="60"/>
              <w:jc w:val="right"/>
              <w:rPr>
                <w:color w:val="000000"/>
                <w:sz w:val="18"/>
                <w:szCs w:val="18"/>
              </w:rPr>
            </w:pPr>
            <w:r>
              <w:rPr>
                <w:color w:val="000000"/>
                <w:sz w:val="18"/>
                <w:szCs w:val="18"/>
              </w:rPr>
              <w:t>2</w:t>
            </w:r>
            <w:r w:rsidR="006F2ABF">
              <w:rPr>
                <w:color w:val="000000"/>
                <w:sz w:val="18"/>
                <w:szCs w:val="18"/>
              </w:rPr>
              <w:t xml:space="preserve"> </w:t>
            </w:r>
            <w:r>
              <w:rPr>
                <w:color w:val="000000"/>
                <w:sz w:val="18"/>
                <w:szCs w:val="18"/>
              </w:rPr>
              <w:t>175</w:t>
            </w:r>
          </w:p>
        </w:tc>
        <w:tc>
          <w:tcPr>
            <w:tcW w:w="1060" w:type="dxa"/>
            <w:tcBorders>
              <w:top w:val="nil"/>
              <w:left w:val="nil"/>
              <w:bottom w:val="single" w:sz="4" w:space="0" w:color="000000"/>
              <w:right w:val="single" w:sz="8" w:space="0" w:color="000000"/>
            </w:tcBorders>
            <w:shd w:val="clear" w:color="auto" w:fill="auto"/>
            <w:tcMar>
              <w:right w:w="170" w:type="dxa"/>
            </w:tcMar>
            <w:vAlign w:val="center"/>
          </w:tcPr>
          <w:p w14:paraId="000003E1" w14:textId="3771E583" w:rsidR="00294ABB" w:rsidRDefault="00420BFB" w:rsidP="00835B56">
            <w:pPr>
              <w:spacing w:before="60" w:after="60"/>
              <w:jc w:val="right"/>
              <w:rPr>
                <w:color w:val="000000"/>
                <w:sz w:val="18"/>
                <w:szCs w:val="18"/>
              </w:rPr>
            </w:pPr>
            <w:r>
              <w:rPr>
                <w:color w:val="000000"/>
                <w:sz w:val="18"/>
                <w:szCs w:val="18"/>
              </w:rPr>
              <w:t>2</w:t>
            </w:r>
            <w:r w:rsidR="00FB48CE">
              <w:rPr>
                <w:color w:val="000000"/>
                <w:sz w:val="18"/>
                <w:szCs w:val="18"/>
              </w:rPr>
              <w:t xml:space="preserve"> </w:t>
            </w:r>
            <w:r>
              <w:rPr>
                <w:color w:val="000000"/>
                <w:sz w:val="18"/>
                <w:szCs w:val="18"/>
              </w:rPr>
              <w:t>074</w:t>
            </w:r>
          </w:p>
        </w:tc>
      </w:tr>
      <w:tr w:rsidR="00294ABB" w14:paraId="741DD85A" w14:textId="77777777" w:rsidTr="00835B56">
        <w:trPr>
          <w:trHeight w:val="290"/>
          <w:jc w:val="center"/>
        </w:trPr>
        <w:tc>
          <w:tcPr>
            <w:tcW w:w="5030" w:type="dxa"/>
            <w:tcBorders>
              <w:top w:val="nil"/>
              <w:left w:val="single" w:sz="8" w:space="0" w:color="000000"/>
              <w:bottom w:val="single" w:sz="4" w:space="0" w:color="000000"/>
              <w:right w:val="single" w:sz="4" w:space="0" w:color="000000"/>
            </w:tcBorders>
            <w:shd w:val="clear" w:color="auto" w:fill="auto"/>
            <w:vAlign w:val="bottom"/>
          </w:tcPr>
          <w:p w14:paraId="000003E2" w14:textId="77777777" w:rsidR="00294ABB" w:rsidRDefault="00420BFB" w:rsidP="00835B56">
            <w:pPr>
              <w:tabs>
                <w:tab w:val="right" w:pos="4820"/>
              </w:tabs>
              <w:spacing w:before="60" w:after="60"/>
              <w:jc w:val="right"/>
              <w:rPr>
                <w:color w:val="000000"/>
                <w:sz w:val="18"/>
                <w:szCs w:val="18"/>
              </w:rPr>
            </w:pPr>
            <w:r>
              <w:rPr>
                <w:color w:val="000000"/>
                <w:sz w:val="18"/>
                <w:szCs w:val="18"/>
              </w:rPr>
              <w:t>Imp</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3E3" w14:textId="5E1A4BB7" w:rsidR="00294ABB" w:rsidRDefault="00420BFB" w:rsidP="00835B56">
            <w:pPr>
              <w:spacing w:before="60" w:after="60"/>
              <w:jc w:val="right"/>
              <w:rPr>
                <w:color w:val="000000"/>
                <w:sz w:val="18"/>
                <w:szCs w:val="18"/>
              </w:rPr>
            </w:pPr>
            <w:r>
              <w:rPr>
                <w:color w:val="000000"/>
                <w:sz w:val="18"/>
                <w:szCs w:val="18"/>
              </w:rPr>
              <w:t>20</w:t>
            </w:r>
            <w:r w:rsidR="006F2ABF">
              <w:rPr>
                <w:color w:val="000000"/>
                <w:sz w:val="18"/>
                <w:szCs w:val="18"/>
              </w:rPr>
              <w:t xml:space="preserve"> </w:t>
            </w:r>
            <w:r>
              <w:rPr>
                <w:color w:val="000000"/>
                <w:sz w:val="18"/>
                <w:szCs w:val="18"/>
              </w:rPr>
              <w:t>280</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3E4" w14:textId="703848C5" w:rsidR="00294ABB" w:rsidRDefault="00420BFB" w:rsidP="00835B56">
            <w:pPr>
              <w:spacing w:before="60" w:after="60"/>
              <w:jc w:val="right"/>
              <w:rPr>
                <w:color w:val="000000"/>
                <w:sz w:val="18"/>
                <w:szCs w:val="18"/>
              </w:rPr>
            </w:pPr>
            <w:r>
              <w:rPr>
                <w:color w:val="000000"/>
                <w:sz w:val="18"/>
                <w:szCs w:val="18"/>
              </w:rPr>
              <w:t>19</w:t>
            </w:r>
            <w:r w:rsidR="006F2ABF">
              <w:rPr>
                <w:color w:val="000000"/>
                <w:sz w:val="18"/>
                <w:szCs w:val="18"/>
              </w:rPr>
              <w:t xml:space="preserve"> </w:t>
            </w:r>
            <w:r>
              <w:rPr>
                <w:color w:val="000000"/>
                <w:sz w:val="18"/>
                <w:szCs w:val="18"/>
              </w:rPr>
              <w:t>599</w:t>
            </w:r>
          </w:p>
        </w:tc>
        <w:tc>
          <w:tcPr>
            <w:tcW w:w="1060" w:type="dxa"/>
            <w:tcBorders>
              <w:top w:val="nil"/>
              <w:left w:val="nil"/>
              <w:bottom w:val="single" w:sz="4" w:space="0" w:color="000000"/>
              <w:right w:val="single" w:sz="8" w:space="0" w:color="000000"/>
            </w:tcBorders>
            <w:shd w:val="clear" w:color="auto" w:fill="auto"/>
            <w:tcMar>
              <w:right w:w="170" w:type="dxa"/>
            </w:tcMar>
            <w:vAlign w:val="center"/>
          </w:tcPr>
          <w:p w14:paraId="000003E5" w14:textId="536ADFCD" w:rsidR="00294ABB" w:rsidRDefault="00420BFB" w:rsidP="00835B56">
            <w:pPr>
              <w:spacing w:before="60" w:after="60"/>
              <w:jc w:val="right"/>
              <w:rPr>
                <w:color w:val="000000"/>
                <w:sz w:val="18"/>
                <w:szCs w:val="18"/>
              </w:rPr>
            </w:pPr>
            <w:r>
              <w:rPr>
                <w:color w:val="000000"/>
                <w:sz w:val="18"/>
                <w:szCs w:val="18"/>
              </w:rPr>
              <w:t>19</w:t>
            </w:r>
            <w:r w:rsidR="00FB48CE">
              <w:rPr>
                <w:color w:val="000000"/>
                <w:sz w:val="18"/>
                <w:szCs w:val="18"/>
              </w:rPr>
              <w:t xml:space="preserve"> </w:t>
            </w:r>
            <w:r>
              <w:rPr>
                <w:color w:val="000000"/>
                <w:sz w:val="18"/>
                <w:szCs w:val="18"/>
              </w:rPr>
              <w:t>644</w:t>
            </w:r>
          </w:p>
        </w:tc>
      </w:tr>
      <w:tr w:rsidR="00294ABB" w14:paraId="3801FCFE" w14:textId="77777777" w:rsidTr="00835B56">
        <w:trPr>
          <w:trHeight w:val="300"/>
          <w:jc w:val="center"/>
        </w:trPr>
        <w:tc>
          <w:tcPr>
            <w:tcW w:w="5030" w:type="dxa"/>
            <w:tcBorders>
              <w:top w:val="nil"/>
              <w:left w:val="single" w:sz="8" w:space="0" w:color="000000"/>
              <w:bottom w:val="single" w:sz="8" w:space="0" w:color="000000"/>
              <w:right w:val="single" w:sz="4" w:space="0" w:color="000000"/>
            </w:tcBorders>
            <w:shd w:val="clear" w:color="auto" w:fill="D9D9D9"/>
            <w:vAlign w:val="bottom"/>
          </w:tcPr>
          <w:p w14:paraId="000003E6" w14:textId="77777777" w:rsidR="00294ABB" w:rsidRDefault="00420BFB" w:rsidP="00835B56">
            <w:pPr>
              <w:tabs>
                <w:tab w:val="right" w:pos="4820"/>
              </w:tabs>
              <w:spacing w:before="60" w:after="60"/>
              <w:jc w:val="right"/>
              <w:rPr>
                <w:i/>
                <w:color w:val="000000"/>
                <w:sz w:val="18"/>
                <w:szCs w:val="18"/>
              </w:rPr>
            </w:pPr>
            <w:r>
              <w:rPr>
                <w:i/>
                <w:color w:val="000000"/>
                <w:sz w:val="18"/>
                <w:szCs w:val="18"/>
              </w:rPr>
              <w:t>Balance</w:t>
            </w:r>
          </w:p>
        </w:tc>
        <w:tc>
          <w:tcPr>
            <w:tcW w:w="1060" w:type="dxa"/>
            <w:tcBorders>
              <w:top w:val="nil"/>
              <w:left w:val="nil"/>
              <w:bottom w:val="single" w:sz="8" w:space="0" w:color="000000"/>
              <w:right w:val="single" w:sz="4" w:space="0" w:color="000000"/>
            </w:tcBorders>
            <w:shd w:val="clear" w:color="auto" w:fill="D9D9D9"/>
            <w:tcMar>
              <w:right w:w="170" w:type="dxa"/>
            </w:tcMar>
            <w:vAlign w:val="center"/>
          </w:tcPr>
          <w:p w14:paraId="000003E7" w14:textId="7B9AC13C" w:rsidR="00294ABB" w:rsidRDefault="00420BFB" w:rsidP="00835B56">
            <w:pPr>
              <w:spacing w:before="60" w:after="60"/>
              <w:jc w:val="right"/>
              <w:rPr>
                <w:i/>
                <w:color w:val="000000"/>
                <w:sz w:val="18"/>
                <w:szCs w:val="18"/>
              </w:rPr>
            </w:pPr>
            <w:r>
              <w:rPr>
                <w:i/>
                <w:color w:val="000000"/>
                <w:sz w:val="18"/>
                <w:szCs w:val="18"/>
              </w:rPr>
              <w:t>-17</w:t>
            </w:r>
            <w:r w:rsidR="006F2ABF">
              <w:rPr>
                <w:i/>
                <w:color w:val="000000"/>
                <w:sz w:val="18"/>
                <w:szCs w:val="18"/>
              </w:rPr>
              <w:t xml:space="preserve"> </w:t>
            </w:r>
            <w:r>
              <w:rPr>
                <w:i/>
                <w:color w:val="000000"/>
                <w:sz w:val="18"/>
                <w:szCs w:val="18"/>
              </w:rPr>
              <w:t>860</w:t>
            </w:r>
          </w:p>
        </w:tc>
        <w:tc>
          <w:tcPr>
            <w:tcW w:w="1060" w:type="dxa"/>
            <w:tcBorders>
              <w:top w:val="nil"/>
              <w:left w:val="nil"/>
              <w:bottom w:val="single" w:sz="8" w:space="0" w:color="000000"/>
              <w:right w:val="single" w:sz="4" w:space="0" w:color="000000"/>
            </w:tcBorders>
            <w:shd w:val="clear" w:color="auto" w:fill="D9D9D9"/>
            <w:tcMar>
              <w:right w:w="170" w:type="dxa"/>
            </w:tcMar>
            <w:vAlign w:val="center"/>
          </w:tcPr>
          <w:p w14:paraId="000003E8" w14:textId="5104D09F" w:rsidR="00294ABB" w:rsidRDefault="00420BFB" w:rsidP="00835B56">
            <w:pPr>
              <w:spacing w:before="60" w:after="60"/>
              <w:jc w:val="right"/>
              <w:rPr>
                <w:i/>
                <w:color w:val="000000"/>
                <w:sz w:val="18"/>
                <w:szCs w:val="18"/>
              </w:rPr>
            </w:pPr>
            <w:r>
              <w:rPr>
                <w:i/>
                <w:color w:val="000000"/>
                <w:sz w:val="18"/>
                <w:szCs w:val="18"/>
              </w:rPr>
              <w:t>-17</w:t>
            </w:r>
            <w:r w:rsidR="006F2ABF">
              <w:rPr>
                <w:i/>
                <w:color w:val="000000"/>
                <w:sz w:val="18"/>
                <w:szCs w:val="18"/>
              </w:rPr>
              <w:t xml:space="preserve"> </w:t>
            </w:r>
            <w:r>
              <w:rPr>
                <w:i/>
                <w:color w:val="000000"/>
                <w:sz w:val="18"/>
                <w:szCs w:val="18"/>
              </w:rPr>
              <w:t>424</w:t>
            </w:r>
          </w:p>
        </w:tc>
        <w:tc>
          <w:tcPr>
            <w:tcW w:w="1060" w:type="dxa"/>
            <w:tcBorders>
              <w:top w:val="nil"/>
              <w:left w:val="nil"/>
              <w:bottom w:val="single" w:sz="8" w:space="0" w:color="000000"/>
              <w:right w:val="single" w:sz="8" w:space="0" w:color="000000"/>
            </w:tcBorders>
            <w:shd w:val="clear" w:color="auto" w:fill="D9D9D9"/>
            <w:tcMar>
              <w:right w:w="170" w:type="dxa"/>
            </w:tcMar>
            <w:vAlign w:val="center"/>
          </w:tcPr>
          <w:p w14:paraId="000003E9" w14:textId="3DB096CC" w:rsidR="00294ABB" w:rsidRDefault="00420BFB" w:rsidP="00835B56">
            <w:pPr>
              <w:spacing w:before="60" w:after="60"/>
              <w:jc w:val="right"/>
              <w:rPr>
                <w:i/>
                <w:color w:val="000000"/>
                <w:sz w:val="18"/>
                <w:szCs w:val="18"/>
              </w:rPr>
            </w:pPr>
            <w:r>
              <w:rPr>
                <w:i/>
                <w:color w:val="000000"/>
                <w:sz w:val="18"/>
                <w:szCs w:val="18"/>
              </w:rPr>
              <w:t>-17</w:t>
            </w:r>
            <w:r w:rsidR="00FB48CE">
              <w:rPr>
                <w:i/>
                <w:color w:val="000000"/>
                <w:sz w:val="18"/>
                <w:szCs w:val="18"/>
              </w:rPr>
              <w:t xml:space="preserve"> </w:t>
            </w:r>
            <w:r>
              <w:rPr>
                <w:i/>
                <w:color w:val="000000"/>
                <w:sz w:val="18"/>
                <w:szCs w:val="18"/>
              </w:rPr>
              <w:t>570</w:t>
            </w:r>
          </w:p>
        </w:tc>
      </w:tr>
      <w:tr w:rsidR="00294ABB" w14:paraId="3F535F56" w14:textId="77777777" w:rsidTr="00835B56">
        <w:trPr>
          <w:trHeight w:val="290"/>
          <w:jc w:val="center"/>
        </w:trPr>
        <w:tc>
          <w:tcPr>
            <w:tcW w:w="5030" w:type="dxa"/>
            <w:tcBorders>
              <w:top w:val="nil"/>
              <w:left w:val="single" w:sz="8" w:space="0" w:color="000000"/>
              <w:bottom w:val="single" w:sz="4" w:space="0" w:color="000000"/>
              <w:right w:val="single" w:sz="4" w:space="0" w:color="000000"/>
            </w:tcBorders>
            <w:shd w:val="clear" w:color="auto" w:fill="auto"/>
            <w:vAlign w:val="bottom"/>
          </w:tcPr>
          <w:p w14:paraId="000003EA" w14:textId="2E17651A" w:rsidR="00294ABB" w:rsidRDefault="00420BFB" w:rsidP="00835B56">
            <w:pPr>
              <w:tabs>
                <w:tab w:val="right" w:pos="4820"/>
              </w:tabs>
              <w:spacing w:before="60" w:after="60"/>
              <w:jc w:val="left"/>
              <w:rPr>
                <w:color w:val="000000"/>
                <w:sz w:val="18"/>
                <w:szCs w:val="18"/>
              </w:rPr>
            </w:pPr>
            <w:r>
              <w:rPr>
                <w:color w:val="000000"/>
                <w:sz w:val="18"/>
                <w:szCs w:val="18"/>
              </w:rPr>
              <w:t>Telecomms, computer &amp; information services</w:t>
            </w:r>
            <w:r w:rsidR="0052401C">
              <w:rPr>
                <w:color w:val="000000"/>
                <w:sz w:val="18"/>
                <w:szCs w:val="18"/>
              </w:rPr>
              <w:tab/>
            </w:r>
            <w:r>
              <w:rPr>
                <w:color w:val="000000"/>
                <w:sz w:val="18"/>
                <w:szCs w:val="18"/>
              </w:rPr>
              <w:t>Exp</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3EB" w14:textId="2958942D" w:rsidR="00294ABB" w:rsidRDefault="00420BFB" w:rsidP="00835B56">
            <w:pPr>
              <w:spacing w:before="60" w:after="60"/>
              <w:jc w:val="right"/>
              <w:rPr>
                <w:color w:val="000000"/>
                <w:sz w:val="18"/>
                <w:szCs w:val="18"/>
              </w:rPr>
            </w:pPr>
            <w:r>
              <w:rPr>
                <w:color w:val="000000"/>
                <w:sz w:val="18"/>
                <w:szCs w:val="18"/>
              </w:rPr>
              <w:t>8</w:t>
            </w:r>
            <w:r w:rsidR="006F2ABF">
              <w:rPr>
                <w:color w:val="000000"/>
                <w:sz w:val="18"/>
                <w:szCs w:val="18"/>
              </w:rPr>
              <w:t xml:space="preserve"> </w:t>
            </w:r>
            <w:r>
              <w:rPr>
                <w:color w:val="000000"/>
                <w:sz w:val="18"/>
                <w:szCs w:val="18"/>
              </w:rPr>
              <w:t>427</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3EC" w14:textId="4F3E44FD" w:rsidR="00294ABB" w:rsidRDefault="00420BFB" w:rsidP="00835B56">
            <w:pPr>
              <w:spacing w:before="60" w:after="60"/>
              <w:jc w:val="right"/>
              <w:rPr>
                <w:color w:val="000000"/>
                <w:sz w:val="18"/>
                <w:szCs w:val="18"/>
              </w:rPr>
            </w:pPr>
            <w:r>
              <w:rPr>
                <w:color w:val="000000"/>
                <w:sz w:val="18"/>
                <w:szCs w:val="18"/>
              </w:rPr>
              <w:t>9</w:t>
            </w:r>
            <w:r w:rsidR="006F2ABF">
              <w:rPr>
                <w:color w:val="000000"/>
                <w:sz w:val="18"/>
                <w:szCs w:val="18"/>
              </w:rPr>
              <w:t xml:space="preserve"> </w:t>
            </w:r>
            <w:r>
              <w:rPr>
                <w:color w:val="000000"/>
                <w:sz w:val="18"/>
                <w:szCs w:val="18"/>
              </w:rPr>
              <w:t>997</w:t>
            </w:r>
          </w:p>
        </w:tc>
        <w:tc>
          <w:tcPr>
            <w:tcW w:w="1060" w:type="dxa"/>
            <w:tcBorders>
              <w:top w:val="nil"/>
              <w:left w:val="nil"/>
              <w:bottom w:val="single" w:sz="4" w:space="0" w:color="000000"/>
              <w:right w:val="single" w:sz="8" w:space="0" w:color="000000"/>
            </w:tcBorders>
            <w:shd w:val="clear" w:color="auto" w:fill="auto"/>
            <w:tcMar>
              <w:right w:w="170" w:type="dxa"/>
            </w:tcMar>
            <w:vAlign w:val="center"/>
          </w:tcPr>
          <w:p w14:paraId="000003ED" w14:textId="50199992" w:rsidR="00294ABB" w:rsidRDefault="00420BFB" w:rsidP="00835B56">
            <w:pPr>
              <w:spacing w:before="60" w:after="60"/>
              <w:jc w:val="right"/>
              <w:rPr>
                <w:color w:val="000000"/>
                <w:sz w:val="18"/>
                <w:szCs w:val="18"/>
              </w:rPr>
            </w:pPr>
            <w:r>
              <w:rPr>
                <w:color w:val="000000"/>
                <w:sz w:val="18"/>
                <w:szCs w:val="18"/>
              </w:rPr>
              <w:t>11</w:t>
            </w:r>
            <w:r w:rsidR="00FB48CE">
              <w:rPr>
                <w:color w:val="000000"/>
                <w:sz w:val="18"/>
                <w:szCs w:val="18"/>
              </w:rPr>
              <w:t xml:space="preserve"> </w:t>
            </w:r>
            <w:r>
              <w:rPr>
                <w:color w:val="000000"/>
                <w:sz w:val="18"/>
                <w:szCs w:val="18"/>
              </w:rPr>
              <w:t>699</w:t>
            </w:r>
          </w:p>
        </w:tc>
      </w:tr>
      <w:tr w:rsidR="00294ABB" w14:paraId="7C7D2F85" w14:textId="77777777" w:rsidTr="00835B56">
        <w:trPr>
          <w:trHeight w:val="290"/>
          <w:jc w:val="center"/>
        </w:trPr>
        <w:tc>
          <w:tcPr>
            <w:tcW w:w="5030" w:type="dxa"/>
            <w:tcBorders>
              <w:top w:val="nil"/>
              <w:left w:val="single" w:sz="8" w:space="0" w:color="000000"/>
              <w:bottom w:val="single" w:sz="4" w:space="0" w:color="000000"/>
              <w:right w:val="single" w:sz="4" w:space="0" w:color="000000"/>
            </w:tcBorders>
            <w:shd w:val="clear" w:color="auto" w:fill="auto"/>
            <w:vAlign w:val="bottom"/>
          </w:tcPr>
          <w:p w14:paraId="000003EE" w14:textId="77777777" w:rsidR="00294ABB" w:rsidRDefault="00420BFB" w:rsidP="00835B56">
            <w:pPr>
              <w:tabs>
                <w:tab w:val="right" w:pos="4820"/>
              </w:tabs>
              <w:spacing w:before="60" w:after="60"/>
              <w:jc w:val="right"/>
              <w:rPr>
                <w:color w:val="000000"/>
                <w:sz w:val="18"/>
                <w:szCs w:val="18"/>
              </w:rPr>
            </w:pPr>
            <w:r>
              <w:rPr>
                <w:color w:val="000000"/>
                <w:sz w:val="18"/>
                <w:szCs w:val="18"/>
              </w:rPr>
              <w:t>Imp</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3EF" w14:textId="22A97346" w:rsidR="00294ABB" w:rsidRDefault="00420BFB" w:rsidP="00835B56">
            <w:pPr>
              <w:spacing w:before="60" w:after="60"/>
              <w:jc w:val="right"/>
              <w:rPr>
                <w:color w:val="000000"/>
                <w:sz w:val="18"/>
                <w:szCs w:val="18"/>
              </w:rPr>
            </w:pPr>
            <w:r>
              <w:rPr>
                <w:color w:val="000000"/>
                <w:sz w:val="18"/>
                <w:szCs w:val="18"/>
              </w:rPr>
              <w:t>30</w:t>
            </w:r>
            <w:r w:rsidR="006F2ABF">
              <w:rPr>
                <w:color w:val="000000"/>
                <w:sz w:val="18"/>
                <w:szCs w:val="18"/>
              </w:rPr>
              <w:t xml:space="preserve"> </w:t>
            </w:r>
            <w:r>
              <w:rPr>
                <w:color w:val="000000"/>
                <w:sz w:val="18"/>
                <w:szCs w:val="18"/>
              </w:rPr>
              <w:t>127</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3F0" w14:textId="15A54F6D" w:rsidR="00294ABB" w:rsidRDefault="00420BFB" w:rsidP="00835B56">
            <w:pPr>
              <w:spacing w:before="60" w:after="60"/>
              <w:jc w:val="right"/>
              <w:rPr>
                <w:color w:val="000000"/>
                <w:sz w:val="18"/>
                <w:szCs w:val="18"/>
              </w:rPr>
            </w:pPr>
            <w:r>
              <w:rPr>
                <w:color w:val="000000"/>
                <w:sz w:val="18"/>
                <w:szCs w:val="18"/>
              </w:rPr>
              <w:t>36</w:t>
            </w:r>
            <w:r w:rsidR="006F2ABF">
              <w:rPr>
                <w:color w:val="000000"/>
                <w:sz w:val="18"/>
                <w:szCs w:val="18"/>
              </w:rPr>
              <w:t xml:space="preserve"> </w:t>
            </w:r>
            <w:r>
              <w:rPr>
                <w:color w:val="000000"/>
                <w:sz w:val="18"/>
                <w:szCs w:val="18"/>
              </w:rPr>
              <w:t>224</w:t>
            </w:r>
          </w:p>
        </w:tc>
        <w:tc>
          <w:tcPr>
            <w:tcW w:w="1060" w:type="dxa"/>
            <w:tcBorders>
              <w:top w:val="nil"/>
              <w:left w:val="nil"/>
              <w:bottom w:val="single" w:sz="4" w:space="0" w:color="000000"/>
              <w:right w:val="single" w:sz="8" w:space="0" w:color="000000"/>
            </w:tcBorders>
            <w:shd w:val="clear" w:color="auto" w:fill="auto"/>
            <w:tcMar>
              <w:right w:w="170" w:type="dxa"/>
            </w:tcMar>
            <w:vAlign w:val="center"/>
          </w:tcPr>
          <w:p w14:paraId="000003F1" w14:textId="6641B4DA" w:rsidR="00294ABB" w:rsidRDefault="00420BFB" w:rsidP="00835B56">
            <w:pPr>
              <w:spacing w:before="60" w:after="60"/>
              <w:jc w:val="right"/>
              <w:rPr>
                <w:color w:val="000000"/>
                <w:sz w:val="18"/>
                <w:szCs w:val="18"/>
              </w:rPr>
            </w:pPr>
            <w:r>
              <w:rPr>
                <w:color w:val="000000"/>
                <w:sz w:val="18"/>
                <w:szCs w:val="18"/>
              </w:rPr>
              <w:t>42</w:t>
            </w:r>
            <w:r w:rsidR="00FB48CE">
              <w:rPr>
                <w:color w:val="000000"/>
                <w:sz w:val="18"/>
                <w:szCs w:val="18"/>
              </w:rPr>
              <w:t xml:space="preserve"> </w:t>
            </w:r>
            <w:r>
              <w:rPr>
                <w:color w:val="000000"/>
                <w:sz w:val="18"/>
                <w:szCs w:val="18"/>
              </w:rPr>
              <w:t>557</w:t>
            </w:r>
          </w:p>
        </w:tc>
      </w:tr>
      <w:tr w:rsidR="00294ABB" w14:paraId="6994F3E1" w14:textId="77777777" w:rsidTr="00835B56">
        <w:trPr>
          <w:trHeight w:val="300"/>
          <w:jc w:val="center"/>
        </w:trPr>
        <w:tc>
          <w:tcPr>
            <w:tcW w:w="5030" w:type="dxa"/>
            <w:tcBorders>
              <w:top w:val="nil"/>
              <w:left w:val="single" w:sz="8" w:space="0" w:color="000000"/>
              <w:bottom w:val="single" w:sz="8" w:space="0" w:color="000000"/>
              <w:right w:val="single" w:sz="4" w:space="0" w:color="000000"/>
            </w:tcBorders>
            <w:shd w:val="clear" w:color="auto" w:fill="D9D9D9"/>
            <w:vAlign w:val="bottom"/>
          </w:tcPr>
          <w:p w14:paraId="000003F2" w14:textId="77777777" w:rsidR="00294ABB" w:rsidRDefault="00420BFB" w:rsidP="00835B56">
            <w:pPr>
              <w:tabs>
                <w:tab w:val="right" w:pos="4820"/>
              </w:tabs>
              <w:spacing w:before="60" w:after="60"/>
              <w:jc w:val="right"/>
              <w:rPr>
                <w:i/>
                <w:color w:val="000000"/>
                <w:sz w:val="18"/>
                <w:szCs w:val="18"/>
              </w:rPr>
            </w:pPr>
            <w:r>
              <w:rPr>
                <w:i/>
                <w:color w:val="000000"/>
                <w:sz w:val="18"/>
                <w:szCs w:val="18"/>
              </w:rPr>
              <w:t>Balance</w:t>
            </w:r>
          </w:p>
        </w:tc>
        <w:tc>
          <w:tcPr>
            <w:tcW w:w="1060" w:type="dxa"/>
            <w:tcBorders>
              <w:top w:val="nil"/>
              <w:left w:val="nil"/>
              <w:bottom w:val="single" w:sz="8" w:space="0" w:color="000000"/>
              <w:right w:val="single" w:sz="4" w:space="0" w:color="000000"/>
            </w:tcBorders>
            <w:shd w:val="clear" w:color="auto" w:fill="D9D9D9"/>
            <w:tcMar>
              <w:right w:w="170" w:type="dxa"/>
            </w:tcMar>
            <w:vAlign w:val="center"/>
          </w:tcPr>
          <w:p w14:paraId="000003F3" w14:textId="7E60FCD7" w:rsidR="00294ABB" w:rsidRDefault="00420BFB" w:rsidP="00835B56">
            <w:pPr>
              <w:spacing w:before="60" w:after="60"/>
              <w:jc w:val="right"/>
              <w:rPr>
                <w:i/>
                <w:color w:val="000000"/>
                <w:sz w:val="18"/>
                <w:szCs w:val="18"/>
              </w:rPr>
            </w:pPr>
            <w:r>
              <w:rPr>
                <w:i/>
                <w:color w:val="000000"/>
                <w:sz w:val="18"/>
                <w:szCs w:val="18"/>
              </w:rPr>
              <w:t>-21</w:t>
            </w:r>
            <w:r w:rsidR="006F2ABF">
              <w:rPr>
                <w:i/>
                <w:color w:val="000000"/>
                <w:sz w:val="18"/>
                <w:szCs w:val="18"/>
              </w:rPr>
              <w:t xml:space="preserve"> </w:t>
            </w:r>
            <w:r>
              <w:rPr>
                <w:i/>
                <w:color w:val="000000"/>
                <w:sz w:val="18"/>
                <w:szCs w:val="18"/>
              </w:rPr>
              <w:t>700</w:t>
            </w:r>
          </w:p>
        </w:tc>
        <w:tc>
          <w:tcPr>
            <w:tcW w:w="1060" w:type="dxa"/>
            <w:tcBorders>
              <w:top w:val="nil"/>
              <w:left w:val="nil"/>
              <w:bottom w:val="single" w:sz="8" w:space="0" w:color="000000"/>
              <w:right w:val="single" w:sz="4" w:space="0" w:color="000000"/>
            </w:tcBorders>
            <w:shd w:val="clear" w:color="auto" w:fill="D9D9D9"/>
            <w:tcMar>
              <w:right w:w="170" w:type="dxa"/>
            </w:tcMar>
            <w:vAlign w:val="center"/>
          </w:tcPr>
          <w:p w14:paraId="000003F4" w14:textId="52067A03" w:rsidR="00294ABB" w:rsidRDefault="00420BFB" w:rsidP="00835B56">
            <w:pPr>
              <w:spacing w:before="60" w:after="60"/>
              <w:jc w:val="right"/>
              <w:rPr>
                <w:i/>
                <w:color w:val="000000"/>
                <w:sz w:val="18"/>
                <w:szCs w:val="18"/>
              </w:rPr>
            </w:pPr>
            <w:r>
              <w:rPr>
                <w:i/>
                <w:color w:val="000000"/>
                <w:sz w:val="18"/>
                <w:szCs w:val="18"/>
              </w:rPr>
              <w:t>-26</w:t>
            </w:r>
            <w:r w:rsidR="006F2ABF">
              <w:rPr>
                <w:i/>
                <w:color w:val="000000"/>
                <w:sz w:val="18"/>
                <w:szCs w:val="18"/>
              </w:rPr>
              <w:t xml:space="preserve"> </w:t>
            </w:r>
            <w:r>
              <w:rPr>
                <w:i/>
                <w:color w:val="000000"/>
                <w:sz w:val="18"/>
                <w:szCs w:val="18"/>
              </w:rPr>
              <w:t>227</w:t>
            </w:r>
          </w:p>
        </w:tc>
        <w:tc>
          <w:tcPr>
            <w:tcW w:w="1060" w:type="dxa"/>
            <w:tcBorders>
              <w:top w:val="nil"/>
              <w:left w:val="nil"/>
              <w:bottom w:val="single" w:sz="8" w:space="0" w:color="000000"/>
              <w:right w:val="single" w:sz="8" w:space="0" w:color="000000"/>
            </w:tcBorders>
            <w:shd w:val="clear" w:color="auto" w:fill="D9D9D9"/>
            <w:tcMar>
              <w:right w:w="170" w:type="dxa"/>
            </w:tcMar>
            <w:vAlign w:val="center"/>
          </w:tcPr>
          <w:p w14:paraId="000003F5" w14:textId="3E758CDE" w:rsidR="00294ABB" w:rsidRDefault="00420BFB" w:rsidP="00835B56">
            <w:pPr>
              <w:spacing w:before="60" w:after="60"/>
              <w:jc w:val="right"/>
              <w:rPr>
                <w:i/>
                <w:color w:val="000000"/>
                <w:sz w:val="18"/>
                <w:szCs w:val="18"/>
              </w:rPr>
            </w:pPr>
            <w:r>
              <w:rPr>
                <w:i/>
                <w:color w:val="000000"/>
                <w:sz w:val="18"/>
                <w:szCs w:val="18"/>
              </w:rPr>
              <w:t>-30</w:t>
            </w:r>
            <w:r w:rsidR="00FB48CE">
              <w:rPr>
                <w:i/>
                <w:color w:val="000000"/>
                <w:sz w:val="18"/>
                <w:szCs w:val="18"/>
              </w:rPr>
              <w:t xml:space="preserve"> </w:t>
            </w:r>
            <w:r>
              <w:rPr>
                <w:i/>
                <w:color w:val="000000"/>
                <w:sz w:val="18"/>
                <w:szCs w:val="18"/>
              </w:rPr>
              <w:t>858</w:t>
            </w:r>
          </w:p>
        </w:tc>
      </w:tr>
      <w:tr w:rsidR="00294ABB" w14:paraId="125CF49B" w14:textId="77777777" w:rsidTr="00835B56">
        <w:trPr>
          <w:trHeight w:val="290"/>
          <w:jc w:val="center"/>
        </w:trPr>
        <w:tc>
          <w:tcPr>
            <w:tcW w:w="5030" w:type="dxa"/>
            <w:tcBorders>
              <w:top w:val="nil"/>
              <w:left w:val="single" w:sz="8" w:space="0" w:color="000000"/>
              <w:bottom w:val="single" w:sz="4" w:space="0" w:color="000000"/>
              <w:right w:val="single" w:sz="4" w:space="0" w:color="000000"/>
            </w:tcBorders>
            <w:shd w:val="clear" w:color="auto" w:fill="auto"/>
            <w:vAlign w:val="bottom"/>
          </w:tcPr>
          <w:p w14:paraId="000003F6" w14:textId="528E5576" w:rsidR="00294ABB" w:rsidRDefault="00420BFB" w:rsidP="00835B56">
            <w:pPr>
              <w:tabs>
                <w:tab w:val="right" w:pos="4820"/>
              </w:tabs>
              <w:spacing w:before="60" w:after="60"/>
              <w:jc w:val="left"/>
              <w:rPr>
                <w:color w:val="000000"/>
                <w:sz w:val="18"/>
                <w:szCs w:val="18"/>
              </w:rPr>
            </w:pPr>
            <w:r>
              <w:rPr>
                <w:color w:val="000000"/>
                <w:sz w:val="18"/>
                <w:szCs w:val="18"/>
              </w:rPr>
              <w:t>Advertising &amp; market research services</w:t>
            </w:r>
            <w:r w:rsidR="0052401C">
              <w:rPr>
                <w:color w:val="000000"/>
                <w:sz w:val="18"/>
                <w:szCs w:val="18"/>
              </w:rPr>
              <w:tab/>
            </w:r>
            <w:r>
              <w:rPr>
                <w:color w:val="000000"/>
                <w:sz w:val="18"/>
                <w:szCs w:val="18"/>
              </w:rPr>
              <w:t>Exp</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3F7" w14:textId="5B3B4732" w:rsidR="00294ABB" w:rsidRDefault="00420BFB" w:rsidP="00835B56">
            <w:pPr>
              <w:spacing w:before="60" w:after="60"/>
              <w:jc w:val="right"/>
              <w:rPr>
                <w:color w:val="000000"/>
                <w:sz w:val="18"/>
                <w:szCs w:val="18"/>
              </w:rPr>
            </w:pPr>
            <w:r>
              <w:rPr>
                <w:color w:val="000000"/>
                <w:sz w:val="18"/>
                <w:szCs w:val="18"/>
              </w:rPr>
              <w:t>3</w:t>
            </w:r>
            <w:r w:rsidR="006F2ABF">
              <w:rPr>
                <w:color w:val="000000"/>
                <w:sz w:val="18"/>
                <w:szCs w:val="18"/>
              </w:rPr>
              <w:t xml:space="preserve"> </w:t>
            </w:r>
            <w:r>
              <w:rPr>
                <w:color w:val="000000"/>
                <w:sz w:val="18"/>
                <w:szCs w:val="18"/>
              </w:rPr>
              <w:t>337</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3F8" w14:textId="356B8319" w:rsidR="00294ABB" w:rsidRDefault="00420BFB" w:rsidP="00835B56">
            <w:pPr>
              <w:spacing w:before="60" w:after="60"/>
              <w:jc w:val="right"/>
              <w:rPr>
                <w:color w:val="000000"/>
                <w:sz w:val="18"/>
                <w:szCs w:val="18"/>
              </w:rPr>
            </w:pPr>
            <w:r>
              <w:rPr>
                <w:color w:val="000000"/>
                <w:sz w:val="18"/>
                <w:szCs w:val="18"/>
              </w:rPr>
              <w:t>3</w:t>
            </w:r>
            <w:r w:rsidR="006F2ABF">
              <w:rPr>
                <w:color w:val="000000"/>
                <w:sz w:val="18"/>
                <w:szCs w:val="18"/>
              </w:rPr>
              <w:t xml:space="preserve"> </w:t>
            </w:r>
            <w:r>
              <w:rPr>
                <w:color w:val="000000"/>
                <w:sz w:val="18"/>
                <w:szCs w:val="18"/>
              </w:rPr>
              <w:t>528</w:t>
            </w:r>
          </w:p>
        </w:tc>
        <w:tc>
          <w:tcPr>
            <w:tcW w:w="1060" w:type="dxa"/>
            <w:tcBorders>
              <w:top w:val="nil"/>
              <w:left w:val="nil"/>
              <w:bottom w:val="single" w:sz="4" w:space="0" w:color="000000"/>
              <w:right w:val="single" w:sz="8" w:space="0" w:color="000000"/>
            </w:tcBorders>
            <w:shd w:val="clear" w:color="auto" w:fill="auto"/>
            <w:tcMar>
              <w:right w:w="170" w:type="dxa"/>
            </w:tcMar>
            <w:vAlign w:val="center"/>
          </w:tcPr>
          <w:p w14:paraId="000003F9" w14:textId="29356D3A" w:rsidR="00294ABB" w:rsidRDefault="00420BFB" w:rsidP="00835B56">
            <w:pPr>
              <w:spacing w:before="60" w:after="60"/>
              <w:jc w:val="right"/>
              <w:rPr>
                <w:color w:val="000000"/>
                <w:sz w:val="18"/>
                <w:szCs w:val="18"/>
              </w:rPr>
            </w:pPr>
            <w:r>
              <w:rPr>
                <w:color w:val="000000"/>
                <w:sz w:val="18"/>
                <w:szCs w:val="18"/>
              </w:rPr>
              <w:t>3</w:t>
            </w:r>
            <w:r w:rsidR="00FB48CE">
              <w:rPr>
                <w:color w:val="000000"/>
                <w:sz w:val="18"/>
                <w:szCs w:val="18"/>
              </w:rPr>
              <w:t xml:space="preserve"> </w:t>
            </w:r>
            <w:r>
              <w:rPr>
                <w:color w:val="000000"/>
                <w:sz w:val="18"/>
                <w:szCs w:val="18"/>
              </w:rPr>
              <w:t>061</w:t>
            </w:r>
          </w:p>
        </w:tc>
      </w:tr>
      <w:tr w:rsidR="00294ABB" w14:paraId="13208713" w14:textId="77777777" w:rsidTr="00835B56">
        <w:trPr>
          <w:trHeight w:val="290"/>
          <w:jc w:val="center"/>
        </w:trPr>
        <w:tc>
          <w:tcPr>
            <w:tcW w:w="5030" w:type="dxa"/>
            <w:tcBorders>
              <w:top w:val="nil"/>
              <w:left w:val="single" w:sz="8" w:space="0" w:color="000000"/>
              <w:bottom w:val="single" w:sz="4" w:space="0" w:color="000000"/>
              <w:right w:val="single" w:sz="4" w:space="0" w:color="000000"/>
            </w:tcBorders>
            <w:shd w:val="clear" w:color="auto" w:fill="auto"/>
            <w:vAlign w:val="bottom"/>
          </w:tcPr>
          <w:p w14:paraId="000003FA" w14:textId="77777777" w:rsidR="00294ABB" w:rsidRDefault="00420BFB" w:rsidP="00835B56">
            <w:pPr>
              <w:tabs>
                <w:tab w:val="right" w:pos="4820"/>
              </w:tabs>
              <w:spacing w:before="60" w:after="60"/>
              <w:jc w:val="right"/>
              <w:rPr>
                <w:color w:val="000000"/>
                <w:sz w:val="18"/>
                <w:szCs w:val="18"/>
              </w:rPr>
            </w:pPr>
            <w:r>
              <w:rPr>
                <w:color w:val="000000"/>
                <w:sz w:val="18"/>
                <w:szCs w:val="18"/>
              </w:rPr>
              <w:t>Imp</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3FB" w14:textId="1CC2C145" w:rsidR="00294ABB" w:rsidRDefault="00420BFB" w:rsidP="00835B56">
            <w:pPr>
              <w:spacing w:before="60" w:after="60"/>
              <w:jc w:val="right"/>
              <w:rPr>
                <w:color w:val="000000"/>
                <w:sz w:val="18"/>
                <w:szCs w:val="18"/>
              </w:rPr>
            </w:pPr>
            <w:r>
              <w:rPr>
                <w:color w:val="000000"/>
                <w:sz w:val="18"/>
                <w:szCs w:val="18"/>
              </w:rPr>
              <w:t>3</w:t>
            </w:r>
            <w:r w:rsidR="006F2ABF">
              <w:rPr>
                <w:color w:val="000000"/>
                <w:sz w:val="18"/>
                <w:szCs w:val="18"/>
              </w:rPr>
              <w:t xml:space="preserve"> </w:t>
            </w:r>
            <w:r>
              <w:rPr>
                <w:color w:val="000000"/>
                <w:sz w:val="18"/>
                <w:szCs w:val="18"/>
              </w:rPr>
              <w:t>842</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3FC" w14:textId="5F9234D9" w:rsidR="00294ABB" w:rsidRDefault="00420BFB" w:rsidP="00835B56">
            <w:pPr>
              <w:spacing w:before="60" w:after="60"/>
              <w:jc w:val="right"/>
              <w:rPr>
                <w:color w:val="000000"/>
                <w:sz w:val="18"/>
                <w:szCs w:val="18"/>
              </w:rPr>
            </w:pPr>
            <w:r>
              <w:rPr>
                <w:color w:val="000000"/>
                <w:sz w:val="18"/>
                <w:szCs w:val="18"/>
              </w:rPr>
              <w:t>4</w:t>
            </w:r>
            <w:r w:rsidR="006F2ABF">
              <w:rPr>
                <w:color w:val="000000"/>
                <w:sz w:val="18"/>
                <w:szCs w:val="18"/>
              </w:rPr>
              <w:t xml:space="preserve"> </w:t>
            </w:r>
            <w:r>
              <w:rPr>
                <w:color w:val="000000"/>
                <w:sz w:val="18"/>
                <w:szCs w:val="18"/>
              </w:rPr>
              <w:t>212</w:t>
            </w:r>
          </w:p>
        </w:tc>
        <w:tc>
          <w:tcPr>
            <w:tcW w:w="1060" w:type="dxa"/>
            <w:tcBorders>
              <w:top w:val="nil"/>
              <w:left w:val="nil"/>
              <w:bottom w:val="single" w:sz="4" w:space="0" w:color="000000"/>
              <w:right w:val="single" w:sz="8" w:space="0" w:color="000000"/>
            </w:tcBorders>
            <w:shd w:val="clear" w:color="auto" w:fill="auto"/>
            <w:tcMar>
              <w:right w:w="170" w:type="dxa"/>
            </w:tcMar>
            <w:vAlign w:val="center"/>
          </w:tcPr>
          <w:p w14:paraId="000003FD" w14:textId="720E4A38" w:rsidR="00294ABB" w:rsidRDefault="00420BFB" w:rsidP="00835B56">
            <w:pPr>
              <w:spacing w:before="60" w:after="60"/>
              <w:jc w:val="right"/>
              <w:rPr>
                <w:color w:val="000000"/>
                <w:sz w:val="18"/>
                <w:szCs w:val="18"/>
              </w:rPr>
            </w:pPr>
            <w:r>
              <w:rPr>
                <w:color w:val="000000"/>
                <w:sz w:val="18"/>
                <w:szCs w:val="18"/>
              </w:rPr>
              <w:t>4</w:t>
            </w:r>
            <w:r w:rsidR="00FB48CE">
              <w:rPr>
                <w:color w:val="000000"/>
                <w:sz w:val="18"/>
                <w:szCs w:val="18"/>
              </w:rPr>
              <w:t xml:space="preserve"> </w:t>
            </w:r>
            <w:r>
              <w:rPr>
                <w:color w:val="000000"/>
                <w:sz w:val="18"/>
                <w:szCs w:val="18"/>
              </w:rPr>
              <w:t>171</w:t>
            </w:r>
          </w:p>
        </w:tc>
      </w:tr>
      <w:tr w:rsidR="00294ABB" w14:paraId="61EA902F" w14:textId="77777777" w:rsidTr="00835B56">
        <w:trPr>
          <w:trHeight w:val="300"/>
          <w:jc w:val="center"/>
        </w:trPr>
        <w:tc>
          <w:tcPr>
            <w:tcW w:w="5030" w:type="dxa"/>
            <w:tcBorders>
              <w:top w:val="nil"/>
              <w:left w:val="single" w:sz="8" w:space="0" w:color="000000"/>
              <w:bottom w:val="single" w:sz="8" w:space="0" w:color="000000"/>
              <w:right w:val="single" w:sz="4" w:space="0" w:color="000000"/>
            </w:tcBorders>
            <w:shd w:val="clear" w:color="auto" w:fill="D9D9D9"/>
            <w:vAlign w:val="bottom"/>
          </w:tcPr>
          <w:p w14:paraId="000003FE" w14:textId="77777777" w:rsidR="00294ABB" w:rsidRDefault="00420BFB" w:rsidP="00835B56">
            <w:pPr>
              <w:tabs>
                <w:tab w:val="right" w:pos="4820"/>
              </w:tabs>
              <w:spacing w:before="60" w:after="60"/>
              <w:jc w:val="right"/>
              <w:rPr>
                <w:i/>
                <w:color w:val="000000"/>
                <w:sz w:val="18"/>
                <w:szCs w:val="18"/>
              </w:rPr>
            </w:pPr>
            <w:r>
              <w:rPr>
                <w:i/>
                <w:color w:val="000000"/>
                <w:sz w:val="18"/>
                <w:szCs w:val="18"/>
              </w:rPr>
              <w:t>Balance</w:t>
            </w:r>
          </w:p>
        </w:tc>
        <w:tc>
          <w:tcPr>
            <w:tcW w:w="1060" w:type="dxa"/>
            <w:tcBorders>
              <w:top w:val="nil"/>
              <w:left w:val="nil"/>
              <w:bottom w:val="single" w:sz="8" w:space="0" w:color="000000"/>
              <w:right w:val="single" w:sz="4" w:space="0" w:color="000000"/>
            </w:tcBorders>
            <w:shd w:val="clear" w:color="auto" w:fill="D9D9D9"/>
            <w:tcMar>
              <w:right w:w="170" w:type="dxa"/>
            </w:tcMar>
            <w:vAlign w:val="center"/>
          </w:tcPr>
          <w:p w14:paraId="000003FF" w14:textId="77777777" w:rsidR="00294ABB" w:rsidRDefault="00420BFB" w:rsidP="00835B56">
            <w:pPr>
              <w:spacing w:before="60" w:after="60"/>
              <w:jc w:val="right"/>
              <w:rPr>
                <w:i/>
                <w:color w:val="000000"/>
                <w:sz w:val="18"/>
                <w:szCs w:val="18"/>
              </w:rPr>
            </w:pPr>
            <w:r>
              <w:rPr>
                <w:i/>
                <w:color w:val="000000"/>
                <w:sz w:val="18"/>
                <w:szCs w:val="18"/>
              </w:rPr>
              <w:t>-505</w:t>
            </w:r>
          </w:p>
        </w:tc>
        <w:tc>
          <w:tcPr>
            <w:tcW w:w="1060" w:type="dxa"/>
            <w:tcBorders>
              <w:top w:val="nil"/>
              <w:left w:val="nil"/>
              <w:bottom w:val="single" w:sz="8" w:space="0" w:color="000000"/>
              <w:right w:val="single" w:sz="4" w:space="0" w:color="000000"/>
            </w:tcBorders>
            <w:shd w:val="clear" w:color="auto" w:fill="D9D9D9"/>
            <w:tcMar>
              <w:right w:w="170" w:type="dxa"/>
            </w:tcMar>
            <w:vAlign w:val="center"/>
          </w:tcPr>
          <w:p w14:paraId="00000400" w14:textId="77777777" w:rsidR="00294ABB" w:rsidRDefault="00420BFB" w:rsidP="00835B56">
            <w:pPr>
              <w:spacing w:before="60" w:after="60"/>
              <w:jc w:val="right"/>
              <w:rPr>
                <w:i/>
                <w:color w:val="000000"/>
                <w:sz w:val="18"/>
                <w:szCs w:val="18"/>
              </w:rPr>
            </w:pPr>
            <w:r>
              <w:rPr>
                <w:i/>
                <w:color w:val="000000"/>
                <w:sz w:val="18"/>
                <w:szCs w:val="18"/>
              </w:rPr>
              <w:t>-684</w:t>
            </w:r>
          </w:p>
        </w:tc>
        <w:tc>
          <w:tcPr>
            <w:tcW w:w="1060" w:type="dxa"/>
            <w:tcBorders>
              <w:top w:val="nil"/>
              <w:left w:val="nil"/>
              <w:bottom w:val="single" w:sz="8" w:space="0" w:color="000000"/>
              <w:right w:val="single" w:sz="8" w:space="0" w:color="000000"/>
            </w:tcBorders>
            <w:shd w:val="clear" w:color="auto" w:fill="D9D9D9"/>
            <w:tcMar>
              <w:right w:w="170" w:type="dxa"/>
            </w:tcMar>
            <w:vAlign w:val="center"/>
          </w:tcPr>
          <w:p w14:paraId="00000401" w14:textId="024CE4D2" w:rsidR="00294ABB" w:rsidRDefault="00420BFB" w:rsidP="00835B56">
            <w:pPr>
              <w:spacing w:before="60" w:after="60"/>
              <w:jc w:val="right"/>
              <w:rPr>
                <w:i/>
                <w:color w:val="000000"/>
                <w:sz w:val="18"/>
                <w:szCs w:val="18"/>
              </w:rPr>
            </w:pPr>
            <w:r>
              <w:rPr>
                <w:i/>
                <w:color w:val="000000"/>
                <w:sz w:val="18"/>
                <w:szCs w:val="18"/>
              </w:rPr>
              <w:t>-1</w:t>
            </w:r>
            <w:r w:rsidR="00FB48CE">
              <w:rPr>
                <w:i/>
                <w:color w:val="000000"/>
                <w:sz w:val="18"/>
                <w:szCs w:val="18"/>
              </w:rPr>
              <w:t xml:space="preserve"> </w:t>
            </w:r>
            <w:r>
              <w:rPr>
                <w:i/>
                <w:color w:val="000000"/>
                <w:sz w:val="18"/>
                <w:szCs w:val="18"/>
              </w:rPr>
              <w:t>110</w:t>
            </w:r>
          </w:p>
        </w:tc>
      </w:tr>
      <w:tr w:rsidR="00294ABB" w14:paraId="7EAA4252" w14:textId="77777777" w:rsidTr="00835B56">
        <w:trPr>
          <w:trHeight w:val="290"/>
          <w:jc w:val="center"/>
        </w:trPr>
        <w:tc>
          <w:tcPr>
            <w:tcW w:w="5030" w:type="dxa"/>
            <w:tcBorders>
              <w:top w:val="nil"/>
              <w:left w:val="single" w:sz="8" w:space="0" w:color="000000"/>
              <w:bottom w:val="single" w:sz="4" w:space="0" w:color="000000"/>
              <w:right w:val="single" w:sz="4" w:space="0" w:color="000000"/>
            </w:tcBorders>
            <w:shd w:val="clear" w:color="auto" w:fill="auto"/>
            <w:vAlign w:val="bottom"/>
          </w:tcPr>
          <w:p w14:paraId="00000402" w14:textId="3971607E" w:rsidR="00294ABB" w:rsidRDefault="00420BFB" w:rsidP="00835B56">
            <w:pPr>
              <w:tabs>
                <w:tab w:val="right" w:pos="4820"/>
              </w:tabs>
              <w:spacing w:before="60" w:after="60"/>
              <w:jc w:val="left"/>
              <w:rPr>
                <w:color w:val="000000"/>
                <w:sz w:val="18"/>
                <w:szCs w:val="18"/>
              </w:rPr>
            </w:pPr>
            <w:r>
              <w:rPr>
                <w:color w:val="000000"/>
                <w:sz w:val="18"/>
                <w:szCs w:val="18"/>
              </w:rPr>
              <w:t xml:space="preserve">Architectural, engineering &amp; other technical </w:t>
            </w:r>
            <w:r w:rsidR="0052401C">
              <w:rPr>
                <w:color w:val="000000"/>
                <w:sz w:val="18"/>
                <w:szCs w:val="18"/>
              </w:rPr>
              <w:t>services</w:t>
            </w:r>
            <w:r w:rsidR="0052401C">
              <w:rPr>
                <w:color w:val="000000"/>
                <w:sz w:val="18"/>
                <w:szCs w:val="18"/>
              </w:rPr>
              <w:tab/>
            </w:r>
            <w:r>
              <w:rPr>
                <w:color w:val="000000"/>
                <w:sz w:val="18"/>
                <w:szCs w:val="18"/>
              </w:rPr>
              <w:t>Exp</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403" w14:textId="6F5FA234" w:rsidR="00294ABB" w:rsidRDefault="00420BFB" w:rsidP="00835B56">
            <w:pPr>
              <w:spacing w:before="60" w:after="60"/>
              <w:jc w:val="right"/>
              <w:rPr>
                <w:sz w:val="18"/>
                <w:szCs w:val="18"/>
              </w:rPr>
            </w:pPr>
            <w:r>
              <w:rPr>
                <w:sz w:val="18"/>
                <w:szCs w:val="18"/>
              </w:rPr>
              <w:t>9</w:t>
            </w:r>
            <w:r w:rsidR="006F2ABF">
              <w:rPr>
                <w:sz w:val="18"/>
                <w:szCs w:val="18"/>
              </w:rPr>
              <w:t xml:space="preserve"> </w:t>
            </w:r>
            <w:r>
              <w:rPr>
                <w:sz w:val="18"/>
                <w:szCs w:val="18"/>
              </w:rPr>
              <w:t>592</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404" w14:textId="54D6A2D6" w:rsidR="00294ABB" w:rsidRDefault="00420BFB" w:rsidP="00835B56">
            <w:pPr>
              <w:spacing w:before="60" w:after="60"/>
              <w:jc w:val="right"/>
              <w:rPr>
                <w:sz w:val="18"/>
                <w:szCs w:val="18"/>
              </w:rPr>
            </w:pPr>
            <w:r>
              <w:rPr>
                <w:sz w:val="18"/>
                <w:szCs w:val="18"/>
              </w:rPr>
              <w:t>6</w:t>
            </w:r>
            <w:r w:rsidR="006F2ABF">
              <w:rPr>
                <w:sz w:val="18"/>
                <w:szCs w:val="18"/>
              </w:rPr>
              <w:t xml:space="preserve"> </w:t>
            </w:r>
            <w:r>
              <w:rPr>
                <w:sz w:val="18"/>
                <w:szCs w:val="18"/>
              </w:rPr>
              <w:t>682</w:t>
            </w:r>
          </w:p>
        </w:tc>
        <w:tc>
          <w:tcPr>
            <w:tcW w:w="1060" w:type="dxa"/>
            <w:tcBorders>
              <w:top w:val="nil"/>
              <w:left w:val="nil"/>
              <w:bottom w:val="single" w:sz="4" w:space="0" w:color="000000"/>
              <w:right w:val="single" w:sz="8" w:space="0" w:color="000000"/>
            </w:tcBorders>
            <w:shd w:val="clear" w:color="auto" w:fill="auto"/>
            <w:tcMar>
              <w:right w:w="170" w:type="dxa"/>
            </w:tcMar>
            <w:vAlign w:val="center"/>
          </w:tcPr>
          <w:p w14:paraId="00000405" w14:textId="1C7035F6" w:rsidR="00294ABB" w:rsidRDefault="00420BFB" w:rsidP="00835B56">
            <w:pPr>
              <w:spacing w:before="60" w:after="60"/>
              <w:jc w:val="right"/>
              <w:rPr>
                <w:sz w:val="18"/>
                <w:szCs w:val="18"/>
              </w:rPr>
            </w:pPr>
            <w:r>
              <w:rPr>
                <w:sz w:val="18"/>
                <w:szCs w:val="18"/>
              </w:rPr>
              <w:t>7</w:t>
            </w:r>
            <w:r w:rsidR="00FB48CE">
              <w:rPr>
                <w:sz w:val="18"/>
                <w:szCs w:val="18"/>
              </w:rPr>
              <w:t xml:space="preserve"> </w:t>
            </w:r>
            <w:r>
              <w:rPr>
                <w:sz w:val="18"/>
                <w:szCs w:val="18"/>
              </w:rPr>
              <w:t>627</w:t>
            </w:r>
          </w:p>
        </w:tc>
      </w:tr>
      <w:tr w:rsidR="00294ABB" w14:paraId="64BF4F87" w14:textId="77777777" w:rsidTr="00835B56">
        <w:trPr>
          <w:trHeight w:val="290"/>
          <w:jc w:val="center"/>
        </w:trPr>
        <w:tc>
          <w:tcPr>
            <w:tcW w:w="5030" w:type="dxa"/>
            <w:tcBorders>
              <w:top w:val="nil"/>
              <w:left w:val="single" w:sz="8" w:space="0" w:color="000000"/>
              <w:bottom w:val="single" w:sz="4" w:space="0" w:color="000000"/>
              <w:right w:val="single" w:sz="4" w:space="0" w:color="000000"/>
            </w:tcBorders>
            <w:shd w:val="clear" w:color="auto" w:fill="auto"/>
            <w:vAlign w:val="bottom"/>
          </w:tcPr>
          <w:p w14:paraId="00000406" w14:textId="77777777" w:rsidR="00294ABB" w:rsidRDefault="00420BFB" w:rsidP="00835B56">
            <w:pPr>
              <w:tabs>
                <w:tab w:val="right" w:pos="4820"/>
              </w:tabs>
              <w:spacing w:before="60" w:after="60"/>
              <w:jc w:val="right"/>
              <w:rPr>
                <w:color w:val="000000"/>
                <w:sz w:val="18"/>
                <w:szCs w:val="18"/>
              </w:rPr>
            </w:pPr>
            <w:r>
              <w:rPr>
                <w:color w:val="000000"/>
                <w:sz w:val="18"/>
                <w:szCs w:val="18"/>
              </w:rPr>
              <w:t>Imp</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407" w14:textId="18C4EC4D" w:rsidR="00294ABB" w:rsidRDefault="00420BFB" w:rsidP="00835B56">
            <w:pPr>
              <w:spacing w:before="60" w:after="60"/>
              <w:jc w:val="right"/>
              <w:rPr>
                <w:color w:val="000000"/>
                <w:sz w:val="18"/>
                <w:szCs w:val="18"/>
              </w:rPr>
            </w:pPr>
            <w:r>
              <w:rPr>
                <w:color w:val="000000"/>
                <w:sz w:val="18"/>
                <w:szCs w:val="18"/>
              </w:rPr>
              <w:t>11</w:t>
            </w:r>
            <w:r w:rsidR="006F2ABF">
              <w:rPr>
                <w:color w:val="000000"/>
                <w:sz w:val="18"/>
                <w:szCs w:val="18"/>
              </w:rPr>
              <w:t xml:space="preserve"> </w:t>
            </w:r>
            <w:r>
              <w:rPr>
                <w:color w:val="000000"/>
                <w:sz w:val="18"/>
                <w:szCs w:val="18"/>
              </w:rPr>
              <w:t>347</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408" w14:textId="20C55FA4" w:rsidR="00294ABB" w:rsidRDefault="00420BFB" w:rsidP="00835B56">
            <w:pPr>
              <w:spacing w:before="60" w:after="60"/>
              <w:jc w:val="right"/>
              <w:rPr>
                <w:color w:val="000000"/>
                <w:sz w:val="18"/>
                <w:szCs w:val="18"/>
              </w:rPr>
            </w:pPr>
            <w:r>
              <w:rPr>
                <w:color w:val="000000"/>
                <w:sz w:val="18"/>
                <w:szCs w:val="18"/>
              </w:rPr>
              <w:t>13</w:t>
            </w:r>
            <w:r w:rsidR="006F2ABF">
              <w:rPr>
                <w:color w:val="000000"/>
                <w:sz w:val="18"/>
                <w:szCs w:val="18"/>
              </w:rPr>
              <w:t xml:space="preserve"> </w:t>
            </w:r>
            <w:r>
              <w:rPr>
                <w:color w:val="000000"/>
                <w:sz w:val="18"/>
                <w:szCs w:val="18"/>
              </w:rPr>
              <w:t>585</w:t>
            </w:r>
          </w:p>
        </w:tc>
        <w:tc>
          <w:tcPr>
            <w:tcW w:w="1060" w:type="dxa"/>
            <w:tcBorders>
              <w:top w:val="nil"/>
              <w:left w:val="nil"/>
              <w:bottom w:val="single" w:sz="4" w:space="0" w:color="000000"/>
              <w:right w:val="single" w:sz="8" w:space="0" w:color="000000"/>
            </w:tcBorders>
            <w:shd w:val="clear" w:color="auto" w:fill="auto"/>
            <w:tcMar>
              <w:right w:w="170" w:type="dxa"/>
            </w:tcMar>
            <w:vAlign w:val="center"/>
          </w:tcPr>
          <w:p w14:paraId="00000409" w14:textId="1BCE1C1F" w:rsidR="00294ABB" w:rsidRDefault="00420BFB" w:rsidP="00835B56">
            <w:pPr>
              <w:spacing w:before="60" w:after="60"/>
              <w:jc w:val="right"/>
              <w:rPr>
                <w:color w:val="000000"/>
                <w:sz w:val="18"/>
                <w:szCs w:val="18"/>
              </w:rPr>
            </w:pPr>
            <w:r>
              <w:rPr>
                <w:color w:val="000000"/>
                <w:sz w:val="18"/>
                <w:szCs w:val="18"/>
              </w:rPr>
              <w:t>11</w:t>
            </w:r>
            <w:r w:rsidR="00FB48CE">
              <w:rPr>
                <w:color w:val="000000"/>
                <w:sz w:val="18"/>
                <w:szCs w:val="18"/>
              </w:rPr>
              <w:t xml:space="preserve"> </w:t>
            </w:r>
            <w:r>
              <w:rPr>
                <w:color w:val="000000"/>
                <w:sz w:val="18"/>
                <w:szCs w:val="18"/>
              </w:rPr>
              <w:t>302</w:t>
            </w:r>
          </w:p>
        </w:tc>
      </w:tr>
      <w:tr w:rsidR="00294ABB" w14:paraId="1A5AE51B" w14:textId="77777777" w:rsidTr="00835B56">
        <w:trPr>
          <w:trHeight w:val="300"/>
          <w:jc w:val="center"/>
        </w:trPr>
        <w:tc>
          <w:tcPr>
            <w:tcW w:w="5030" w:type="dxa"/>
            <w:tcBorders>
              <w:top w:val="nil"/>
              <w:left w:val="single" w:sz="8" w:space="0" w:color="000000"/>
              <w:bottom w:val="single" w:sz="8" w:space="0" w:color="000000"/>
              <w:right w:val="single" w:sz="4" w:space="0" w:color="000000"/>
            </w:tcBorders>
            <w:shd w:val="clear" w:color="auto" w:fill="D9D9D9"/>
            <w:vAlign w:val="bottom"/>
          </w:tcPr>
          <w:p w14:paraId="0000040A" w14:textId="77777777" w:rsidR="00294ABB" w:rsidRDefault="00420BFB" w:rsidP="00835B56">
            <w:pPr>
              <w:tabs>
                <w:tab w:val="right" w:pos="4820"/>
              </w:tabs>
              <w:spacing w:before="60" w:after="60"/>
              <w:jc w:val="right"/>
              <w:rPr>
                <w:i/>
                <w:color w:val="000000"/>
                <w:sz w:val="18"/>
                <w:szCs w:val="18"/>
              </w:rPr>
            </w:pPr>
            <w:r>
              <w:rPr>
                <w:i/>
                <w:color w:val="000000"/>
                <w:sz w:val="18"/>
                <w:szCs w:val="18"/>
              </w:rPr>
              <w:t>Balance</w:t>
            </w:r>
          </w:p>
        </w:tc>
        <w:tc>
          <w:tcPr>
            <w:tcW w:w="1060" w:type="dxa"/>
            <w:tcBorders>
              <w:top w:val="nil"/>
              <w:left w:val="nil"/>
              <w:bottom w:val="single" w:sz="8" w:space="0" w:color="000000"/>
              <w:right w:val="single" w:sz="4" w:space="0" w:color="000000"/>
            </w:tcBorders>
            <w:shd w:val="clear" w:color="auto" w:fill="D9D9D9"/>
            <w:tcMar>
              <w:right w:w="170" w:type="dxa"/>
            </w:tcMar>
            <w:vAlign w:val="center"/>
          </w:tcPr>
          <w:p w14:paraId="0000040B" w14:textId="2211FCDD" w:rsidR="00294ABB" w:rsidRDefault="00420BFB" w:rsidP="00835B56">
            <w:pPr>
              <w:spacing w:before="60" w:after="60"/>
              <w:jc w:val="right"/>
              <w:rPr>
                <w:i/>
                <w:color w:val="000000"/>
                <w:sz w:val="18"/>
                <w:szCs w:val="18"/>
              </w:rPr>
            </w:pPr>
            <w:r>
              <w:rPr>
                <w:i/>
                <w:color w:val="000000"/>
                <w:sz w:val="18"/>
                <w:szCs w:val="18"/>
              </w:rPr>
              <w:t>-1</w:t>
            </w:r>
            <w:r w:rsidR="006F2ABF">
              <w:rPr>
                <w:i/>
                <w:color w:val="000000"/>
                <w:sz w:val="18"/>
                <w:szCs w:val="18"/>
              </w:rPr>
              <w:t xml:space="preserve"> </w:t>
            </w:r>
            <w:r>
              <w:rPr>
                <w:i/>
                <w:color w:val="000000"/>
                <w:sz w:val="18"/>
                <w:szCs w:val="18"/>
              </w:rPr>
              <w:t>755</w:t>
            </w:r>
          </w:p>
        </w:tc>
        <w:tc>
          <w:tcPr>
            <w:tcW w:w="1060" w:type="dxa"/>
            <w:tcBorders>
              <w:top w:val="nil"/>
              <w:left w:val="nil"/>
              <w:bottom w:val="single" w:sz="8" w:space="0" w:color="000000"/>
              <w:right w:val="single" w:sz="4" w:space="0" w:color="000000"/>
            </w:tcBorders>
            <w:shd w:val="clear" w:color="auto" w:fill="D9D9D9"/>
            <w:tcMar>
              <w:right w:w="170" w:type="dxa"/>
            </w:tcMar>
            <w:vAlign w:val="center"/>
          </w:tcPr>
          <w:p w14:paraId="0000040C" w14:textId="38DCDEDC" w:rsidR="00294ABB" w:rsidRDefault="00420BFB" w:rsidP="00835B56">
            <w:pPr>
              <w:spacing w:before="60" w:after="60"/>
              <w:jc w:val="right"/>
              <w:rPr>
                <w:i/>
                <w:color w:val="000000"/>
                <w:sz w:val="18"/>
                <w:szCs w:val="18"/>
              </w:rPr>
            </w:pPr>
            <w:r>
              <w:rPr>
                <w:i/>
                <w:color w:val="000000"/>
                <w:sz w:val="18"/>
                <w:szCs w:val="18"/>
              </w:rPr>
              <w:t>-6</w:t>
            </w:r>
            <w:r w:rsidR="006F2ABF">
              <w:rPr>
                <w:i/>
                <w:color w:val="000000"/>
                <w:sz w:val="18"/>
                <w:szCs w:val="18"/>
              </w:rPr>
              <w:t xml:space="preserve"> </w:t>
            </w:r>
            <w:r>
              <w:rPr>
                <w:i/>
                <w:color w:val="000000"/>
                <w:sz w:val="18"/>
                <w:szCs w:val="18"/>
              </w:rPr>
              <w:t>903</w:t>
            </w:r>
          </w:p>
        </w:tc>
        <w:tc>
          <w:tcPr>
            <w:tcW w:w="1060" w:type="dxa"/>
            <w:tcBorders>
              <w:top w:val="nil"/>
              <w:left w:val="nil"/>
              <w:bottom w:val="single" w:sz="8" w:space="0" w:color="000000"/>
              <w:right w:val="single" w:sz="8" w:space="0" w:color="000000"/>
            </w:tcBorders>
            <w:shd w:val="clear" w:color="auto" w:fill="D9D9D9"/>
            <w:tcMar>
              <w:right w:w="170" w:type="dxa"/>
            </w:tcMar>
            <w:vAlign w:val="center"/>
          </w:tcPr>
          <w:p w14:paraId="0000040D" w14:textId="099746D6" w:rsidR="00294ABB" w:rsidRDefault="00420BFB" w:rsidP="00835B56">
            <w:pPr>
              <w:spacing w:before="60" w:after="60"/>
              <w:jc w:val="right"/>
              <w:rPr>
                <w:i/>
                <w:color w:val="000000"/>
                <w:sz w:val="18"/>
                <w:szCs w:val="18"/>
              </w:rPr>
            </w:pPr>
            <w:r>
              <w:rPr>
                <w:i/>
                <w:color w:val="000000"/>
                <w:sz w:val="18"/>
                <w:szCs w:val="18"/>
              </w:rPr>
              <w:t>-3</w:t>
            </w:r>
            <w:r w:rsidR="00FB48CE">
              <w:rPr>
                <w:i/>
                <w:color w:val="000000"/>
                <w:sz w:val="18"/>
                <w:szCs w:val="18"/>
              </w:rPr>
              <w:t xml:space="preserve"> </w:t>
            </w:r>
            <w:r>
              <w:rPr>
                <w:i/>
                <w:color w:val="000000"/>
                <w:sz w:val="18"/>
                <w:szCs w:val="18"/>
              </w:rPr>
              <w:t>675</w:t>
            </w:r>
          </w:p>
        </w:tc>
      </w:tr>
      <w:tr w:rsidR="00294ABB" w14:paraId="2C140856" w14:textId="77777777" w:rsidTr="00835B56">
        <w:trPr>
          <w:trHeight w:val="290"/>
          <w:jc w:val="center"/>
        </w:trPr>
        <w:tc>
          <w:tcPr>
            <w:tcW w:w="5030" w:type="dxa"/>
            <w:tcBorders>
              <w:top w:val="nil"/>
              <w:left w:val="single" w:sz="8" w:space="0" w:color="000000"/>
              <w:bottom w:val="single" w:sz="4" w:space="0" w:color="000000"/>
              <w:right w:val="single" w:sz="4" w:space="0" w:color="000000"/>
            </w:tcBorders>
            <w:shd w:val="clear" w:color="auto" w:fill="auto"/>
            <w:vAlign w:val="bottom"/>
          </w:tcPr>
          <w:p w14:paraId="0000040E" w14:textId="4D8F8655" w:rsidR="00294ABB" w:rsidRDefault="00420BFB" w:rsidP="00835B56">
            <w:pPr>
              <w:tabs>
                <w:tab w:val="right" w:pos="4820"/>
              </w:tabs>
              <w:spacing w:before="60" w:after="60"/>
              <w:jc w:val="left"/>
              <w:rPr>
                <w:color w:val="000000"/>
                <w:sz w:val="18"/>
                <w:szCs w:val="18"/>
              </w:rPr>
            </w:pPr>
            <w:r>
              <w:rPr>
                <w:color w:val="000000"/>
                <w:sz w:val="18"/>
                <w:szCs w:val="18"/>
              </w:rPr>
              <w:t>Personal, cultural &amp; recreational services, of which</w:t>
            </w:r>
            <w:r w:rsidR="0052401C">
              <w:rPr>
                <w:color w:val="000000"/>
                <w:sz w:val="18"/>
                <w:szCs w:val="18"/>
              </w:rPr>
              <w:t>:</w:t>
            </w:r>
            <w:r w:rsidR="0052401C">
              <w:rPr>
                <w:color w:val="000000"/>
                <w:sz w:val="18"/>
                <w:szCs w:val="18"/>
              </w:rPr>
              <w:tab/>
            </w:r>
            <w:r>
              <w:rPr>
                <w:color w:val="000000"/>
                <w:sz w:val="18"/>
                <w:szCs w:val="18"/>
              </w:rPr>
              <w:t>Exp</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40F" w14:textId="0F8B7388" w:rsidR="00294ABB" w:rsidRDefault="00420BFB" w:rsidP="00835B56">
            <w:pPr>
              <w:spacing w:before="60" w:after="60"/>
              <w:jc w:val="right"/>
              <w:rPr>
                <w:color w:val="000000"/>
                <w:sz w:val="18"/>
                <w:szCs w:val="18"/>
              </w:rPr>
            </w:pPr>
            <w:r>
              <w:rPr>
                <w:color w:val="000000"/>
                <w:sz w:val="18"/>
                <w:szCs w:val="18"/>
              </w:rPr>
              <w:t>5</w:t>
            </w:r>
            <w:r w:rsidR="006F2ABF">
              <w:rPr>
                <w:color w:val="000000"/>
                <w:sz w:val="18"/>
                <w:szCs w:val="18"/>
              </w:rPr>
              <w:t xml:space="preserve"> </w:t>
            </w:r>
            <w:r>
              <w:rPr>
                <w:color w:val="000000"/>
                <w:sz w:val="18"/>
                <w:szCs w:val="18"/>
              </w:rPr>
              <w:t>331</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410" w14:textId="17C121F8" w:rsidR="00294ABB" w:rsidRDefault="00420BFB" w:rsidP="00835B56">
            <w:pPr>
              <w:spacing w:before="60" w:after="60"/>
              <w:jc w:val="right"/>
              <w:rPr>
                <w:color w:val="000000"/>
                <w:sz w:val="18"/>
                <w:szCs w:val="18"/>
              </w:rPr>
            </w:pPr>
            <w:r>
              <w:rPr>
                <w:color w:val="000000"/>
                <w:sz w:val="18"/>
                <w:szCs w:val="18"/>
              </w:rPr>
              <w:t>5</w:t>
            </w:r>
            <w:r w:rsidR="006F2ABF">
              <w:rPr>
                <w:color w:val="000000"/>
                <w:sz w:val="18"/>
                <w:szCs w:val="18"/>
              </w:rPr>
              <w:t xml:space="preserve"> </w:t>
            </w:r>
            <w:r>
              <w:rPr>
                <w:color w:val="000000"/>
                <w:sz w:val="18"/>
                <w:szCs w:val="18"/>
              </w:rPr>
              <w:t>722</w:t>
            </w:r>
          </w:p>
        </w:tc>
        <w:tc>
          <w:tcPr>
            <w:tcW w:w="1060" w:type="dxa"/>
            <w:tcBorders>
              <w:top w:val="nil"/>
              <w:left w:val="nil"/>
              <w:bottom w:val="single" w:sz="4" w:space="0" w:color="000000"/>
              <w:right w:val="single" w:sz="8" w:space="0" w:color="000000"/>
            </w:tcBorders>
            <w:shd w:val="clear" w:color="auto" w:fill="auto"/>
            <w:tcMar>
              <w:right w:w="170" w:type="dxa"/>
            </w:tcMar>
            <w:vAlign w:val="center"/>
          </w:tcPr>
          <w:p w14:paraId="00000411" w14:textId="7D364B2E" w:rsidR="00294ABB" w:rsidRDefault="00420BFB" w:rsidP="00835B56">
            <w:pPr>
              <w:spacing w:before="60" w:after="60"/>
              <w:jc w:val="right"/>
              <w:rPr>
                <w:color w:val="000000"/>
                <w:sz w:val="18"/>
                <w:szCs w:val="18"/>
              </w:rPr>
            </w:pPr>
            <w:r>
              <w:rPr>
                <w:color w:val="000000"/>
                <w:sz w:val="18"/>
                <w:szCs w:val="18"/>
              </w:rPr>
              <w:t>3</w:t>
            </w:r>
            <w:r w:rsidR="00FB48CE">
              <w:rPr>
                <w:color w:val="000000"/>
                <w:sz w:val="18"/>
                <w:szCs w:val="18"/>
              </w:rPr>
              <w:t xml:space="preserve"> </w:t>
            </w:r>
            <w:r>
              <w:rPr>
                <w:color w:val="000000"/>
                <w:sz w:val="18"/>
                <w:szCs w:val="18"/>
              </w:rPr>
              <w:t>460</w:t>
            </w:r>
          </w:p>
        </w:tc>
      </w:tr>
      <w:tr w:rsidR="00294ABB" w14:paraId="1790A8AE" w14:textId="77777777" w:rsidTr="00835B56">
        <w:trPr>
          <w:trHeight w:val="290"/>
          <w:jc w:val="center"/>
        </w:trPr>
        <w:tc>
          <w:tcPr>
            <w:tcW w:w="5030" w:type="dxa"/>
            <w:tcBorders>
              <w:top w:val="nil"/>
              <w:left w:val="single" w:sz="8" w:space="0" w:color="000000"/>
              <w:bottom w:val="single" w:sz="4" w:space="0" w:color="000000"/>
              <w:right w:val="single" w:sz="4" w:space="0" w:color="000000"/>
            </w:tcBorders>
            <w:shd w:val="clear" w:color="auto" w:fill="auto"/>
            <w:vAlign w:val="bottom"/>
          </w:tcPr>
          <w:p w14:paraId="00000412" w14:textId="77777777" w:rsidR="00294ABB" w:rsidRDefault="00420BFB" w:rsidP="00835B56">
            <w:pPr>
              <w:tabs>
                <w:tab w:val="right" w:pos="4820"/>
              </w:tabs>
              <w:spacing w:before="60" w:after="60"/>
              <w:jc w:val="right"/>
              <w:rPr>
                <w:color w:val="000000"/>
                <w:sz w:val="18"/>
                <w:szCs w:val="18"/>
              </w:rPr>
            </w:pPr>
            <w:r>
              <w:rPr>
                <w:color w:val="000000"/>
                <w:sz w:val="18"/>
                <w:szCs w:val="18"/>
              </w:rPr>
              <w:t>Imp</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413" w14:textId="5B6C88C7" w:rsidR="00294ABB" w:rsidRDefault="00420BFB" w:rsidP="00835B56">
            <w:pPr>
              <w:spacing w:before="60" w:after="60"/>
              <w:jc w:val="right"/>
              <w:rPr>
                <w:color w:val="000000"/>
                <w:sz w:val="18"/>
                <w:szCs w:val="18"/>
              </w:rPr>
            </w:pPr>
            <w:r>
              <w:rPr>
                <w:color w:val="000000"/>
                <w:sz w:val="18"/>
                <w:szCs w:val="18"/>
              </w:rPr>
              <w:t>1</w:t>
            </w:r>
            <w:r w:rsidR="006F2ABF">
              <w:rPr>
                <w:color w:val="000000"/>
                <w:sz w:val="18"/>
                <w:szCs w:val="18"/>
              </w:rPr>
              <w:t xml:space="preserve"> </w:t>
            </w:r>
            <w:r>
              <w:rPr>
                <w:color w:val="000000"/>
                <w:sz w:val="18"/>
                <w:szCs w:val="18"/>
              </w:rPr>
              <w:t>274</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414" w14:textId="4B1EE443" w:rsidR="00294ABB" w:rsidRDefault="00420BFB" w:rsidP="00835B56">
            <w:pPr>
              <w:spacing w:before="60" w:after="60"/>
              <w:jc w:val="right"/>
              <w:rPr>
                <w:color w:val="000000"/>
                <w:sz w:val="18"/>
                <w:szCs w:val="18"/>
              </w:rPr>
            </w:pPr>
            <w:r>
              <w:rPr>
                <w:color w:val="000000"/>
                <w:sz w:val="18"/>
                <w:szCs w:val="18"/>
              </w:rPr>
              <w:t>2</w:t>
            </w:r>
            <w:r w:rsidR="006F2ABF">
              <w:rPr>
                <w:color w:val="000000"/>
                <w:sz w:val="18"/>
                <w:szCs w:val="18"/>
              </w:rPr>
              <w:t xml:space="preserve"> </w:t>
            </w:r>
            <w:r>
              <w:rPr>
                <w:color w:val="000000"/>
                <w:sz w:val="18"/>
                <w:szCs w:val="18"/>
              </w:rPr>
              <w:t>239</w:t>
            </w:r>
          </w:p>
        </w:tc>
        <w:tc>
          <w:tcPr>
            <w:tcW w:w="1060" w:type="dxa"/>
            <w:tcBorders>
              <w:top w:val="nil"/>
              <w:left w:val="nil"/>
              <w:bottom w:val="single" w:sz="4" w:space="0" w:color="000000"/>
              <w:right w:val="single" w:sz="8" w:space="0" w:color="000000"/>
            </w:tcBorders>
            <w:shd w:val="clear" w:color="auto" w:fill="auto"/>
            <w:tcMar>
              <w:right w:w="170" w:type="dxa"/>
            </w:tcMar>
            <w:vAlign w:val="center"/>
          </w:tcPr>
          <w:p w14:paraId="00000415" w14:textId="7B624DB4" w:rsidR="00294ABB" w:rsidRDefault="00420BFB" w:rsidP="00835B56">
            <w:pPr>
              <w:spacing w:before="60" w:after="60"/>
              <w:jc w:val="right"/>
              <w:rPr>
                <w:color w:val="000000"/>
                <w:sz w:val="18"/>
                <w:szCs w:val="18"/>
              </w:rPr>
            </w:pPr>
            <w:r>
              <w:rPr>
                <w:color w:val="000000"/>
                <w:sz w:val="18"/>
                <w:szCs w:val="18"/>
              </w:rPr>
              <w:t>2</w:t>
            </w:r>
            <w:r w:rsidR="00FB48CE">
              <w:rPr>
                <w:color w:val="000000"/>
                <w:sz w:val="18"/>
                <w:szCs w:val="18"/>
              </w:rPr>
              <w:t xml:space="preserve"> </w:t>
            </w:r>
            <w:r>
              <w:rPr>
                <w:color w:val="000000"/>
                <w:sz w:val="18"/>
                <w:szCs w:val="18"/>
              </w:rPr>
              <w:t>038</w:t>
            </w:r>
          </w:p>
        </w:tc>
      </w:tr>
      <w:tr w:rsidR="00294ABB" w14:paraId="23A3E218" w14:textId="77777777" w:rsidTr="00835B56">
        <w:trPr>
          <w:trHeight w:val="300"/>
          <w:jc w:val="center"/>
        </w:trPr>
        <w:tc>
          <w:tcPr>
            <w:tcW w:w="5030" w:type="dxa"/>
            <w:tcBorders>
              <w:top w:val="nil"/>
              <w:left w:val="single" w:sz="8" w:space="0" w:color="000000"/>
              <w:bottom w:val="single" w:sz="8" w:space="0" w:color="000000"/>
              <w:right w:val="single" w:sz="4" w:space="0" w:color="000000"/>
            </w:tcBorders>
            <w:shd w:val="clear" w:color="auto" w:fill="D9D9D9"/>
            <w:vAlign w:val="bottom"/>
          </w:tcPr>
          <w:p w14:paraId="00000416" w14:textId="77777777" w:rsidR="00294ABB" w:rsidRDefault="00420BFB" w:rsidP="00835B56">
            <w:pPr>
              <w:tabs>
                <w:tab w:val="right" w:pos="4820"/>
              </w:tabs>
              <w:spacing w:before="60" w:after="60"/>
              <w:jc w:val="right"/>
              <w:rPr>
                <w:i/>
                <w:color w:val="000000"/>
                <w:sz w:val="18"/>
                <w:szCs w:val="18"/>
              </w:rPr>
            </w:pPr>
            <w:r>
              <w:rPr>
                <w:i/>
                <w:color w:val="000000"/>
                <w:sz w:val="18"/>
                <w:szCs w:val="18"/>
              </w:rPr>
              <w:t>Balance</w:t>
            </w:r>
          </w:p>
        </w:tc>
        <w:tc>
          <w:tcPr>
            <w:tcW w:w="1060" w:type="dxa"/>
            <w:tcBorders>
              <w:top w:val="nil"/>
              <w:left w:val="nil"/>
              <w:bottom w:val="single" w:sz="8" w:space="0" w:color="000000"/>
              <w:right w:val="single" w:sz="4" w:space="0" w:color="000000"/>
            </w:tcBorders>
            <w:shd w:val="clear" w:color="auto" w:fill="D9D9D9"/>
            <w:tcMar>
              <w:right w:w="170" w:type="dxa"/>
            </w:tcMar>
            <w:vAlign w:val="center"/>
          </w:tcPr>
          <w:p w14:paraId="00000417" w14:textId="2F450C88" w:rsidR="00294ABB" w:rsidRDefault="00420BFB" w:rsidP="00835B56">
            <w:pPr>
              <w:spacing w:before="60" w:after="60"/>
              <w:jc w:val="right"/>
              <w:rPr>
                <w:i/>
                <w:color w:val="000000"/>
                <w:sz w:val="18"/>
                <w:szCs w:val="18"/>
              </w:rPr>
            </w:pPr>
            <w:r>
              <w:rPr>
                <w:i/>
                <w:color w:val="000000"/>
                <w:sz w:val="18"/>
                <w:szCs w:val="18"/>
              </w:rPr>
              <w:t>4</w:t>
            </w:r>
            <w:r w:rsidR="006F2ABF">
              <w:rPr>
                <w:i/>
                <w:color w:val="000000"/>
                <w:sz w:val="18"/>
                <w:szCs w:val="18"/>
              </w:rPr>
              <w:t xml:space="preserve"> </w:t>
            </w:r>
            <w:r>
              <w:rPr>
                <w:i/>
                <w:color w:val="000000"/>
                <w:sz w:val="18"/>
                <w:szCs w:val="18"/>
              </w:rPr>
              <w:t>057</w:t>
            </w:r>
          </w:p>
        </w:tc>
        <w:tc>
          <w:tcPr>
            <w:tcW w:w="1060" w:type="dxa"/>
            <w:tcBorders>
              <w:top w:val="nil"/>
              <w:left w:val="nil"/>
              <w:bottom w:val="single" w:sz="8" w:space="0" w:color="000000"/>
              <w:right w:val="single" w:sz="4" w:space="0" w:color="000000"/>
            </w:tcBorders>
            <w:shd w:val="clear" w:color="auto" w:fill="D9D9D9"/>
            <w:tcMar>
              <w:right w:w="170" w:type="dxa"/>
            </w:tcMar>
            <w:vAlign w:val="center"/>
          </w:tcPr>
          <w:p w14:paraId="00000418" w14:textId="7A44A7D0" w:rsidR="00294ABB" w:rsidRDefault="00420BFB" w:rsidP="00835B56">
            <w:pPr>
              <w:spacing w:before="60" w:after="60"/>
              <w:jc w:val="right"/>
              <w:rPr>
                <w:i/>
                <w:color w:val="000000"/>
                <w:sz w:val="18"/>
                <w:szCs w:val="18"/>
              </w:rPr>
            </w:pPr>
            <w:r>
              <w:rPr>
                <w:i/>
                <w:color w:val="000000"/>
                <w:sz w:val="18"/>
                <w:szCs w:val="18"/>
              </w:rPr>
              <w:t>3</w:t>
            </w:r>
            <w:r w:rsidR="006F2ABF">
              <w:rPr>
                <w:i/>
                <w:color w:val="000000"/>
                <w:sz w:val="18"/>
                <w:szCs w:val="18"/>
              </w:rPr>
              <w:t xml:space="preserve"> </w:t>
            </w:r>
            <w:r>
              <w:rPr>
                <w:i/>
                <w:color w:val="000000"/>
                <w:sz w:val="18"/>
                <w:szCs w:val="18"/>
              </w:rPr>
              <w:t>483</w:t>
            </w:r>
          </w:p>
        </w:tc>
        <w:tc>
          <w:tcPr>
            <w:tcW w:w="1060" w:type="dxa"/>
            <w:tcBorders>
              <w:top w:val="nil"/>
              <w:left w:val="nil"/>
              <w:bottom w:val="single" w:sz="8" w:space="0" w:color="000000"/>
              <w:right w:val="single" w:sz="8" w:space="0" w:color="000000"/>
            </w:tcBorders>
            <w:shd w:val="clear" w:color="auto" w:fill="D9D9D9"/>
            <w:tcMar>
              <w:right w:w="170" w:type="dxa"/>
            </w:tcMar>
            <w:vAlign w:val="center"/>
          </w:tcPr>
          <w:p w14:paraId="00000419" w14:textId="4CB34C3F" w:rsidR="00294ABB" w:rsidRDefault="00420BFB" w:rsidP="00835B56">
            <w:pPr>
              <w:spacing w:before="60" w:after="60"/>
              <w:jc w:val="right"/>
              <w:rPr>
                <w:i/>
                <w:color w:val="000000"/>
                <w:sz w:val="18"/>
                <w:szCs w:val="18"/>
              </w:rPr>
            </w:pPr>
            <w:r>
              <w:rPr>
                <w:i/>
                <w:color w:val="000000"/>
                <w:sz w:val="18"/>
                <w:szCs w:val="18"/>
              </w:rPr>
              <w:t>1</w:t>
            </w:r>
            <w:r w:rsidR="00FB48CE">
              <w:rPr>
                <w:i/>
                <w:color w:val="000000"/>
                <w:sz w:val="18"/>
                <w:szCs w:val="18"/>
              </w:rPr>
              <w:t xml:space="preserve"> </w:t>
            </w:r>
            <w:r>
              <w:rPr>
                <w:i/>
                <w:color w:val="000000"/>
                <w:sz w:val="18"/>
                <w:szCs w:val="18"/>
              </w:rPr>
              <w:t>422</w:t>
            </w:r>
          </w:p>
        </w:tc>
      </w:tr>
      <w:tr w:rsidR="00294ABB" w14:paraId="6125861D" w14:textId="77777777" w:rsidTr="00835B56">
        <w:trPr>
          <w:trHeight w:val="290"/>
          <w:jc w:val="center"/>
        </w:trPr>
        <w:tc>
          <w:tcPr>
            <w:tcW w:w="5030" w:type="dxa"/>
            <w:tcBorders>
              <w:top w:val="nil"/>
              <w:left w:val="single" w:sz="8" w:space="0" w:color="000000"/>
              <w:bottom w:val="single" w:sz="4" w:space="0" w:color="000000"/>
              <w:right w:val="single" w:sz="4" w:space="0" w:color="000000"/>
            </w:tcBorders>
            <w:shd w:val="clear" w:color="auto" w:fill="auto"/>
            <w:vAlign w:val="bottom"/>
          </w:tcPr>
          <w:p w14:paraId="0000041A" w14:textId="167E2B33" w:rsidR="00294ABB" w:rsidRDefault="0052401C" w:rsidP="00835B56">
            <w:pPr>
              <w:tabs>
                <w:tab w:val="left" w:pos="1140"/>
                <w:tab w:val="right" w:pos="4820"/>
              </w:tabs>
              <w:spacing w:before="60" w:after="60"/>
              <w:jc w:val="left"/>
              <w:rPr>
                <w:color w:val="000000"/>
                <w:sz w:val="18"/>
                <w:szCs w:val="18"/>
              </w:rPr>
            </w:pPr>
            <w:r>
              <w:rPr>
                <w:color w:val="000000"/>
                <w:sz w:val="18"/>
                <w:szCs w:val="18"/>
              </w:rPr>
              <w:tab/>
            </w:r>
            <w:r w:rsidR="00420BFB">
              <w:rPr>
                <w:color w:val="000000"/>
                <w:sz w:val="18"/>
                <w:szCs w:val="18"/>
              </w:rPr>
              <w:t xml:space="preserve">Audio-visual &amp; related </w:t>
            </w:r>
            <w:r>
              <w:rPr>
                <w:color w:val="000000"/>
                <w:sz w:val="18"/>
                <w:szCs w:val="18"/>
              </w:rPr>
              <w:t>services</w:t>
            </w:r>
            <w:r>
              <w:rPr>
                <w:color w:val="000000"/>
                <w:sz w:val="18"/>
                <w:szCs w:val="18"/>
              </w:rPr>
              <w:tab/>
              <w:t xml:space="preserve"> </w:t>
            </w:r>
            <w:r w:rsidR="00420BFB">
              <w:rPr>
                <w:color w:val="000000"/>
                <w:sz w:val="18"/>
                <w:szCs w:val="18"/>
              </w:rPr>
              <w:t>Exp</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41B" w14:textId="78B99F60" w:rsidR="00294ABB" w:rsidRDefault="00420BFB" w:rsidP="00835B56">
            <w:pPr>
              <w:spacing w:before="60" w:after="60"/>
              <w:jc w:val="right"/>
              <w:rPr>
                <w:color w:val="000000"/>
                <w:sz w:val="18"/>
                <w:szCs w:val="18"/>
              </w:rPr>
            </w:pPr>
            <w:r>
              <w:rPr>
                <w:color w:val="000000"/>
                <w:sz w:val="18"/>
                <w:szCs w:val="18"/>
              </w:rPr>
              <w:t>3</w:t>
            </w:r>
            <w:r w:rsidR="006F2ABF">
              <w:rPr>
                <w:color w:val="000000"/>
                <w:sz w:val="18"/>
                <w:szCs w:val="18"/>
              </w:rPr>
              <w:t xml:space="preserve"> </w:t>
            </w:r>
            <w:r>
              <w:rPr>
                <w:color w:val="000000"/>
                <w:sz w:val="18"/>
                <w:szCs w:val="18"/>
              </w:rPr>
              <w:t>055</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41C" w14:textId="5D5CD99C" w:rsidR="00294ABB" w:rsidRDefault="00420BFB" w:rsidP="00835B56">
            <w:pPr>
              <w:spacing w:before="60" w:after="60"/>
              <w:jc w:val="right"/>
              <w:rPr>
                <w:color w:val="000000"/>
                <w:sz w:val="18"/>
                <w:szCs w:val="18"/>
              </w:rPr>
            </w:pPr>
            <w:r>
              <w:rPr>
                <w:color w:val="000000"/>
                <w:sz w:val="18"/>
                <w:szCs w:val="18"/>
              </w:rPr>
              <w:t>3</w:t>
            </w:r>
            <w:r w:rsidR="006F2ABF">
              <w:rPr>
                <w:color w:val="000000"/>
                <w:sz w:val="18"/>
                <w:szCs w:val="18"/>
              </w:rPr>
              <w:t xml:space="preserve"> </w:t>
            </w:r>
            <w:r>
              <w:rPr>
                <w:color w:val="000000"/>
                <w:sz w:val="18"/>
                <w:szCs w:val="18"/>
              </w:rPr>
              <w:t>184</w:t>
            </w:r>
          </w:p>
        </w:tc>
        <w:tc>
          <w:tcPr>
            <w:tcW w:w="1060" w:type="dxa"/>
            <w:tcBorders>
              <w:top w:val="nil"/>
              <w:left w:val="nil"/>
              <w:bottom w:val="single" w:sz="4" w:space="0" w:color="000000"/>
              <w:right w:val="single" w:sz="8" w:space="0" w:color="000000"/>
            </w:tcBorders>
            <w:shd w:val="clear" w:color="auto" w:fill="auto"/>
            <w:tcMar>
              <w:right w:w="170" w:type="dxa"/>
            </w:tcMar>
            <w:vAlign w:val="center"/>
          </w:tcPr>
          <w:p w14:paraId="0000041D" w14:textId="3DF6A82C" w:rsidR="00294ABB" w:rsidRDefault="00420BFB" w:rsidP="00835B56">
            <w:pPr>
              <w:spacing w:before="60" w:after="60"/>
              <w:jc w:val="right"/>
              <w:rPr>
                <w:color w:val="000000"/>
                <w:sz w:val="18"/>
                <w:szCs w:val="18"/>
              </w:rPr>
            </w:pPr>
            <w:r>
              <w:rPr>
                <w:color w:val="000000"/>
                <w:sz w:val="18"/>
                <w:szCs w:val="18"/>
              </w:rPr>
              <w:t>2</w:t>
            </w:r>
            <w:r w:rsidR="00FB48CE">
              <w:rPr>
                <w:color w:val="000000"/>
                <w:sz w:val="18"/>
                <w:szCs w:val="18"/>
              </w:rPr>
              <w:t xml:space="preserve"> </w:t>
            </w:r>
            <w:r>
              <w:rPr>
                <w:color w:val="000000"/>
                <w:sz w:val="18"/>
                <w:szCs w:val="18"/>
              </w:rPr>
              <w:t>363</w:t>
            </w:r>
          </w:p>
        </w:tc>
      </w:tr>
      <w:tr w:rsidR="00294ABB" w14:paraId="7796E6BD" w14:textId="77777777" w:rsidTr="00835B56">
        <w:trPr>
          <w:trHeight w:val="290"/>
          <w:jc w:val="center"/>
        </w:trPr>
        <w:tc>
          <w:tcPr>
            <w:tcW w:w="5030" w:type="dxa"/>
            <w:tcBorders>
              <w:top w:val="nil"/>
              <w:left w:val="single" w:sz="8" w:space="0" w:color="000000"/>
              <w:bottom w:val="single" w:sz="4" w:space="0" w:color="000000"/>
              <w:right w:val="single" w:sz="4" w:space="0" w:color="000000"/>
            </w:tcBorders>
            <w:shd w:val="clear" w:color="auto" w:fill="auto"/>
            <w:vAlign w:val="bottom"/>
          </w:tcPr>
          <w:p w14:paraId="0000041E" w14:textId="77777777" w:rsidR="00294ABB" w:rsidRDefault="00420BFB" w:rsidP="00835B56">
            <w:pPr>
              <w:tabs>
                <w:tab w:val="left" w:pos="1140"/>
                <w:tab w:val="right" w:pos="4763"/>
                <w:tab w:val="right" w:pos="4820"/>
              </w:tabs>
              <w:spacing w:before="60" w:after="60"/>
              <w:jc w:val="right"/>
              <w:rPr>
                <w:color w:val="000000"/>
                <w:sz w:val="18"/>
                <w:szCs w:val="18"/>
              </w:rPr>
            </w:pPr>
            <w:r>
              <w:rPr>
                <w:color w:val="000000"/>
                <w:sz w:val="18"/>
                <w:szCs w:val="18"/>
              </w:rPr>
              <w:t>Imp</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41F" w14:textId="77777777" w:rsidR="00294ABB" w:rsidRDefault="00420BFB" w:rsidP="00835B56">
            <w:pPr>
              <w:spacing w:before="60" w:after="60"/>
              <w:jc w:val="right"/>
              <w:rPr>
                <w:color w:val="000000"/>
                <w:sz w:val="18"/>
                <w:szCs w:val="18"/>
              </w:rPr>
            </w:pPr>
            <w:r>
              <w:rPr>
                <w:color w:val="000000"/>
                <w:sz w:val="18"/>
                <w:szCs w:val="18"/>
              </w:rPr>
              <w:t>389</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420" w14:textId="77777777" w:rsidR="00294ABB" w:rsidRDefault="00420BFB" w:rsidP="00835B56">
            <w:pPr>
              <w:spacing w:before="60" w:after="60"/>
              <w:jc w:val="right"/>
              <w:rPr>
                <w:color w:val="000000"/>
                <w:sz w:val="18"/>
                <w:szCs w:val="18"/>
              </w:rPr>
            </w:pPr>
            <w:r>
              <w:rPr>
                <w:color w:val="000000"/>
                <w:sz w:val="18"/>
                <w:szCs w:val="18"/>
              </w:rPr>
              <w:t>508</w:t>
            </w:r>
          </w:p>
        </w:tc>
        <w:tc>
          <w:tcPr>
            <w:tcW w:w="1060" w:type="dxa"/>
            <w:tcBorders>
              <w:top w:val="nil"/>
              <w:left w:val="nil"/>
              <w:bottom w:val="single" w:sz="4" w:space="0" w:color="000000"/>
              <w:right w:val="single" w:sz="8" w:space="0" w:color="000000"/>
            </w:tcBorders>
            <w:shd w:val="clear" w:color="auto" w:fill="auto"/>
            <w:tcMar>
              <w:right w:w="170" w:type="dxa"/>
            </w:tcMar>
            <w:vAlign w:val="center"/>
          </w:tcPr>
          <w:p w14:paraId="00000421" w14:textId="77777777" w:rsidR="00294ABB" w:rsidRDefault="00420BFB" w:rsidP="00835B56">
            <w:pPr>
              <w:spacing w:before="60" w:after="60"/>
              <w:jc w:val="right"/>
              <w:rPr>
                <w:color w:val="000000"/>
                <w:sz w:val="18"/>
                <w:szCs w:val="18"/>
              </w:rPr>
            </w:pPr>
            <w:r>
              <w:rPr>
                <w:color w:val="000000"/>
                <w:sz w:val="18"/>
                <w:szCs w:val="18"/>
              </w:rPr>
              <w:t>446</w:t>
            </w:r>
          </w:p>
        </w:tc>
      </w:tr>
      <w:tr w:rsidR="00294ABB" w14:paraId="731EE98D" w14:textId="77777777" w:rsidTr="00835B56">
        <w:trPr>
          <w:trHeight w:val="300"/>
          <w:jc w:val="center"/>
        </w:trPr>
        <w:tc>
          <w:tcPr>
            <w:tcW w:w="5030" w:type="dxa"/>
            <w:tcBorders>
              <w:top w:val="nil"/>
              <w:left w:val="single" w:sz="8" w:space="0" w:color="000000"/>
              <w:bottom w:val="single" w:sz="8" w:space="0" w:color="000000"/>
              <w:right w:val="single" w:sz="4" w:space="0" w:color="000000"/>
            </w:tcBorders>
            <w:shd w:val="clear" w:color="auto" w:fill="D9D9D9"/>
            <w:vAlign w:val="bottom"/>
          </w:tcPr>
          <w:p w14:paraId="00000422" w14:textId="77777777" w:rsidR="00294ABB" w:rsidRDefault="00420BFB" w:rsidP="00835B56">
            <w:pPr>
              <w:tabs>
                <w:tab w:val="left" w:pos="1140"/>
                <w:tab w:val="right" w:pos="4763"/>
                <w:tab w:val="right" w:pos="4820"/>
              </w:tabs>
              <w:spacing w:before="60" w:after="60"/>
              <w:jc w:val="right"/>
              <w:rPr>
                <w:i/>
                <w:color w:val="000000"/>
                <w:sz w:val="18"/>
                <w:szCs w:val="18"/>
              </w:rPr>
            </w:pPr>
            <w:r>
              <w:rPr>
                <w:i/>
                <w:color w:val="000000"/>
                <w:sz w:val="18"/>
                <w:szCs w:val="18"/>
              </w:rPr>
              <w:t>Balance</w:t>
            </w:r>
          </w:p>
        </w:tc>
        <w:tc>
          <w:tcPr>
            <w:tcW w:w="1060" w:type="dxa"/>
            <w:tcBorders>
              <w:top w:val="nil"/>
              <w:left w:val="nil"/>
              <w:bottom w:val="single" w:sz="8" w:space="0" w:color="000000"/>
              <w:right w:val="single" w:sz="4" w:space="0" w:color="000000"/>
            </w:tcBorders>
            <w:shd w:val="clear" w:color="auto" w:fill="D9D9D9"/>
            <w:tcMar>
              <w:right w:w="170" w:type="dxa"/>
            </w:tcMar>
            <w:vAlign w:val="center"/>
          </w:tcPr>
          <w:p w14:paraId="00000423" w14:textId="674061D5" w:rsidR="00294ABB" w:rsidRDefault="00420BFB" w:rsidP="00835B56">
            <w:pPr>
              <w:spacing w:before="60" w:after="60"/>
              <w:jc w:val="right"/>
              <w:rPr>
                <w:i/>
                <w:color w:val="000000"/>
                <w:sz w:val="18"/>
                <w:szCs w:val="18"/>
              </w:rPr>
            </w:pPr>
            <w:r>
              <w:rPr>
                <w:i/>
                <w:color w:val="000000"/>
                <w:sz w:val="18"/>
                <w:szCs w:val="18"/>
              </w:rPr>
              <w:t>2</w:t>
            </w:r>
            <w:r w:rsidR="006F2ABF">
              <w:rPr>
                <w:i/>
                <w:color w:val="000000"/>
                <w:sz w:val="18"/>
                <w:szCs w:val="18"/>
              </w:rPr>
              <w:t xml:space="preserve"> </w:t>
            </w:r>
            <w:r>
              <w:rPr>
                <w:i/>
                <w:color w:val="000000"/>
                <w:sz w:val="18"/>
                <w:szCs w:val="18"/>
              </w:rPr>
              <w:t>666</w:t>
            </w:r>
          </w:p>
        </w:tc>
        <w:tc>
          <w:tcPr>
            <w:tcW w:w="1060" w:type="dxa"/>
            <w:tcBorders>
              <w:top w:val="nil"/>
              <w:left w:val="nil"/>
              <w:bottom w:val="single" w:sz="8" w:space="0" w:color="000000"/>
              <w:right w:val="single" w:sz="4" w:space="0" w:color="000000"/>
            </w:tcBorders>
            <w:shd w:val="clear" w:color="auto" w:fill="D9D9D9"/>
            <w:tcMar>
              <w:right w:w="170" w:type="dxa"/>
            </w:tcMar>
            <w:vAlign w:val="center"/>
          </w:tcPr>
          <w:p w14:paraId="00000424" w14:textId="62E8A830" w:rsidR="00294ABB" w:rsidRDefault="00420BFB" w:rsidP="00835B56">
            <w:pPr>
              <w:spacing w:before="60" w:after="60"/>
              <w:jc w:val="right"/>
              <w:rPr>
                <w:i/>
                <w:color w:val="000000"/>
                <w:sz w:val="18"/>
                <w:szCs w:val="18"/>
              </w:rPr>
            </w:pPr>
            <w:r>
              <w:rPr>
                <w:i/>
                <w:color w:val="000000"/>
                <w:sz w:val="18"/>
                <w:szCs w:val="18"/>
              </w:rPr>
              <w:t>2</w:t>
            </w:r>
            <w:r w:rsidR="006F2ABF">
              <w:rPr>
                <w:i/>
                <w:color w:val="000000"/>
                <w:sz w:val="18"/>
                <w:szCs w:val="18"/>
              </w:rPr>
              <w:t xml:space="preserve"> </w:t>
            </w:r>
            <w:r>
              <w:rPr>
                <w:i/>
                <w:color w:val="000000"/>
                <w:sz w:val="18"/>
                <w:szCs w:val="18"/>
              </w:rPr>
              <w:t>676</w:t>
            </w:r>
          </w:p>
        </w:tc>
        <w:tc>
          <w:tcPr>
            <w:tcW w:w="1060" w:type="dxa"/>
            <w:tcBorders>
              <w:top w:val="nil"/>
              <w:left w:val="nil"/>
              <w:bottom w:val="single" w:sz="8" w:space="0" w:color="000000"/>
              <w:right w:val="single" w:sz="8" w:space="0" w:color="000000"/>
            </w:tcBorders>
            <w:shd w:val="clear" w:color="auto" w:fill="D9D9D9"/>
            <w:tcMar>
              <w:right w:w="170" w:type="dxa"/>
            </w:tcMar>
            <w:vAlign w:val="center"/>
          </w:tcPr>
          <w:p w14:paraId="00000425" w14:textId="419E5C16" w:rsidR="00294ABB" w:rsidRDefault="00420BFB" w:rsidP="00835B56">
            <w:pPr>
              <w:spacing w:before="60" w:after="60"/>
              <w:jc w:val="right"/>
              <w:rPr>
                <w:i/>
                <w:color w:val="000000"/>
                <w:sz w:val="18"/>
                <w:szCs w:val="18"/>
              </w:rPr>
            </w:pPr>
            <w:r>
              <w:rPr>
                <w:i/>
                <w:color w:val="000000"/>
                <w:sz w:val="18"/>
                <w:szCs w:val="18"/>
              </w:rPr>
              <w:t>1</w:t>
            </w:r>
            <w:r w:rsidR="00FB48CE">
              <w:rPr>
                <w:i/>
                <w:color w:val="000000"/>
                <w:sz w:val="18"/>
                <w:szCs w:val="18"/>
              </w:rPr>
              <w:t xml:space="preserve"> </w:t>
            </w:r>
            <w:r>
              <w:rPr>
                <w:i/>
                <w:color w:val="000000"/>
                <w:sz w:val="18"/>
                <w:szCs w:val="18"/>
              </w:rPr>
              <w:t>916</w:t>
            </w:r>
          </w:p>
        </w:tc>
      </w:tr>
      <w:tr w:rsidR="00294ABB" w14:paraId="03F2C109" w14:textId="77777777" w:rsidTr="00835B56">
        <w:trPr>
          <w:trHeight w:val="290"/>
          <w:jc w:val="center"/>
        </w:trPr>
        <w:tc>
          <w:tcPr>
            <w:tcW w:w="5030" w:type="dxa"/>
            <w:tcBorders>
              <w:top w:val="nil"/>
              <w:left w:val="single" w:sz="8" w:space="0" w:color="000000"/>
              <w:bottom w:val="single" w:sz="4" w:space="0" w:color="000000"/>
              <w:right w:val="single" w:sz="4" w:space="0" w:color="000000"/>
            </w:tcBorders>
            <w:shd w:val="clear" w:color="auto" w:fill="auto"/>
            <w:vAlign w:val="bottom"/>
          </w:tcPr>
          <w:p w14:paraId="00000426" w14:textId="59DF9814" w:rsidR="00294ABB" w:rsidRDefault="0052401C" w:rsidP="00835B56">
            <w:pPr>
              <w:tabs>
                <w:tab w:val="left" w:pos="1140"/>
                <w:tab w:val="right" w:pos="4820"/>
              </w:tabs>
              <w:spacing w:before="60" w:after="60"/>
              <w:jc w:val="left"/>
              <w:rPr>
                <w:color w:val="000000"/>
                <w:sz w:val="18"/>
                <w:szCs w:val="18"/>
              </w:rPr>
            </w:pPr>
            <w:r>
              <w:rPr>
                <w:color w:val="000000"/>
                <w:sz w:val="18"/>
                <w:szCs w:val="18"/>
              </w:rPr>
              <w:tab/>
            </w:r>
            <w:r w:rsidR="00420BFB">
              <w:rPr>
                <w:color w:val="000000"/>
                <w:sz w:val="18"/>
                <w:szCs w:val="18"/>
              </w:rPr>
              <w:t xml:space="preserve">Other PCR </w:t>
            </w:r>
            <w:r>
              <w:rPr>
                <w:color w:val="000000"/>
                <w:sz w:val="18"/>
                <w:szCs w:val="18"/>
              </w:rPr>
              <w:t>services</w:t>
            </w:r>
            <w:r>
              <w:rPr>
                <w:color w:val="000000"/>
                <w:sz w:val="18"/>
                <w:szCs w:val="18"/>
              </w:rPr>
              <w:tab/>
            </w:r>
            <w:r w:rsidR="00420BFB">
              <w:rPr>
                <w:color w:val="000000"/>
                <w:sz w:val="18"/>
                <w:szCs w:val="18"/>
              </w:rPr>
              <w:t>Exp</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427" w14:textId="77777777" w:rsidR="00294ABB" w:rsidRDefault="00420BFB" w:rsidP="00835B56">
            <w:pPr>
              <w:spacing w:before="60" w:after="60"/>
              <w:jc w:val="right"/>
              <w:rPr>
                <w:color w:val="000000"/>
                <w:sz w:val="18"/>
                <w:szCs w:val="18"/>
              </w:rPr>
            </w:pPr>
            <w:r>
              <w:rPr>
                <w:color w:val="000000"/>
                <w:sz w:val="18"/>
                <w:szCs w:val="18"/>
              </w:rPr>
              <w:t>243</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428" w14:textId="77777777" w:rsidR="00294ABB" w:rsidRDefault="00420BFB" w:rsidP="00835B56">
            <w:pPr>
              <w:spacing w:before="60" w:after="60"/>
              <w:jc w:val="right"/>
              <w:rPr>
                <w:color w:val="000000"/>
                <w:sz w:val="18"/>
                <w:szCs w:val="18"/>
              </w:rPr>
            </w:pPr>
            <w:r>
              <w:rPr>
                <w:color w:val="000000"/>
                <w:sz w:val="18"/>
                <w:szCs w:val="18"/>
              </w:rPr>
              <w:t>257</w:t>
            </w:r>
          </w:p>
        </w:tc>
        <w:tc>
          <w:tcPr>
            <w:tcW w:w="1060" w:type="dxa"/>
            <w:tcBorders>
              <w:top w:val="nil"/>
              <w:left w:val="nil"/>
              <w:bottom w:val="single" w:sz="4" w:space="0" w:color="000000"/>
              <w:right w:val="single" w:sz="8" w:space="0" w:color="000000"/>
            </w:tcBorders>
            <w:shd w:val="clear" w:color="auto" w:fill="auto"/>
            <w:tcMar>
              <w:right w:w="170" w:type="dxa"/>
            </w:tcMar>
            <w:vAlign w:val="center"/>
          </w:tcPr>
          <w:p w14:paraId="00000429" w14:textId="77777777" w:rsidR="00294ABB" w:rsidRDefault="00420BFB" w:rsidP="00835B56">
            <w:pPr>
              <w:spacing w:before="60" w:after="60"/>
              <w:jc w:val="right"/>
              <w:rPr>
                <w:color w:val="000000"/>
                <w:sz w:val="18"/>
                <w:szCs w:val="18"/>
              </w:rPr>
            </w:pPr>
            <w:r>
              <w:rPr>
                <w:color w:val="000000"/>
                <w:sz w:val="18"/>
                <w:szCs w:val="18"/>
              </w:rPr>
              <w:t>272</w:t>
            </w:r>
          </w:p>
        </w:tc>
      </w:tr>
      <w:tr w:rsidR="00294ABB" w14:paraId="12E41EA9" w14:textId="77777777" w:rsidTr="00835B56">
        <w:trPr>
          <w:trHeight w:val="290"/>
          <w:jc w:val="center"/>
        </w:trPr>
        <w:tc>
          <w:tcPr>
            <w:tcW w:w="5030" w:type="dxa"/>
            <w:tcBorders>
              <w:top w:val="nil"/>
              <w:left w:val="single" w:sz="8" w:space="0" w:color="000000"/>
              <w:bottom w:val="single" w:sz="4" w:space="0" w:color="000000"/>
              <w:right w:val="single" w:sz="4" w:space="0" w:color="000000"/>
            </w:tcBorders>
            <w:shd w:val="clear" w:color="auto" w:fill="auto"/>
            <w:vAlign w:val="bottom"/>
          </w:tcPr>
          <w:p w14:paraId="0000042A" w14:textId="77777777" w:rsidR="00294ABB" w:rsidRDefault="00420BFB" w:rsidP="00835B56">
            <w:pPr>
              <w:tabs>
                <w:tab w:val="right" w:pos="4763"/>
                <w:tab w:val="right" w:pos="4820"/>
              </w:tabs>
              <w:spacing w:before="60" w:after="60"/>
              <w:jc w:val="right"/>
              <w:rPr>
                <w:color w:val="000000"/>
                <w:sz w:val="18"/>
                <w:szCs w:val="18"/>
              </w:rPr>
            </w:pPr>
            <w:r>
              <w:rPr>
                <w:color w:val="000000"/>
                <w:sz w:val="18"/>
                <w:szCs w:val="18"/>
              </w:rPr>
              <w:t>Imp</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42B" w14:textId="77777777" w:rsidR="00294ABB" w:rsidRDefault="00420BFB" w:rsidP="00835B56">
            <w:pPr>
              <w:spacing w:before="60" w:after="60"/>
              <w:jc w:val="right"/>
              <w:rPr>
                <w:color w:val="000000"/>
                <w:sz w:val="18"/>
                <w:szCs w:val="18"/>
              </w:rPr>
            </w:pPr>
            <w:r>
              <w:rPr>
                <w:color w:val="000000"/>
                <w:sz w:val="18"/>
                <w:szCs w:val="18"/>
              </w:rPr>
              <w:t>65</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42C" w14:textId="77777777" w:rsidR="00294ABB" w:rsidRDefault="00420BFB" w:rsidP="00835B56">
            <w:pPr>
              <w:spacing w:before="60" w:after="60"/>
              <w:jc w:val="right"/>
              <w:rPr>
                <w:color w:val="000000"/>
                <w:sz w:val="18"/>
                <w:szCs w:val="18"/>
              </w:rPr>
            </w:pPr>
            <w:r>
              <w:rPr>
                <w:color w:val="000000"/>
                <w:sz w:val="18"/>
                <w:szCs w:val="18"/>
              </w:rPr>
              <w:t>104</w:t>
            </w:r>
          </w:p>
        </w:tc>
        <w:tc>
          <w:tcPr>
            <w:tcW w:w="1060" w:type="dxa"/>
            <w:tcBorders>
              <w:top w:val="nil"/>
              <w:left w:val="nil"/>
              <w:bottom w:val="single" w:sz="4" w:space="0" w:color="000000"/>
              <w:right w:val="single" w:sz="8" w:space="0" w:color="000000"/>
            </w:tcBorders>
            <w:shd w:val="clear" w:color="auto" w:fill="auto"/>
            <w:tcMar>
              <w:right w:w="170" w:type="dxa"/>
            </w:tcMar>
            <w:vAlign w:val="center"/>
          </w:tcPr>
          <w:p w14:paraId="0000042D" w14:textId="77777777" w:rsidR="00294ABB" w:rsidRDefault="00420BFB" w:rsidP="00835B56">
            <w:pPr>
              <w:spacing w:before="60" w:after="60"/>
              <w:jc w:val="right"/>
              <w:rPr>
                <w:color w:val="000000"/>
                <w:sz w:val="18"/>
                <w:szCs w:val="18"/>
              </w:rPr>
            </w:pPr>
            <w:r>
              <w:rPr>
                <w:color w:val="000000"/>
                <w:sz w:val="18"/>
                <w:szCs w:val="18"/>
              </w:rPr>
              <w:t>23</w:t>
            </w:r>
          </w:p>
        </w:tc>
      </w:tr>
      <w:tr w:rsidR="00294ABB" w14:paraId="5478E933" w14:textId="77777777" w:rsidTr="00835B56">
        <w:trPr>
          <w:trHeight w:val="300"/>
          <w:jc w:val="center"/>
        </w:trPr>
        <w:tc>
          <w:tcPr>
            <w:tcW w:w="5030" w:type="dxa"/>
            <w:tcBorders>
              <w:top w:val="nil"/>
              <w:left w:val="single" w:sz="8" w:space="0" w:color="000000"/>
              <w:bottom w:val="single" w:sz="8" w:space="0" w:color="000000"/>
              <w:right w:val="single" w:sz="4" w:space="0" w:color="000000"/>
            </w:tcBorders>
            <w:shd w:val="clear" w:color="auto" w:fill="D9D9D9"/>
            <w:vAlign w:val="bottom"/>
          </w:tcPr>
          <w:p w14:paraId="0000042E" w14:textId="77777777" w:rsidR="00294ABB" w:rsidRDefault="00420BFB" w:rsidP="00835B56">
            <w:pPr>
              <w:tabs>
                <w:tab w:val="right" w:pos="4763"/>
                <w:tab w:val="right" w:pos="4820"/>
              </w:tabs>
              <w:spacing w:before="60" w:after="60"/>
              <w:jc w:val="right"/>
              <w:rPr>
                <w:i/>
                <w:color w:val="000000"/>
                <w:sz w:val="18"/>
                <w:szCs w:val="18"/>
              </w:rPr>
            </w:pPr>
            <w:r>
              <w:rPr>
                <w:i/>
                <w:color w:val="000000"/>
                <w:sz w:val="18"/>
                <w:szCs w:val="18"/>
              </w:rPr>
              <w:t>Balance</w:t>
            </w:r>
          </w:p>
        </w:tc>
        <w:tc>
          <w:tcPr>
            <w:tcW w:w="1060" w:type="dxa"/>
            <w:tcBorders>
              <w:top w:val="nil"/>
              <w:left w:val="nil"/>
              <w:bottom w:val="single" w:sz="8" w:space="0" w:color="000000"/>
              <w:right w:val="single" w:sz="4" w:space="0" w:color="000000"/>
            </w:tcBorders>
            <w:shd w:val="clear" w:color="auto" w:fill="D9D9D9"/>
            <w:tcMar>
              <w:right w:w="170" w:type="dxa"/>
            </w:tcMar>
            <w:vAlign w:val="center"/>
          </w:tcPr>
          <w:p w14:paraId="0000042F" w14:textId="77777777" w:rsidR="00294ABB" w:rsidRDefault="00420BFB" w:rsidP="00835B56">
            <w:pPr>
              <w:spacing w:before="60" w:after="60"/>
              <w:jc w:val="right"/>
              <w:rPr>
                <w:i/>
                <w:color w:val="000000"/>
                <w:sz w:val="18"/>
                <w:szCs w:val="18"/>
              </w:rPr>
            </w:pPr>
            <w:r>
              <w:rPr>
                <w:i/>
                <w:color w:val="000000"/>
                <w:sz w:val="18"/>
                <w:szCs w:val="18"/>
              </w:rPr>
              <w:t>178</w:t>
            </w:r>
          </w:p>
        </w:tc>
        <w:tc>
          <w:tcPr>
            <w:tcW w:w="1060" w:type="dxa"/>
            <w:tcBorders>
              <w:top w:val="nil"/>
              <w:left w:val="nil"/>
              <w:bottom w:val="single" w:sz="8" w:space="0" w:color="000000"/>
              <w:right w:val="single" w:sz="4" w:space="0" w:color="000000"/>
            </w:tcBorders>
            <w:shd w:val="clear" w:color="auto" w:fill="D9D9D9"/>
            <w:tcMar>
              <w:right w:w="170" w:type="dxa"/>
            </w:tcMar>
            <w:vAlign w:val="center"/>
          </w:tcPr>
          <w:p w14:paraId="00000430" w14:textId="77777777" w:rsidR="00294ABB" w:rsidRDefault="00420BFB" w:rsidP="00835B56">
            <w:pPr>
              <w:spacing w:before="60" w:after="60"/>
              <w:jc w:val="right"/>
              <w:rPr>
                <w:i/>
                <w:color w:val="000000"/>
                <w:sz w:val="18"/>
                <w:szCs w:val="18"/>
              </w:rPr>
            </w:pPr>
            <w:r>
              <w:rPr>
                <w:i/>
                <w:color w:val="000000"/>
                <w:sz w:val="18"/>
                <w:szCs w:val="18"/>
              </w:rPr>
              <w:t>152</w:t>
            </w:r>
          </w:p>
        </w:tc>
        <w:tc>
          <w:tcPr>
            <w:tcW w:w="1060" w:type="dxa"/>
            <w:tcBorders>
              <w:top w:val="nil"/>
              <w:left w:val="nil"/>
              <w:bottom w:val="single" w:sz="8" w:space="0" w:color="000000"/>
              <w:right w:val="single" w:sz="8" w:space="0" w:color="000000"/>
            </w:tcBorders>
            <w:shd w:val="clear" w:color="auto" w:fill="D9D9D9"/>
            <w:tcMar>
              <w:right w:w="170" w:type="dxa"/>
            </w:tcMar>
            <w:vAlign w:val="center"/>
          </w:tcPr>
          <w:p w14:paraId="00000431" w14:textId="77777777" w:rsidR="00294ABB" w:rsidRDefault="00420BFB" w:rsidP="00835B56">
            <w:pPr>
              <w:spacing w:before="60" w:after="60"/>
              <w:jc w:val="right"/>
              <w:rPr>
                <w:i/>
                <w:color w:val="000000"/>
                <w:sz w:val="18"/>
                <w:szCs w:val="18"/>
              </w:rPr>
            </w:pPr>
            <w:r>
              <w:rPr>
                <w:i/>
                <w:color w:val="000000"/>
                <w:sz w:val="18"/>
                <w:szCs w:val="18"/>
              </w:rPr>
              <w:t>249</w:t>
            </w:r>
          </w:p>
        </w:tc>
      </w:tr>
      <w:tr w:rsidR="00294ABB" w14:paraId="3D971F05" w14:textId="77777777" w:rsidTr="00835B56">
        <w:trPr>
          <w:trHeight w:val="290"/>
          <w:jc w:val="center"/>
        </w:trPr>
        <w:tc>
          <w:tcPr>
            <w:tcW w:w="5030" w:type="dxa"/>
            <w:tcBorders>
              <w:top w:val="nil"/>
              <w:left w:val="single" w:sz="8" w:space="0" w:color="000000"/>
              <w:bottom w:val="single" w:sz="4" w:space="0" w:color="000000"/>
              <w:right w:val="single" w:sz="4" w:space="0" w:color="000000"/>
            </w:tcBorders>
            <w:shd w:val="clear" w:color="auto" w:fill="auto"/>
            <w:vAlign w:val="bottom"/>
          </w:tcPr>
          <w:p w14:paraId="00000432" w14:textId="71DA17EC" w:rsidR="00294ABB" w:rsidRDefault="00420BFB" w:rsidP="00835B56">
            <w:pPr>
              <w:tabs>
                <w:tab w:val="right" w:pos="4820"/>
              </w:tabs>
              <w:spacing w:before="60" w:after="60"/>
              <w:jc w:val="left"/>
              <w:rPr>
                <w:color w:val="000000"/>
                <w:sz w:val="18"/>
                <w:szCs w:val="18"/>
              </w:rPr>
            </w:pPr>
            <w:r>
              <w:rPr>
                <w:color w:val="000000"/>
                <w:sz w:val="18"/>
                <w:szCs w:val="18"/>
              </w:rPr>
              <w:t>Total services</w:t>
            </w:r>
            <w:r w:rsidR="0052401C">
              <w:rPr>
                <w:color w:val="000000"/>
                <w:sz w:val="18"/>
                <w:szCs w:val="18"/>
              </w:rPr>
              <w:tab/>
            </w:r>
            <w:r>
              <w:rPr>
                <w:color w:val="000000"/>
                <w:sz w:val="18"/>
                <w:szCs w:val="18"/>
              </w:rPr>
              <w:t>Exp</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433" w14:textId="09E88E96" w:rsidR="00294ABB" w:rsidRDefault="00420BFB" w:rsidP="00835B56">
            <w:pPr>
              <w:spacing w:before="60" w:after="60"/>
              <w:jc w:val="right"/>
              <w:rPr>
                <w:color w:val="000000"/>
                <w:sz w:val="18"/>
                <w:szCs w:val="18"/>
              </w:rPr>
            </w:pPr>
            <w:r>
              <w:rPr>
                <w:color w:val="000000"/>
                <w:sz w:val="18"/>
                <w:szCs w:val="18"/>
              </w:rPr>
              <w:t>225</w:t>
            </w:r>
            <w:r w:rsidR="006F2ABF">
              <w:rPr>
                <w:color w:val="000000"/>
                <w:sz w:val="18"/>
                <w:szCs w:val="18"/>
              </w:rPr>
              <w:t xml:space="preserve"> </w:t>
            </w:r>
            <w:r>
              <w:rPr>
                <w:color w:val="000000"/>
                <w:sz w:val="18"/>
                <w:szCs w:val="18"/>
              </w:rPr>
              <w:t>187</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434" w14:textId="44DC6F2F" w:rsidR="00294ABB" w:rsidRDefault="00420BFB" w:rsidP="00835B56">
            <w:pPr>
              <w:spacing w:before="60" w:after="60"/>
              <w:jc w:val="right"/>
              <w:rPr>
                <w:color w:val="000000"/>
                <w:sz w:val="18"/>
                <w:szCs w:val="18"/>
              </w:rPr>
            </w:pPr>
            <w:r>
              <w:rPr>
                <w:color w:val="000000"/>
                <w:sz w:val="18"/>
                <w:szCs w:val="18"/>
              </w:rPr>
              <w:t>229</w:t>
            </w:r>
            <w:r w:rsidR="006F2ABF">
              <w:rPr>
                <w:color w:val="000000"/>
                <w:sz w:val="18"/>
                <w:szCs w:val="18"/>
              </w:rPr>
              <w:t xml:space="preserve"> </w:t>
            </w:r>
            <w:r>
              <w:rPr>
                <w:color w:val="000000"/>
                <w:sz w:val="18"/>
                <w:szCs w:val="18"/>
              </w:rPr>
              <w:t>706</w:t>
            </w:r>
          </w:p>
        </w:tc>
        <w:tc>
          <w:tcPr>
            <w:tcW w:w="1060" w:type="dxa"/>
            <w:tcBorders>
              <w:top w:val="nil"/>
              <w:left w:val="nil"/>
              <w:bottom w:val="single" w:sz="4" w:space="0" w:color="000000"/>
              <w:right w:val="single" w:sz="8" w:space="0" w:color="000000"/>
            </w:tcBorders>
            <w:shd w:val="clear" w:color="auto" w:fill="auto"/>
            <w:tcMar>
              <w:right w:w="170" w:type="dxa"/>
            </w:tcMar>
            <w:vAlign w:val="center"/>
          </w:tcPr>
          <w:p w14:paraId="00000435" w14:textId="38DC7690" w:rsidR="00294ABB" w:rsidRDefault="00420BFB" w:rsidP="00835B56">
            <w:pPr>
              <w:spacing w:before="60" w:after="60"/>
              <w:jc w:val="right"/>
              <w:rPr>
                <w:color w:val="000000"/>
                <w:sz w:val="18"/>
                <w:szCs w:val="18"/>
              </w:rPr>
            </w:pPr>
            <w:r>
              <w:rPr>
                <w:color w:val="000000"/>
                <w:sz w:val="18"/>
                <w:szCs w:val="18"/>
              </w:rPr>
              <w:t>139</w:t>
            </w:r>
            <w:r w:rsidR="00FB48CE">
              <w:rPr>
                <w:color w:val="000000"/>
                <w:sz w:val="18"/>
                <w:szCs w:val="18"/>
              </w:rPr>
              <w:t xml:space="preserve"> </w:t>
            </w:r>
            <w:r>
              <w:rPr>
                <w:color w:val="000000"/>
                <w:sz w:val="18"/>
                <w:szCs w:val="18"/>
              </w:rPr>
              <w:t>658</w:t>
            </w:r>
          </w:p>
        </w:tc>
      </w:tr>
      <w:tr w:rsidR="00294ABB" w14:paraId="698DE652" w14:textId="77777777" w:rsidTr="00835B56">
        <w:trPr>
          <w:trHeight w:val="290"/>
          <w:jc w:val="center"/>
        </w:trPr>
        <w:tc>
          <w:tcPr>
            <w:tcW w:w="5030" w:type="dxa"/>
            <w:tcBorders>
              <w:top w:val="nil"/>
              <w:left w:val="single" w:sz="8" w:space="0" w:color="000000"/>
              <w:bottom w:val="single" w:sz="4" w:space="0" w:color="000000"/>
              <w:right w:val="single" w:sz="4" w:space="0" w:color="000000"/>
            </w:tcBorders>
            <w:shd w:val="clear" w:color="auto" w:fill="auto"/>
            <w:vAlign w:val="bottom"/>
          </w:tcPr>
          <w:p w14:paraId="00000436" w14:textId="77777777" w:rsidR="00294ABB" w:rsidRDefault="00420BFB" w:rsidP="00835B56">
            <w:pPr>
              <w:tabs>
                <w:tab w:val="right" w:pos="4763"/>
                <w:tab w:val="right" w:pos="4820"/>
              </w:tabs>
              <w:spacing w:before="60" w:after="60"/>
              <w:jc w:val="right"/>
              <w:rPr>
                <w:color w:val="000000"/>
                <w:sz w:val="18"/>
                <w:szCs w:val="18"/>
              </w:rPr>
            </w:pPr>
            <w:r>
              <w:rPr>
                <w:color w:val="000000"/>
                <w:sz w:val="18"/>
                <w:szCs w:val="18"/>
              </w:rPr>
              <w:t>Imp</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437" w14:textId="65615EA4" w:rsidR="00294ABB" w:rsidRDefault="00420BFB" w:rsidP="00835B56">
            <w:pPr>
              <w:spacing w:before="60" w:after="60"/>
              <w:jc w:val="right"/>
              <w:rPr>
                <w:color w:val="000000"/>
                <w:sz w:val="18"/>
                <w:szCs w:val="18"/>
              </w:rPr>
            </w:pPr>
            <w:r>
              <w:rPr>
                <w:color w:val="000000"/>
                <w:sz w:val="18"/>
                <w:szCs w:val="18"/>
              </w:rPr>
              <w:t>224</w:t>
            </w:r>
            <w:r w:rsidR="006F2ABF">
              <w:rPr>
                <w:color w:val="000000"/>
                <w:sz w:val="18"/>
                <w:szCs w:val="18"/>
              </w:rPr>
              <w:t xml:space="preserve"> </w:t>
            </w:r>
            <w:r>
              <w:rPr>
                <w:color w:val="000000"/>
                <w:sz w:val="18"/>
                <w:szCs w:val="18"/>
              </w:rPr>
              <w:t>691</w:t>
            </w:r>
          </w:p>
        </w:tc>
        <w:tc>
          <w:tcPr>
            <w:tcW w:w="1060" w:type="dxa"/>
            <w:tcBorders>
              <w:top w:val="nil"/>
              <w:left w:val="nil"/>
              <w:bottom w:val="single" w:sz="4" w:space="0" w:color="000000"/>
              <w:right w:val="single" w:sz="4" w:space="0" w:color="000000"/>
            </w:tcBorders>
            <w:shd w:val="clear" w:color="auto" w:fill="auto"/>
            <w:tcMar>
              <w:right w:w="170" w:type="dxa"/>
            </w:tcMar>
            <w:vAlign w:val="center"/>
          </w:tcPr>
          <w:p w14:paraId="00000438" w14:textId="6C0FF1DA" w:rsidR="00294ABB" w:rsidRDefault="00420BFB" w:rsidP="00835B56">
            <w:pPr>
              <w:spacing w:before="60" w:after="60"/>
              <w:jc w:val="right"/>
              <w:rPr>
                <w:color w:val="000000"/>
                <w:sz w:val="18"/>
                <w:szCs w:val="18"/>
              </w:rPr>
            </w:pPr>
            <w:r>
              <w:rPr>
                <w:color w:val="000000"/>
                <w:sz w:val="18"/>
                <w:szCs w:val="18"/>
              </w:rPr>
              <w:t>238</w:t>
            </w:r>
            <w:r w:rsidR="006F2ABF">
              <w:rPr>
                <w:color w:val="000000"/>
                <w:sz w:val="18"/>
                <w:szCs w:val="18"/>
              </w:rPr>
              <w:t xml:space="preserve"> </w:t>
            </w:r>
            <w:r>
              <w:rPr>
                <w:color w:val="000000"/>
                <w:sz w:val="18"/>
                <w:szCs w:val="18"/>
              </w:rPr>
              <w:t>369</w:t>
            </w:r>
          </w:p>
        </w:tc>
        <w:tc>
          <w:tcPr>
            <w:tcW w:w="1060" w:type="dxa"/>
            <w:tcBorders>
              <w:top w:val="nil"/>
              <w:left w:val="nil"/>
              <w:bottom w:val="single" w:sz="4" w:space="0" w:color="000000"/>
              <w:right w:val="single" w:sz="8" w:space="0" w:color="000000"/>
            </w:tcBorders>
            <w:shd w:val="clear" w:color="auto" w:fill="auto"/>
            <w:tcMar>
              <w:right w:w="170" w:type="dxa"/>
            </w:tcMar>
            <w:vAlign w:val="center"/>
          </w:tcPr>
          <w:p w14:paraId="00000439" w14:textId="45A9705D" w:rsidR="00294ABB" w:rsidRDefault="00420BFB" w:rsidP="00835B56">
            <w:pPr>
              <w:spacing w:before="60" w:after="60"/>
              <w:jc w:val="right"/>
              <w:rPr>
                <w:color w:val="000000"/>
                <w:sz w:val="18"/>
                <w:szCs w:val="18"/>
              </w:rPr>
            </w:pPr>
            <w:r>
              <w:rPr>
                <w:color w:val="000000"/>
                <w:sz w:val="18"/>
                <w:szCs w:val="18"/>
              </w:rPr>
              <w:t>184</w:t>
            </w:r>
            <w:r w:rsidR="00FB48CE">
              <w:rPr>
                <w:color w:val="000000"/>
                <w:sz w:val="18"/>
                <w:szCs w:val="18"/>
              </w:rPr>
              <w:t xml:space="preserve"> </w:t>
            </w:r>
            <w:r>
              <w:rPr>
                <w:color w:val="000000"/>
                <w:sz w:val="18"/>
                <w:szCs w:val="18"/>
              </w:rPr>
              <w:t>594</w:t>
            </w:r>
          </w:p>
        </w:tc>
      </w:tr>
      <w:tr w:rsidR="00294ABB" w14:paraId="03C9BA06" w14:textId="77777777" w:rsidTr="00835B56">
        <w:trPr>
          <w:trHeight w:val="300"/>
          <w:jc w:val="center"/>
        </w:trPr>
        <w:tc>
          <w:tcPr>
            <w:tcW w:w="5030" w:type="dxa"/>
            <w:tcBorders>
              <w:top w:val="nil"/>
              <w:left w:val="single" w:sz="8" w:space="0" w:color="000000"/>
              <w:bottom w:val="single" w:sz="8" w:space="0" w:color="000000"/>
              <w:right w:val="single" w:sz="4" w:space="0" w:color="000000"/>
            </w:tcBorders>
            <w:shd w:val="clear" w:color="auto" w:fill="D9D9D9"/>
            <w:vAlign w:val="bottom"/>
          </w:tcPr>
          <w:p w14:paraId="0000043A" w14:textId="77777777" w:rsidR="00294ABB" w:rsidRDefault="00420BFB" w:rsidP="00835B56">
            <w:pPr>
              <w:tabs>
                <w:tab w:val="right" w:pos="4763"/>
                <w:tab w:val="right" w:pos="4820"/>
              </w:tabs>
              <w:spacing w:before="60" w:after="60"/>
              <w:jc w:val="right"/>
              <w:rPr>
                <w:i/>
                <w:color w:val="000000"/>
                <w:sz w:val="18"/>
                <w:szCs w:val="18"/>
              </w:rPr>
            </w:pPr>
            <w:r>
              <w:rPr>
                <w:i/>
                <w:color w:val="000000"/>
                <w:sz w:val="18"/>
                <w:szCs w:val="18"/>
              </w:rPr>
              <w:t>Balance</w:t>
            </w:r>
          </w:p>
        </w:tc>
        <w:tc>
          <w:tcPr>
            <w:tcW w:w="1060" w:type="dxa"/>
            <w:tcBorders>
              <w:top w:val="nil"/>
              <w:left w:val="nil"/>
              <w:bottom w:val="single" w:sz="8" w:space="0" w:color="000000"/>
              <w:right w:val="single" w:sz="4" w:space="0" w:color="000000"/>
            </w:tcBorders>
            <w:shd w:val="clear" w:color="auto" w:fill="D9D9D9"/>
            <w:tcMar>
              <w:right w:w="170" w:type="dxa"/>
            </w:tcMar>
            <w:vAlign w:val="center"/>
          </w:tcPr>
          <w:p w14:paraId="0000043B" w14:textId="77777777" w:rsidR="00294ABB" w:rsidRDefault="00420BFB" w:rsidP="00835B56">
            <w:pPr>
              <w:spacing w:before="60" w:after="60"/>
              <w:jc w:val="right"/>
              <w:rPr>
                <w:i/>
                <w:color w:val="000000"/>
                <w:sz w:val="18"/>
                <w:szCs w:val="18"/>
              </w:rPr>
            </w:pPr>
            <w:r>
              <w:rPr>
                <w:i/>
                <w:color w:val="000000"/>
                <w:sz w:val="18"/>
                <w:szCs w:val="18"/>
              </w:rPr>
              <w:t>496</w:t>
            </w:r>
          </w:p>
        </w:tc>
        <w:tc>
          <w:tcPr>
            <w:tcW w:w="1060" w:type="dxa"/>
            <w:tcBorders>
              <w:top w:val="nil"/>
              <w:left w:val="nil"/>
              <w:bottom w:val="single" w:sz="8" w:space="0" w:color="000000"/>
              <w:right w:val="single" w:sz="4" w:space="0" w:color="000000"/>
            </w:tcBorders>
            <w:shd w:val="clear" w:color="auto" w:fill="D9D9D9"/>
            <w:tcMar>
              <w:right w:w="170" w:type="dxa"/>
            </w:tcMar>
            <w:vAlign w:val="center"/>
          </w:tcPr>
          <w:p w14:paraId="0000043C" w14:textId="12EFCF47" w:rsidR="00294ABB" w:rsidRDefault="00420BFB" w:rsidP="00835B56">
            <w:pPr>
              <w:spacing w:before="60" w:after="60"/>
              <w:jc w:val="right"/>
              <w:rPr>
                <w:i/>
                <w:color w:val="000000"/>
                <w:sz w:val="18"/>
                <w:szCs w:val="18"/>
              </w:rPr>
            </w:pPr>
            <w:r>
              <w:rPr>
                <w:i/>
                <w:color w:val="000000"/>
                <w:sz w:val="18"/>
                <w:szCs w:val="18"/>
              </w:rPr>
              <w:t>-8</w:t>
            </w:r>
            <w:r w:rsidR="006F2ABF">
              <w:rPr>
                <w:i/>
                <w:color w:val="000000"/>
                <w:sz w:val="18"/>
                <w:szCs w:val="18"/>
              </w:rPr>
              <w:t xml:space="preserve"> </w:t>
            </w:r>
            <w:r>
              <w:rPr>
                <w:i/>
                <w:color w:val="000000"/>
                <w:sz w:val="18"/>
                <w:szCs w:val="18"/>
              </w:rPr>
              <w:t>663</w:t>
            </w:r>
          </w:p>
        </w:tc>
        <w:tc>
          <w:tcPr>
            <w:tcW w:w="1060" w:type="dxa"/>
            <w:tcBorders>
              <w:top w:val="nil"/>
              <w:left w:val="nil"/>
              <w:bottom w:val="single" w:sz="8" w:space="0" w:color="000000"/>
              <w:right w:val="single" w:sz="8" w:space="0" w:color="000000"/>
            </w:tcBorders>
            <w:shd w:val="clear" w:color="auto" w:fill="D9D9D9"/>
            <w:tcMar>
              <w:right w:w="170" w:type="dxa"/>
            </w:tcMar>
            <w:vAlign w:val="center"/>
          </w:tcPr>
          <w:p w14:paraId="0000043D" w14:textId="10E611DA" w:rsidR="00294ABB" w:rsidRDefault="00420BFB" w:rsidP="00835B56">
            <w:pPr>
              <w:spacing w:before="60" w:after="60"/>
              <w:jc w:val="right"/>
              <w:rPr>
                <w:i/>
                <w:color w:val="000000"/>
                <w:sz w:val="18"/>
                <w:szCs w:val="18"/>
              </w:rPr>
            </w:pPr>
            <w:r>
              <w:rPr>
                <w:i/>
                <w:color w:val="000000"/>
                <w:sz w:val="18"/>
                <w:szCs w:val="18"/>
              </w:rPr>
              <w:t>-44</w:t>
            </w:r>
            <w:r w:rsidR="00FB48CE">
              <w:rPr>
                <w:i/>
                <w:color w:val="000000"/>
                <w:sz w:val="18"/>
                <w:szCs w:val="18"/>
              </w:rPr>
              <w:t xml:space="preserve"> </w:t>
            </w:r>
            <w:r>
              <w:rPr>
                <w:i/>
                <w:color w:val="000000"/>
                <w:sz w:val="18"/>
                <w:szCs w:val="18"/>
              </w:rPr>
              <w:t>936</w:t>
            </w:r>
          </w:p>
        </w:tc>
      </w:tr>
    </w:tbl>
    <w:p w14:paraId="0000043E" w14:textId="37915A7D" w:rsidR="00294ABB" w:rsidRPr="00835B56" w:rsidRDefault="00420BFB" w:rsidP="00835B56">
      <w:pPr>
        <w:spacing w:before="120" w:line="259" w:lineRule="auto"/>
        <w:rPr>
          <w:iCs/>
          <w:color w:val="000000"/>
        </w:rPr>
      </w:pPr>
      <w:r w:rsidRPr="00835B56">
        <w:rPr>
          <w:iCs/>
          <w:color w:val="000000"/>
        </w:rPr>
        <w:t>Source: Authors’ computations from SARB, 2021 and ITC, 2021</w:t>
      </w:r>
    </w:p>
    <w:p w14:paraId="0000043F" w14:textId="77777777" w:rsidR="00294ABB" w:rsidRDefault="00294ABB">
      <w:pPr>
        <w:rPr>
          <w:sz w:val="22"/>
          <w:szCs w:val="22"/>
        </w:rPr>
      </w:pPr>
    </w:p>
    <w:p w14:paraId="00000440" w14:textId="5E493497" w:rsidR="00294ABB" w:rsidRDefault="00420BFB" w:rsidP="00835B56">
      <w:pPr>
        <w:spacing w:line="259" w:lineRule="auto"/>
        <w:rPr>
          <w:sz w:val="22"/>
          <w:szCs w:val="22"/>
        </w:rPr>
      </w:pPr>
      <w:r>
        <w:rPr>
          <w:sz w:val="22"/>
          <w:szCs w:val="22"/>
        </w:rPr>
        <w:t>In the services trade analysis undertaken in Cattaneo and Snowball (2020: 35</w:t>
      </w:r>
      <w:r w:rsidR="006F2ABF">
        <w:rPr>
          <w:sz w:val="22"/>
          <w:szCs w:val="22"/>
        </w:rPr>
        <w:t>–</w:t>
      </w:r>
      <w:r>
        <w:rPr>
          <w:sz w:val="22"/>
          <w:szCs w:val="22"/>
        </w:rPr>
        <w:t xml:space="preserve">41) it was found that South Africa performed comparatively well in a number of services sectors for which </w:t>
      </w:r>
      <w:r>
        <w:rPr>
          <w:sz w:val="22"/>
          <w:szCs w:val="22"/>
        </w:rPr>
        <w:lastRenderedPageBreak/>
        <w:t>cultural services trade is important.</w:t>
      </w:r>
      <w:r w:rsidR="00844B61">
        <w:rPr>
          <w:sz w:val="22"/>
          <w:szCs w:val="22"/>
        </w:rPr>
        <w:t xml:space="preserve"> </w:t>
      </w:r>
      <w:r>
        <w:rPr>
          <w:sz w:val="22"/>
          <w:szCs w:val="22"/>
        </w:rPr>
        <w:t>In particular, South Africa had a relatively large and growing trade surplus between 2007 and 2018 in Personal travel services.</w:t>
      </w:r>
      <w:r w:rsidR="00844B61">
        <w:rPr>
          <w:sz w:val="22"/>
          <w:szCs w:val="22"/>
        </w:rPr>
        <w:t xml:space="preserve"> </w:t>
      </w:r>
      <w:r>
        <w:rPr>
          <w:sz w:val="22"/>
          <w:szCs w:val="22"/>
        </w:rPr>
        <w:t>Although not all of this category is related to cultural services trade (since the category includes Health- and Education-related services which are not available separately at present), the trade surplus in this sector widened markedly up until 2018.</w:t>
      </w:r>
      <w:r w:rsidR="00844B61">
        <w:rPr>
          <w:sz w:val="22"/>
          <w:szCs w:val="22"/>
        </w:rPr>
        <w:t xml:space="preserve"> </w:t>
      </w:r>
      <w:r>
        <w:rPr>
          <w:sz w:val="22"/>
          <w:szCs w:val="22"/>
        </w:rPr>
        <w:t>Between 2018 and 2019, the trade surplus increased further (from R76</w:t>
      </w:r>
      <w:r w:rsidR="00C3519D">
        <w:rPr>
          <w:sz w:val="22"/>
          <w:szCs w:val="22"/>
        </w:rPr>
        <w:t xml:space="preserve"> </w:t>
      </w:r>
      <w:r>
        <w:rPr>
          <w:sz w:val="22"/>
          <w:szCs w:val="22"/>
        </w:rPr>
        <w:t>264 million to R77</w:t>
      </w:r>
      <w:r w:rsidR="00C3519D">
        <w:rPr>
          <w:sz w:val="22"/>
          <w:szCs w:val="22"/>
        </w:rPr>
        <w:t xml:space="preserve"> </w:t>
      </w:r>
      <w:r>
        <w:rPr>
          <w:sz w:val="22"/>
          <w:szCs w:val="22"/>
        </w:rPr>
        <w:t>605 million) as Personal travel exports grew more than imports (Table 10).</w:t>
      </w:r>
      <w:r w:rsidR="00844B61">
        <w:rPr>
          <w:sz w:val="22"/>
          <w:szCs w:val="22"/>
        </w:rPr>
        <w:t xml:space="preserve"> </w:t>
      </w:r>
      <w:r>
        <w:rPr>
          <w:sz w:val="22"/>
          <w:szCs w:val="22"/>
        </w:rPr>
        <w:t>As would be expected, the onset of the COVID-19 pandemic in 2020 had a devastating impact on the sector.</w:t>
      </w:r>
      <w:r w:rsidR="00844B61">
        <w:rPr>
          <w:sz w:val="22"/>
          <w:szCs w:val="22"/>
        </w:rPr>
        <w:t xml:space="preserve"> </w:t>
      </w:r>
      <w:r>
        <w:rPr>
          <w:sz w:val="22"/>
          <w:szCs w:val="22"/>
        </w:rPr>
        <w:t>Trade contracted sharply in 2020 with exports more severely affected than imports.</w:t>
      </w:r>
      <w:r w:rsidR="00844B61">
        <w:rPr>
          <w:sz w:val="22"/>
          <w:szCs w:val="22"/>
        </w:rPr>
        <w:t xml:space="preserve"> </w:t>
      </w:r>
      <w:r>
        <w:rPr>
          <w:sz w:val="22"/>
          <w:szCs w:val="22"/>
        </w:rPr>
        <w:t xml:space="preserve">The trade surplus in Personal travel services in 2020 was only just over a third of its 2019 level. </w:t>
      </w:r>
    </w:p>
    <w:p w14:paraId="00000441" w14:textId="4FF60928" w:rsidR="00294ABB" w:rsidRDefault="00420BFB" w:rsidP="00835B56">
      <w:pPr>
        <w:spacing w:line="259" w:lineRule="auto"/>
        <w:rPr>
          <w:sz w:val="22"/>
          <w:szCs w:val="22"/>
        </w:rPr>
      </w:pPr>
      <w:bookmarkStart w:id="62" w:name="_heading=h.4f1mdlm" w:colFirst="0" w:colLast="0"/>
      <w:bookmarkEnd w:id="62"/>
      <w:r>
        <w:rPr>
          <w:sz w:val="22"/>
          <w:szCs w:val="22"/>
        </w:rPr>
        <w:t>Although the 2021 data are not yet available, the outlook for the sector remains bleak as repeated travel bans are still being imposed around the world during different phases of the pandemic.</w:t>
      </w:r>
      <w:r w:rsidR="00844B61">
        <w:rPr>
          <w:sz w:val="22"/>
          <w:szCs w:val="22"/>
        </w:rPr>
        <w:t xml:space="preserve"> </w:t>
      </w:r>
      <w:r>
        <w:rPr>
          <w:sz w:val="22"/>
          <w:szCs w:val="22"/>
        </w:rPr>
        <w:t>On the export side, the share of Personal travel services exports in South Africa’s total services exports fell from 48% in 2019 to 27% in 2020.</w:t>
      </w:r>
      <w:r w:rsidR="00844B61">
        <w:rPr>
          <w:sz w:val="22"/>
          <w:szCs w:val="22"/>
        </w:rPr>
        <w:t xml:space="preserve"> </w:t>
      </w:r>
      <w:r>
        <w:rPr>
          <w:sz w:val="22"/>
          <w:szCs w:val="22"/>
        </w:rPr>
        <w:t>The import share fell from 14% to 5.5% in the same period. The impact of the pandemic on Personal travel services was largely responsible for turning South Africa’s small overall services trade surplus in 2018 into a significant deficit in 2020 (Table 10).</w:t>
      </w:r>
    </w:p>
    <w:p w14:paraId="00000442" w14:textId="2B60BF12" w:rsidR="00294ABB" w:rsidRDefault="00420BFB" w:rsidP="00835B56">
      <w:pPr>
        <w:spacing w:line="259" w:lineRule="auto"/>
        <w:rPr>
          <w:sz w:val="22"/>
          <w:szCs w:val="22"/>
        </w:rPr>
      </w:pPr>
      <w:r>
        <w:rPr>
          <w:sz w:val="22"/>
          <w:szCs w:val="22"/>
        </w:rPr>
        <w:t>In the UNESCO FCS, the Other personal travel services sector is classified under Related cultural services and tourism.</w:t>
      </w:r>
      <w:r w:rsidR="00844B61">
        <w:rPr>
          <w:sz w:val="22"/>
          <w:szCs w:val="22"/>
        </w:rPr>
        <w:t xml:space="preserve"> </w:t>
      </w:r>
      <w:r>
        <w:rPr>
          <w:sz w:val="22"/>
          <w:szCs w:val="22"/>
        </w:rPr>
        <w:t>The discussion now turns to the impact of the pandemic on core cultural services sectors and the services sectors important for cultural sector equipment and supporting materials.</w:t>
      </w:r>
      <w:r w:rsidR="00844B61">
        <w:rPr>
          <w:sz w:val="22"/>
          <w:szCs w:val="22"/>
        </w:rPr>
        <w:t xml:space="preserve"> </w:t>
      </w:r>
      <w:r>
        <w:rPr>
          <w:sz w:val="22"/>
          <w:szCs w:val="22"/>
        </w:rPr>
        <w:t>Under core cultural services, PCR services category is relevant, although it contains activities that are not part of cultural services trade. South Africa ran a consistent trade surplus in PCR services in the 2007</w:t>
      </w:r>
      <w:r w:rsidR="00C3519D">
        <w:rPr>
          <w:sz w:val="22"/>
          <w:szCs w:val="22"/>
        </w:rPr>
        <w:t>–</w:t>
      </w:r>
      <w:r>
        <w:rPr>
          <w:sz w:val="22"/>
          <w:szCs w:val="22"/>
        </w:rPr>
        <w:t>2018 period.</w:t>
      </w:r>
      <w:r w:rsidR="00844B61">
        <w:rPr>
          <w:sz w:val="22"/>
          <w:szCs w:val="22"/>
        </w:rPr>
        <w:t xml:space="preserve"> </w:t>
      </w:r>
      <w:r>
        <w:rPr>
          <w:sz w:val="22"/>
          <w:szCs w:val="22"/>
        </w:rPr>
        <w:t>The ITC-UNCTAD-WTO data allows for some disaggregation of this sector, as Table 10 shows.</w:t>
      </w:r>
      <w:r w:rsidR="00844B61">
        <w:rPr>
          <w:sz w:val="22"/>
          <w:szCs w:val="22"/>
        </w:rPr>
        <w:t xml:space="preserve"> </w:t>
      </w:r>
    </w:p>
    <w:p w14:paraId="00000443" w14:textId="62656D8C" w:rsidR="00294ABB" w:rsidRDefault="00420BFB" w:rsidP="00835B56">
      <w:pPr>
        <w:spacing w:line="259" w:lineRule="auto"/>
        <w:rPr>
          <w:sz w:val="22"/>
          <w:szCs w:val="22"/>
        </w:rPr>
      </w:pPr>
      <w:bookmarkStart w:id="63" w:name="_heading=h.2u6wntf" w:colFirst="0" w:colLast="0"/>
      <w:bookmarkEnd w:id="63"/>
      <w:r>
        <w:rPr>
          <w:sz w:val="22"/>
          <w:szCs w:val="22"/>
        </w:rPr>
        <w:t>Two of the components within the PCR sector that can be isolated are Audio-visual and related services and Other PCR services.</w:t>
      </w:r>
      <w:r w:rsidR="00844B61">
        <w:rPr>
          <w:sz w:val="22"/>
          <w:szCs w:val="22"/>
        </w:rPr>
        <w:t xml:space="preserve"> </w:t>
      </w:r>
      <w:r>
        <w:rPr>
          <w:sz w:val="22"/>
          <w:szCs w:val="22"/>
        </w:rPr>
        <w:t>The former is a “pure” core cultural services sub-sector. Since 2007, South Africa has run a surplus in both sub-sectors, except for 2011 in the case of Other PCR services.</w:t>
      </w:r>
      <w:r w:rsidR="00844B61">
        <w:rPr>
          <w:sz w:val="22"/>
          <w:szCs w:val="22"/>
        </w:rPr>
        <w:t xml:space="preserve"> </w:t>
      </w:r>
      <w:r>
        <w:rPr>
          <w:sz w:val="22"/>
          <w:szCs w:val="22"/>
        </w:rPr>
        <w:t>In Audio-visual and related services, exports grew more strongly than imports after 2009, and growth accelerated noticeably from 2014.</w:t>
      </w:r>
      <w:r w:rsidR="00844B61">
        <w:rPr>
          <w:sz w:val="22"/>
          <w:szCs w:val="22"/>
        </w:rPr>
        <w:t xml:space="preserve"> </w:t>
      </w:r>
      <w:r>
        <w:rPr>
          <w:sz w:val="22"/>
          <w:szCs w:val="22"/>
        </w:rPr>
        <w:t>There have been local incentives in this sub-sector that could have played a role in this trend.</w:t>
      </w:r>
      <w:r w:rsidR="00844B61">
        <w:rPr>
          <w:sz w:val="22"/>
          <w:szCs w:val="22"/>
        </w:rPr>
        <w:t xml:space="preserve"> </w:t>
      </w:r>
      <w:r>
        <w:rPr>
          <w:sz w:val="22"/>
          <w:szCs w:val="22"/>
        </w:rPr>
        <w:t>The growing trade surplus in Audio-visual and related services widened further between 2018 and 2019 (Table 10).</w:t>
      </w:r>
      <w:r w:rsidR="00844B61">
        <w:rPr>
          <w:sz w:val="22"/>
          <w:szCs w:val="22"/>
        </w:rPr>
        <w:t xml:space="preserve"> </w:t>
      </w:r>
      <w:r>
        <w:rPr>
          <w:sz w:val="22"/>
          <w:szCs w:val="22"/>
        </w:rPr>
        <w:t>Exports and imports both contracted during 2020, and the trade surplus decreased, although not dramatically. Exports actually grew in 2020 in Other PCR services while imports fell, widening the trade surplus in this sub-sector.</w:t>
      </w:r>
    </w:p>
    <w:p w14:paraId="00000444" w14:textId="0894F438" w:rsidR="00294ABB" w:rsidRDefault="00420BFB" w:rsidP="00835B56">
      <w:pPr>
        <w:spacing w:line="259" w:lineRule="auto"/>
        <w:rPr>
          <w:sz w:val="22"/>
          <w:szCs w:val="22"/>
        </w:rPr>
      </w:pPr>
      <w:r>
        <w:rPr>
          <w:sz w:val="22"/>
          <w:szCs w:val="22"/>
        </w:rPr>
        <w:t>Other sectors important for core cultural services in which South Africa’s exports increased between 2019 and 2020 include Architectural, engineering &amp; other technical services (which contains the Architectural services sub-sector). The trade deficit nearly halved in this sector.</w:t>
      </w:r>
      <w:r w:rsidR="00844B61">
        <w:rPr>
          <w:sz w:val="22"/>
          <w:szCs w:val="22"/>
        </w:rPr>
        <w:t xml:space="preserve"> </w:t>
      </w:r>
      <w:r>
        <w:rPr>
          <w:sz w:val="22"/>
          <w:szCs w:val="22"/>
        </w:rPr>
        <w:t>Interestingly exports also increased in Telecommunications, computer and information services which are important for both core cultural services (the Other information services component) and Equipment and supporting materials (Computer services and software licences).</w:t>
      </w:r>
      <w:r w:rsidR="00844B61">
        <w:rPr>
          <w:sz w:val="22"/>
          <w:szCs w:val="22"/>
        </w:rPr>
        <w:t xml:space="preserve"> </w:t>
      </w:r>
      <w:r>
        <w:rPr>
          <w:sz w:val="22"/>
          <w:szCs w:val="22"/>
        </w:rPr>
        <w:t>However, the faster growth in imports meant that the trade deficit widened in this sector.</w:t>
      </w:r>
      <w:r w:rsidR="00844B61">
        <w:rPr>
          <w:sz w:val="22"/>
          <w:szCs w:val="22"/>
        </w:rPr>
        <w:t xml:space="preserve"> </w:t>
      </w:r>
      <w:r>
        <w:rPr>
          <w:sz w:val="22"/>
          <w:szCs w:val="22"/>
        </w:rPr>
        <w:t>The Telecommunications, computer and information services sector is one of two sectors important for cultural services trade for which South Africa’s trade deficit is greatest.</w:t>
      </w:r>
      <w:r w:rsidR="00844B61">
        <w:rPr>
          <w:sz w:val="22"/>
          <w:szCs w:val="22"/>
        </w:rPr>
        <w:t xml:space="preserve"> </w:t>
      </w:r>
      <w:r>
        <w:rPr>
          <w:sz w:val="22"/>
          <w:szCs w:val="22"/>
        </w:rPr>
        <w:t>The other sector is Charges for the use of intellectual property.</w:t>
      </w:r>
      <w:r w:rsidR="00844B61">
        <w:rPr>
          <w:sz w:val="22"/>
          <w:szCs w:val="22"/>
        </w:rPr>
        <w:t xml:space="preserve"> </w:t>
      </w:r>
      <w:r>
        <w:rPr>
          <w:sz w:val="22"/>
          <w:szCs w:val="22"/>
        </w:rPr>
        <w:t>There appears to have been less impact on Charges for the use of intellectual property as a result of the COVID-19 pandemic.</w:t>
      </w:r>
      <w:r w:rsidR="00844B61">
        <w:rPr>
          <w:sz w:val="22"/>
          <w:szCs w:val="22"/>
        </w:rPr>
        <w:t xml:space="preserve"> </w:t>
      </w:r>
      <w:r>
        <w:rPr>
          <w:sz w:val="22"/>
          <w:szCs w:val="22"/>
        </w:rPr>
        <w:t>South Africa’s exports in this sector fell very slightly between 2019 and 2020, while imports grew only marginally.</w:t>
      </w:r>
      <w:r w:rsidR="00844B61">
        <w:rPr>
          <w:sz w:val="22"/>
          <w:szCs w:val="22"/>
        </w:rPr>
        <w:t xml:space="preserve"> </w:t>
      </w:r>
      <w:r>
        <w:rPr>
          <w:sz w:val="22"/>
          <w:szCs w:val="22"/>
        </w:rPr>
        <w:t>The trade deficit worsened by more in another sector relevant for core cultural services, namely Advertising and market research services (Table 10).</w:t>
      </w:r>
    </w:p>
    <w:p w14:paraId="00000445" w14:textId="5365C3D3" w:rsidR="00294ABB" w:rsidRDefault="00420BFB" w:rsidP="00835B56">
      <w:pPr>
        <w:spacing w:line="259" w:lineRule="auto"/>
        <w:rPr>
          <w:sz w:val="22"/>
          <w:szCs w:val="22"/>
        </w:rPr>
      </w:pPr>
      <w:r>
        <w:rPr>
          <w:sz w:val="22"/>
          <w:szCs w:val="22"/>
        </w:rPr>
        <w:lastRenderedPageBreak/>
        <w:t>In sum, the main impact of the COVID-19 pandemic on services trade was felt in the Personal travel services sector which is classified under Related cultural services and tourism in the UNESCO FCS. The PCR services sector as a whole was quite strongly affected on the export side, but Audio-visual and related services and Other PCR services demonstrated some resilience to the shock.</w:t>
      </w:r>
      <w:r w:rsidR="00844B61">
        <w:rPr>
          <w:sz w:val="22"/>
          <w:szCs w:val="22"/>
        </w:rPr>
        <w:t xml:space="preserve"> </w:t>
      </w:r>
      <w:r>
        <w:rPr>
          <w:sz w:val="22"/>
          <w:szCs w:val="22"/>
        </w:rPr>
        <w:t>Exports increased between 2019 and 2020 in some of the broad services sectors relevant for cultural services trade, including Architectural, engineering and other technical services and Telecommunications, computer and information services.</w:t>
      </w:r>
    </w:p>
    <w:p w14:paraId="00000446" w14:textId="77777777" w:rsidR="00294ABB" w:rsidRDefault="00420BFB">
      <w:pPr>
        <w:pStyle w:val="Heading1"/>
        <w:numPr>
          <w:ilvl w:val="0"/>
          <w:numId w:val="1"/>
        </w:numPr>
      </w:pPr>
      <w:bookmarkStart w:id="64" w:name="_Toc92623049"/>
      <w:r>
        <w:t>Concluding remarks</w:t>
      </w:r>
      <w:bookmarkEnd w:id="64"/>
    </w:p>
    <w:p w14:paraId="00000447" w14:textId="2D05A5AC" w:rsidR="00294ABB" w:rsidRDefault="00420BFB" w:rsidP="00835B56">
      <w:pPr>
        <w:spacing w:line="259" w:lineRule="auto"/>
        <w:rPr>
          <w:sz w:val="22"/>
          <w:szCs w:val="22"/>
        </w:rPr>
      </w:pPr>
      <w:r>
        <w:rPr>
          <w:sz w:val="22"/>
          <w:szCs w:val="22"/>
        </w:rPr>
        <w:t>This report examined South Africa’s cultural goods trade from a regional perspective with a focus on the USMCA bloc and SADC, and the impact of the COVID-19 pandemic. It also assessed the impact of the pandemic on services categories that are important for cultural services trade.</w:t>
      </w:r>
      <w:r w:rsidR="00844B61">
        <w:rPr>
          <w:sz w:val="22"/>
          <w:szCs w:val="22"/>
        </w:rPr>
        <w:t xml:space="preserve"> </w:t>
      </w:r>
      <w:r>
        <w:rPr>
          <w:sz w:val="22"/>
          <w:szCs w:val="22"/>
        </w:rPr>
        <w:t xml:space="preserve">The chapter forms part of the 2022 CCI mapping study, in which trade in cultural goods and services are defined in accordance with the 2009 UNESCO FCS. </w:t>
      </w:r>
    </w:p>
    <w:p w14:paraId="00000448" w14:textId="0A8FC870" w:rsidR="00294ABB" w:rsidRDefault="00420BFB" w:rsidP="00835B56">
      <w:pPr>
        <w:spacing w:line="259" w:lineRule="auto"/>
        <w:rPr>
          <w:sz w:val="22"/>
          <w:szCs w:val="22"/>
        </w:rPr>
      </w:pPr>
      <w:r>
        <w:rPr>
          <w:sz w:val="22"/>
          <w:szCs w:val="22"/>
        </w:rPr>
        <w:t>Section 4.1 of the report analysed the recent performance of South Africa’s cultural goods trade with a focus on the impact of the COVID-19 pandemic since early 2020.</w:t>
      </w:r>
      <w:r w:rsidR="00844B61">
        <w:rPr>
          <w:sz w:val="22"/>
          <w:szCs w:val="22"/>
        </w:rPr>
        <w:t xml:space="preserve"> </w:t>
      </w:r>
      <w:r>
        <w:rPr>
          <w:sz w:val="22"/>
          <w:szCs w:val="22"/>
        </w:rPr>
        <w:t>It also considered whether there was a differential impact on the various cultural domains as a result of the trade shock caused by the pandemic.</w:t>
      </w:r>
      <w:r w:rsidR="00844B61">
        <w:rPr>
          <w:sz w:val="22"/>
          <w:szCs w:val="22"/>
        </w:rPr>
        <w:t xml:space="preserve"> </w:t>
      </w:r>
      <w:r>
        <w:rPr>
          <w:sz w:val="22"/>
          <w:szCs w:val="22"/>
        </w:rPr>
        <w:t>Section 4.2 then updated the analysis of South Africa’s cultural goods trade from a regional perspective presented in Cattaneo and Snowball (2020), comparing the 2018 results from the previous report with the regional shares in 2019.</w:t>
      </w:r>
      <w:r w:rsidR="00844B61">
        <w:rPr>
          <w:sz w:val="22"/>
          <w:szCs w:val="22"/>
        </w:rPr>
        <w:t xml:space="preserve"> </w:t>
      </w:r>
      <w:r>
        <w:rPr>
          <w:sz w:val="22"/>
          <w:szCs w:val="22"/>
        </w:rPr>
        <w:t>Following this, South Africa’s cultural goods trade with the USMCA and SADC blocs was specifically analysed, given their importance as regional trading partners for the country’s cultural trade.</w:t>
      </w:r>
    </w:p>
    <w:p w14:paraId="00000449" w14:textId="363E0962" w:rsidR="00294ABB" w:rsidRDefault="00420BFB" w:rsidP="00835B56">
      <w:pPr>
        <w:spacing w:line="259" w:lineRule="auto"/>
        <w:rPr>
          <w:sz w:val="22"/>
          <w:szCs w:val="22"/>
        </w:rPr>
      </w:pPr>
      <w:r>
        <w:rPr>
          <w:sz w:val="22"/>
          <w:szCs w:val="22"/>
        </w:rPr>
        <w:t>Section 4.3 discussed South Africa’s intra-industry trade (IIT) with USMCA and SADC, in comparison to IIT with regions such as the EU and BRICS, investigated in previous SACO trade reports.</w:t>
      </w:r>
      <w:r w:rsidR="00844B61">
        <w:rPr>
          <w:sz w:val="22"/>
          <w:szCs w:val="22"/>
        </w:rPr>
        <w:t xml:space="preserve"> </w:t>
      </w:r>
      <w:r>
        <w:rPr>
          <w:sz w:val="22"/>
          <w:szCs w:val="22"/>
        </w:rPr>
        <w:t>Section 4.4 measured and discussed trade complementarity indices for cultural goods trade between South Africa and the USMCA bloc on the one hand, and South Africa and the rest of SADC on the other.</w:t>
      </w:r>
      <w:r w:rsidR="00844B61">
        <w:rPr>
          <w:sz w:val="22"/>
          <w:szCs w:val="22"/>
        </w:rPr>
        <w:t xml:space="preserve"> </w:t>
      </w:r>
      <w:r>
        <w:rPr>
          <w:sz w:val="22"/>
          <w:szCs w:val="22"/>
        </w:rPr>
        <w:t>Finally, Section 4.5 examined recent trends in services categories that are important for South Africa’s cultural services trade, with a particular focus on the impact of the COVID-19 pandemic in 2020.</w:t>
      </w:r>
    </w:p>
    <w:p w14:paraId="0000044B" w14:textId="77777777" w:rsidR="00294ABB" w:rsidRDefault="00420BFB" w:rsidP="00835B56">
      <w:pPr>
        <w:spacing w:after="0" w:line="259" w:lineRule="auto"/>
        <w:rPr>
          <w:sz w:val="22"/>
          <w:szCs w:val="22"/>
        </w:rPr>
      </w:pPr>
      <w:r>
        <w:rPr>
          <w:sz w:val="22"/>
          <w:szCs w:val="22"/>
        </w:rPr>
        <w:t>The main findings of the report are as follows:</w:t>
      </w:r>
    </w:p>
    <w:p w14:paraId="0000044C" w14:textId="2086041E" w:rsidR="00294ABB" w:rsidRDefault="00420BFB" w:rsidP="00835B56">
      <w:pPr>
        <w:numPr>
          <w:ilvl w:val="0"/>
          <w:numId w:val="2"/>
        </w:numPr>
        <w:pBdr>
          <w:top w:val="nil"/>
          <w:left w:val="nil"/>
          <w:bottom w:val="nil"/>
          <w:right w:val="nil"/>
          <w:between w:val="nil"/>
        </w:pBdr>
        <w:spacing w:after="0" w:line="259" w:lineRule="auto"/>
        <w:rPr>
          <w:color w:val="000000"/>
          <w:sz w:val="22"/>
          <w:szCs w:val="22"/>
        </w:rPr>
      </w:pPr>
      <w:r>
        <w:rPr>
          <w:color w:val="000000"/>
          <w:sz w:val="22"/>
          <w:szCs w:val="22"/>
        </w:rPr>
        <w:t>In the period 2012</w:t>
      </w:r>
      <w:r w:rsidR="00D67B91">
        <w:rPr>
          <w:color w:val="000000"/>
          <w:sz w:val="22"/>
          <w:szCs w:val="22"/>
        </w:rPr>
        <w:t>–20</w:t>
      </w:r>
      <w:r>
        <w:rPr>
          <w:color w:val="000000"/>
          <w:sz w:val="22"/>
          <w:szCs w:val="22"/>
        </w:rPr>
        <w:t>18 overall, cultural goods exports grew faster than total commodity exports while cultural goods imports contracted more rapidly than total commodity imports.</w:t>
      </w:r>
      <w:r w:rsidR="00844B61">
        <w:rPr>
          <w:color w:val="000000"/>
          <w:sz w:val="22"/>
          <w:szCs w:val="22"/>
        </w:rPr>
        <w:t xml:space="preserve"> </w:t>
      </w:r>
      <w:r>
        <w:rPr>
          <w:color w:val="000000"/>
          <w:sz w:val="22"/>
          <w:szCs w:val="22"/>
        </w:rPr>
        <w:t>As a result, the cultural good export share rose while the cultural good import share declined during this period.</w:t>
      </w:r>
    </w:p>
    <w:p w14:paraId="0000044D" w14:textId="77777777" w:rsidR="00294ABB" w:rsidRDefault="00420BFB" w:rsidP="00835B56">
      <w:pPr>
        <w:numPr>
          <w:ilvl w:val="0"/>
          <w:numId w:val="2"/>
        </w:numPr>
        <w:pBdr>
          <w:top w:val="nil"/>
          <w:left w:val="nil"/>
          <w:bottom w:val="nil"/>
          <w:right w:val="nil"/>
          <w:between w:val="nil"/>
        </w:pBdr>
        <w:spacing w:after="0" w:line="259" w:lineRule="auto"/>
        <w:rPr>
          <w:color w:val="000000"/>
          <w:sz w:val="22"/>
          <w:szCs w:val="22"/>
        </w:rPr>
      </w:pPr>
      <w:r>
        <w:rPr>
          <w:color w:val="000000"/>
          <w:sz w:val="22"/>
          <w:szCs w:val="22"/>
        </w:rPr>
        <w:t xml:space="preserve">In 2020 as a whole, cultural goods imports fell by more than exports and the country recorded a trade surplus in its cultural goods trade for the first time in the period under study. </w:t>
      </w:r>
    </w:p>
    <w:p w14:paraId="0000044E" w14:textId="127EF0FD" w:rsidR="00294ABB" w:rsidRDefault="00420BFB" w:rsidP="00835B56">
      <w:pPr>
        <w:numPr>
          <w:ilvl w:val="0"/>
          <w:numId w:val="2"/>
        </w:numPr>
        <w:pBdr>
          <w:top w:val="nil"/>
          <w:left w:val="nil"/>
          <w:bottom w:val="nil"/>
          <w:right w:val="nil"/>
          <w:between w:val="nil"/>
        </w:pBdr>
        <w:spacing w:after="0" w:line="259" w:lineRule="auto"/>
        <w:rPr>
          <w:color w:val="000000"/>
          <w:sz w:val="22"/>
          <w:szCs w:val="22"/>
        </w:rPr>
      </w:pPr>
      <w:r>
        <w:rPr>
          <w:color w:val="000000"/>
          <w:sz w:val="22"/>
          <w:szCs w:val="22"/>
        </w:rPr>
        <w:t>Although cultural goods exports initially appeared to recover more quickly than imports after the hard lockdown in Quarter 2 of 2020, they have not yet reached pre-pandemic levels again. On the other hand, cultural goods imports reached pre-pandemic levels in 2021Q3.</w:t>
      </w:r>
      <w:r w:rsidR="00844B61">
        <w:rPr>
          <w:color w:val="000000"/>
          <w:sz w:val="22"/>
          <w:szCs w:val="22"/>
        </w:rPr>
        <w:t xml:space="preserve"> </w:t>
      </w:r>
      <w:r>
        <w:rPr>
          <w:color w:val="000000"/>
          <w:sz w:val="22"/>
          <w:szCs w:val="22"/>
        </w:rPr>
        <w:t>It seems likely that a cultural goods trade deficit will occur once again for 2021 as a whole.</w:t>
      </w:r>
    </w:p>
    <w:p w14:paraId="0000044F" w14:textId="481FBB0D" w:rsidR="00294ABB" w:rsidRDefault="00420BFB" w:rsidP="00835B56">
      <w:pPr>
        <w:numPr>
          <w:ilvl w:val="0"/>
          <w:numId w:val="2"/>
        </w:numPr>
        <w:pBdr>
          <w:top w:val="nil"/>
          <w:left w:val="nil"/>
          <w:bottom w:val="nil"/>
          <w:right w:val="nil"/>
          <w:between w:val="nil"/>
        </w:pBdr>
        <w:spacing w:after="0" w:line="259" w:lineRule="auto"/>
        <w:rPr>
          <w:color w:val="000000"/>
          <w:sz w:val="22"/>
          <w:szCs w:val="22"/>
        </w:rPr>
      </w:pPr>
      <w:r>
        <w:rPr>
          <w:color w:val="000000"/>
          <w:sz w:val="22"/>
          <w:szCs w:val="22"/>
        </w:rPr>
        <w:t>During the pandemic, Visual Arts and Crafts exports and imports were the worst affected in absolute terms, with imports contracting more than exports.</w:t>
      </w:r>
      <w:r w:rsidR="00844B61">
        <w:rPr>
          <w:color w:val="000000"/>
          <w:sz w:val="22"/>
          <w:szCs w:val="22"/>
        </w:rPr>
        <w:t xml:space="preserve"> </w:t>
      </w:r>
      <w:r>
        <w:rPr>
          <w:color w:val="000000"/>
          <w:sz w:val="22"/>
          <w:szCs w:val="22"/>
        </w:rPr>
        <w:t>Performance and Celebration imports also fell by more than exports.</w:t>
      </w:r>
      <w:r w:rsidR="00844B61">
        <w:rPr>
          <w:color w:val="000000"/>
          <w:sz w:val="22"/>
          <w:szCs w:val="22"/>
        </w:rPr>
        <w:t xml:space="preserve"> </w:t>
      </w:r>
      <w:r>
        <w:rPr>
          <w:color w:val="000000"/>
          <w:sz w:val="22"/>
          <w:szCs w:val="22"/>
        </w:rPr>
        <w:t>Books and Press exports increased marginally, while imports fell the most in absolute terms out of all the cultural domains. There was little impact on trade in the Cultural and Natural Heritage domain.</w:t>
      </w:r>
    </w:p>
    <w:p w14:paraId="00000450" w14:textId="33F17E6D" w:rsidR="00294ABB" w:rsidRDefault="00420BFB" w:rsidP="00835B56">
      <w:pPr>
        <w:numPr>
          <w:ilvl w:val="0"/>
          <w:numId w:val="2"/>
        </w:numPr>
        <w:pBdr>
          <w:top w:val="nil"/>
          <w:left w:val="nil"/>
          <w:bottom w:val="nil"/>
          <w:right w:val="nil"/>
          <w:between w:val="nil"/>
        </w:pBdr>
        <w:spacing w:after="0" w:line="259" w:lineRule="auto"/>
        <w:rPr>
          <w:color w:val="000000"/>
          <w:sz w:val="22"/>
          <w:szCs w:val="22"/>
        </w:rPr>
      </w:pPr>
      <w:r>
        <w:rPr>
          <w:color w:val="000000"/>
          <w:sz w:val="22"/>
          <w:szCs w:val="22"/>
        </w:rPr>
        <w:lastRenderedPageBreak/>
        <w:t>South Africa’s most important regional trading partners for cultural goods exports in 2019 were USMCA (mainly the US), EU28 and SADC.</w:t>
      </w:r>
      <w:r w:rsidR="00844B61">
        <w:rPr>
          <w:color w:val="000000"/>
          <w:sz w:val="22"/>
          <w:szCs w:val="22"/>
        </w:rPr>
        <w:t xml:space="preserve"> </w:t>
      </w:r>
      <w:r>
        <w:rPr>
          <w:color w:val="000000"/>
          <w:sz w:val="22"/>
          <w:szCs w:val="22"/>
        </w:rPr>
        <w:t xml:space="preserve">On the import side, the top three regional partners in 2019 were BRICS (mainly China), EU28 and USMCA. </w:t>
      </w:r>
    </w:p>
    <w:p w14:paraId="00000451" w14:textId="5D59869C" w:rsidR="00294ABB" w:rsidRDefault="00420BFB" w:rsidP="00835B56">
      <w:pPr>
        <w:numPr>
          <w:ilvl w:val="0"/>
          <w:numId w:val="2"/>
        </w:numPr>
        <w:pBdr>
          <w:top w:val="nil"/>
          <w:left w:val="nil"/>
          <w:bottom w:val="nil"/>
          <w:right w:val="nil"/>
          <w:between w:val="nil"/>
        </w:pBdr>
        <w:spacing w:after="0" w:line="259" w:lineRule="auto"/>
        <w:rPr>
          <w:color w:val="000000"/>
          <w:sz w:val="22"/>
          <w:szCs w:val="22"/>
        </w:rPr>
      </w:pPr>
      <w:r>
        <w:rPr>
          <w:color w:val="000000"/>
          <w:sz w:val="22"/>
          <w:szCs w:val="22"/>
        </w:rPr>
        <w:t>USMCA has become a growing market for South Africa’s cultural goods exports and the country has had a significant cultural goods trade surplus with the bloc since 2013. It would be interesting to investigate whether any cultural good categories receive benefits under the AGOA Agreement with the US.</w:t>
      </w:r>
      <w:r w:rsidR="00844B61">
        <w:rPr>
          <w:color w:val="000000"/>
          <w:sz w:val="22"/>
          <w:szCs w:val="22"/>
        </w:rPr>
        <w:t xml:space="preserve"> </w:t>
      </w:r>
      <w:r>
        <w:rPr>
          <w:color w:val="000000"/>
          <w:sz w:val="22"/>
          <w:szCs w:val="22"/>
        </w:rPr>
        <w:t>Imports from USMCA have been prominent, but on a downward trend.</w:t>
      </w:r>
    </w:p>
    <w:p w14:paraId="00000452" w14:textId="37094526" w:rsidR="00294ABB" w:rsidRDefault="00420BFB" w:rsidP="00835B56">
      <w:pPr>
        <w:numPr>
          <w:ilvl w:val="0"/>
          <w:numId w:val="2"/>
        </w:numPr>
        <w:pBdr>
          <w:top w:val="nil"/>
          <w:left w:val="nil"/>
          <w:bottom w:val="nil"/>
          <w:right w:val="nil"/>
          <w:between w:val="nil"/>
        </w:pBdr>
        <w:spacing w:after="0" w:line="259" w:lineRule="auto"/>
        <w:rPr>
          <w:color w:val="000000"/>
          <w:sz w:val="22"/>
          <w:szCs w:val="22"/>
        </w:rPr>
      </w:pPr>
      <w:r>
        <w:rPr>
          <w:color w:val="000000"/>
          <w:sz w:val="22"/>
          <w:szCs w:val="22"/>
        </w:rPr>
        <w:t>SADC is an important export market for South Africa’s cultural products and the country has had a large cultural goods trade surplus with the region throughout the period under study. The trade imbalance in South Africa’s favour has increased in recent years, as cultural goods imports from SADC have fallen, despite duty-free access into the South African market.</w:t>
      </w:r>
      <w:r w:rsidR="00844B61">
        <w:rPr>
          <w:color w:val="000000"/>
          <w:sz w:val="22"/>
          <w:szCs w:val="22"/>
        </w:rPr>
        <w:t xml:space="preserve"> </w:t>
      </w:r>
      <w:r>
        <w:rPr>
          <w:color w:val="000000"/>
          <w:sz w:val="22"/>
          <w:szCs w:val="22"/>
        </w:rPr>
        <w:t>A discussion on the potential of the creative economy in the SADC regional industrial strategy could be useful in this regard.</w:t>
      </w:r>
    </w:p>
    <w:p w14:paraId="00000453" w14:textId="77777777" w:rsidR="00294ABB" w:rsidRDefault="00420BFB" w:rsidP="00835B56">
      <w:pPr>
        <w:numPr>
          <w:ilvl w:val="0"/>
          <w:numId w:val="2"/>
        </w:numPr>
        <w:pBdr>
          <w:top w:val="nil"/>
          <w:left w:val="nil"/>
          <w:bottom w:val="nil"/>
          <w:right w:val="nil"/>
          <w:between w:val="nil"/>
        </w:pBdr>
        <w:spacing w:after="0" w:line="259" w:lineRule="auto"/>
        <w:rPr>
          <w:color w:val="000000"/>
          <w:sz w:val="22"/>
          <w:szCs w:val="22"/>
        </w:rPr>
      </w:pPr>
      <w:r>
        <w:rPr>
          <w:color w:val="000000"/>
          <w:sz w:val="22"/>
          <w:szCs w:val="22"/>
        </w:rPr>
        <w:t>Visual Arts and Crafts and Cultural and Natural Heritage are the most important export domains to the USMCA, while Books and Press and Visual Arts and Crafts are the most important export domains to SADC.</w:t>
      </w:r>
    </w:p>
    <w:p w14:paraId="00000454" w14:textId="75D7FB27" w:rsidR="00294ABB" w:rsidRDefault="00420BFB" w:rsidP="00835B56">
      <w:pPr>
        <w:numPr>
          <w:ilvl w:val="0"/>
          <w:numId w:val="2"/>
        </w:numPr>
        <w:pBdr>
          <w:top w:val="nil"/>
          <w:left w:val="nil"/>
          <w:bottom w:val="nil"/>
          <w:right w:val="nil"/>
          <w:between w:val="nil"/>
        </w:pBdr>
        <w:spacing w:after="0" w:line="259" w:lineRule="auto"/>
        <w:rPr>
          <w:color w:val="000000"/>
          <w:sz w:val="22"/>
          <w:szCs w:val="22"/>
        </w:rPr>
      </w:pPr>
      <w:r>
        <w:rPr>
          <w:color w:val="000000"/>
          <w:sz w:val="22"/>
          <w:szCs w:val="22"/>
        </w:rPr>
        <w:t>South Africa’s intra-industry trade (IIT) in cultural products with SADC well exceeds that with USMCA at 22.68% versus 10.26%.</w:t>
      </w:r>
      <w:r w:rsidR="00844B61">
        <w:rPr>
          <w:color w:val="000000"/>
          <w:sz w:val="22"/>
          <w:szCs w:val="22"/>
        </w:rPr>
        <w:t xml:space="preserve"> </w:t>
      </w:r>
      <w:r>
        <w:rPr>
          <w:color w:val="000000"/>
          <w:sz w:val="22"/>
          <w:szCs w:val="22"/>
        </w:rPr>
        <w:t>IIT with SADC is most significant in Cultural and Natural Heritage and Books and Press, followed by Visual Arts and Crafts. IIT is significant with USMCA in the Performance and Celebration domain.</w:t>
      </w:r>
      <w:r w:rsidR="00844B61">
        <w:rPr>
          <w:color w:val="000000"/>
          <w:sz w:val="22"/>
          <w:szCs w:val="22"/>
        </w:rPr>
        <w:t xml:space="preserve"> </w:t>
      </w:r>
    </w:p>
    <w:p w14:paraId="00000455" w14:textId="79997F47" w:rsidR="00294ABB" w:rsidRDefault="00420BFB" w:rsidP="00835B56">
      <w:pPr>
        <w:numPr>
          <w:ilvl w:val="0"/>
          <w:numId w:val="2"/>
        </w:numPr>
        <w:pBdr>
          <w:top w:val="nil"/>
          <w:left w:val="nil"/>
          <w:bottom w:val="nil"/>
          <w:right w:val="nil"/>
          <w:between w:val="nil"/>
        </w:pBdr>
        <w:spacing w:after="0" w:line="259" w:lineRule="auto"/>
        <w:rPr>
          <w:color w:val="000000"/>
          <w:sz w:val="22"/>
          <w:szCs w:val="22"/>
        </w:rPr>
      </w:pPr>
      <w:r>
        <w:rPr>
          <w:color w:val="000000"/>
          <w:sz w:val="22"/>
          <w:szCs w:val="22"/>
        </w:rPr>
        <w:t>South Africa’s trade complementarity is relatively high with USMCA (47.2% and 43.65% on the export and import sides respectively), but higher with the EU28 (65.07% and 52.09%).</w:t>
      </w:r>
      <w:r w:rsidR="00844B61">
        <w:rPr>
          <w:color w:val="000000"/>
          <w:sz w:val="22"/>
          <w:szCs w:val="22"/>
        </w:rPr>
        <w:t xml:space="preserve"> </w:t>
      </w:r>
      <w:r>
        <w:rPr>
          <w:color w:val="000000"/>
          <w:sz w:val="22"/>
          <w:szCs w:val="22"/>
        </w:rPr>
        <w:t xml:space="preserve">This suggests that cultural products exported from South Africa match those demanded by the EU to a greater extent than in the case of USMCA and the same for imports. However, the trade complementarity indices (TCIs) with USMCA are still relatively significant. </w:t>
      </w:r>
    </w:p>
    <w:p w14:paraId="00000456" w14:textId="5058A9AC" w:rsidR="00294ABB" w:rsidRDefault="00420BFB" w:rsidP="00835B56">
      <w:pPr>
        <w:numPr>
          <w:ilvl w:val="0"/>
          <w:numId w:val="2"/>
        </w:numPr>
        <w:pBdr>
          <w:top w:val="nil"/>
          <w:left w:val="nil"/>
          <w:bottom w:val="nil"/>
          <w:right w:val="nil"/>
          <w:between w:val="nil"/>
        </w:pBdr>
        <w:spacing w:after="0" w:line="259" w:lineRule="auto"/>
        <w:rPr>
          <w:color w:val="000000"/>
          <w:sz w:val="22"/>
          <w:szCs w:val="22"/>
        </w:rPr>
      </w:pPr>
      <w:r>
        <w:rPr>
          <w:color w:val="000000"/>
          <w:sz w:val="22"/>
          <w:szCs w:val="22"/>
        </w:rPr>
        <w:t xml:space="preserve">South Africa’s export TCI with SADC exceeds its import TCI by over 14 percentage points. The export TCI with SADC is lower than that with USMCA and the EU but still notable at 35.79%. It is likely that South Africa and SADC trade very different sub-categories </w:t>
      </w:r>
      <w:r w:rsidR="003D194D">
        <w:rPr>
          <w:color w:val="000000"/>
          <w:sz w:val="22"/>
          <w:szCs w:val="22"/>
        </w:rPr>
        <w:t xml:space="preserve">with each other </w:t>
      </w:r>
      <w:r>
        <w:rPr>
          <w:color w:val="000000"/>
          <w:sz w:val="22"/>
          <w:szCs w:val="22"/>
        </w:rPr>
        <w:t>within each domain.</w:t>
      </w:r>
    </w:p>
    <w:p w14:paraId="00000457" w14:textId="2C1046ED" w:rsidR="00294ABB" w:rsidRDefault="00420BFB" w:rsidP="00835B56">
      <w:pPr>
        <w:numPr>
          <w:ilvl w:val="0"/>
          <w:numId w:val="2"/>
        </w:numPr>
        <w:pBdr>
          <w:top w:val="nil"/>
          <w:left w:val="nil"/>
          <w:bottom w:val="nil"/>
          <w:right w:val="nil"/>
          <w:between w:val="nil"/>
        </w:pBdr>
        <w:spacing w:after="0" w:line="259" w:lineRule="auto"/>
        <w:rPr>
          <w:color w:val="000000"/>
          <w:sz w:val="22"/>
          <w:szCs w:val="22"/>
        </w:rPr>
      </w:pPr>
      <w:r>
        <w:rPr>
          <w:color w:val="000000"/>
          <w:sz w:val="22"/>
          <w:szCs w:val="22"/>
        </w:rPr>
        <w:t>Personal travel services, which is an important related cultural services sector, was significantly affected by the COVID-19 pandemic, contracting by about two-thirds in 2020. Other services sectors important for core cultural services and equipment and materials showed some resilience in the face of the pandemic.</w:t>
      </w:r>
      <w:r w:rsidR="00844B61">
        <w:rPr>
          <w:color w:val="000000"/>
          <w:sz w:val="22"/>
          <w:szCs w:val="22"/>
        </w:rPr>
        <w:t xml:space="preserve"> </w:t>
      </w:r>
      <w:r>
        <w:rPr>
          <w:color w:val="000000"/>
          <w:sz w:val="22"/>
          <w:szCs w:val="22"/>
        </w:rPr>
        <w:t>Exports actually increased in 2020 in Telecommunications, computer and information services, and Architectural, engineering and other technical services.</w:t>
      </w:r>
      <w:r w:rsidR="00844B61">
        <w:rPr>
          <w:color w:val="000000"/>
          <w:sz w:val="22"/>
          <w:szCs w:val="22"/>
        </w:rPr>
        <w:t xml:space="preserve"> </w:t>
      </w:r>
      <w:r>
        <w:rPr>
          <w:color w:val="000000"/>
          <w:sz w:val="22"/>
          <w:szCs w:val="22"/>
        </w:rPr>
        <w:t>In addition, there was little impact on Charges for the use of intellectual property on either the export or the import side. While Personal, cultural and recreational services overall experienced a significant export reduction, the Audio-visual and related services component was not as badly impacted proportionately.</w:t>
      </w:r>
    </w:p>
    <w:p w14:paraId="00000458" w14:textId="77777777" w:rsidR="00294ABB" w:rsidRDefault="00420BFB" w:rsidP="00835B56">
      <w:pPr>
        <w:numPr>
          <w:ilvl w:val="0"/>
          <w:numId w:val="2"/>
        </w:numPr>
        <w:pBdr>
          <w:top w:val="nil"/>
          <w:left w:val="nil"/>
          <w:bottom w:val="nil"/>
          <w:right w:val="nil"/>
          <w:between w:val="nil"/>
        </w:pBdr>
        <w:spacing w:after="0" w:line="259" w:lineRule="auto"/>
        <w:rPr>
          <w:color w:val="000000"/>
          <w:sz w:val="22"/>
          <w:szCs w:val="22"/>
        </w:rPr>
      </w:pPr>
      <w:r>
        <w:rPr>
          <w:color w:val="000000"/>
          <w:sz w:val="22"/>
          <w:szCs w:val="22"/>
        </w:rPr>
        <w:t>The growing relative importance of cultural services trade in the face of digitisation implies that better data availability is needed for the relevant EBOPS cultural services categories set out in the UNESCO FCS.</w:t>
      </w:r>
    </w:p>
    <w:p w14:paraId="586C8107" w14:textId="208AB3FA" w:rsidR="007000C3" w:rsidRDefault="007000C3" w:rsidP="007000C3"/>
    <w:p w14:paraId="0000045A" w14:textId="77777777" w:rsidR="00294ABB" w:rsidRDefault="00420BFB" w:rsidP="00835B56">
      <w:pPr>
        <w:pStyle w:val="Heading1"/>
        <w:numPr>
          <w:ilvl w:val="0"/>
          <w:numId w:val="0"/>
        </w:numPr>
      </w:pPr>
      <w:bookmarkStart w:id="65" w:name="_Toc92623050"/>
      <w:r>
        <w:t>References</w:t>
      </w:r>
      <w:bookmarkEnd w:id="65"/>
    </w:p>
    <w:p w14:paraId="0000045B" w14:textId="72D70F77" w:rsidR="00294ABB" w:rsidRPr="00835B56" w:rsidRDefault="0028010D" w:rsidP="00835B56">
      <w:pPr>
        <w:spacing w:line="259" w:lineRule="auto"/>
        <w:jc w:val="left"/>
      </w:pPr>
      <w:r w:rsidRPr="004077CF">
        <w:t>African Union</w:t>
      </w:r>
      <w:r>
        <w:t xml:space="preserve"> (</w:t>
      </w:r>
      <w:r w:rsidR="00420BFB" w:rsidRPr="00835B56">
        <w:t xml:space="preserve">AU). </w:t>
      </w:r>
      <w:r w:rsidR="001921E5" w:rsidRPr="00835B56">
        <w:t>(</w:t>
      </w:r>
      <w:r w:rsidR="00420BFB" w:rsidRPr="00835B56">
        <w:t>2015</w:t>
      </w:r>
      <w:r w:rsidR="001921E5" w:rsidRPr="00835B56">
        <w:t>)</w:t>
      </w:r>
      <w:r w:rsidR="00420BFB" w:rsidRPr="00835B56">
        <w:t xml:space="preserve">. </w:t>
      </w:r>
      <w:r w:rsidR="00420BFB" w:rsidRPr="00835B56">
        <w:rPr>
          <w:i/>
          <w:iCs/>
        </w:rPr>
        <w:t>Agenda 2063 Framework Document</w:t>
      </w:r>
      <w:r w:rsidR="00420BFB" w:rsidRPr="00835B56">
        <w:t>. Addis Ababa</w:t>
      </w:r>
      <w:r>
        <w:t>:</w:t>
      </w:r>
      <w:r w:rsidRPr="0028010D">
        <w:t xml:space="preserve"> </w:t>
      </w:r>
      <w:r w:rsidRPr="0085527A">
        <w:t>AU</w:t>
      </w:r>
      <w:r>
        <w:t>.</w:t>
      </w:r>
    </w:p>
    <w:p w14:paraId="4AA06175" w14:textId="3F7942D0" w:rsidR="001574A0" w:rsidRPr="00835B56" w:rsidRDefault="00420BFB" w:rsidP="00835B56">
      <w:pPr>
        <w:spacing w:line="259" w:lineRule="auto"/>
        <w:jc w:val="left"/>
      </w:pPr>
      <w:r w:rsidRPr="00835B56">
        <w:t xml:space="preserve">Campi, M. and Duenas, M. </w:t>
      </w:r>
      <w:r w:rsidR="001921E5" w:rsidRPr="00835B56">
        <w:t>(</w:t>
      </w:r>
      <w:r w:rsidRPr="00835B56">
        <w:t>2018</w:t>
      </w:r>
      <w:r w:rsidR="001921E5" w:rsidRPr="00835B56">
        <w:t>)</w:t>
      </w:r>
      <w:r w:rsidRPr="00835B56">
        <w:t xml:space="preserve">. Intellectual property rights, trade agreements, and international trade. </w:t>
      </w:r>
      <w:r w:rsidRPr="00835B56">
        <w:rPr>
          <w:i/>
        </w:rPr>
        <w:t>Research Policy</w:t>
      </w:r>
      <w:r w:rsidR="007000C3" w:rsidRPr="00835B56">
        <w:rPr>
          <w:i/>
        </w:rPr>
        <w:t>.</w:t>
      </w:r>
      <w:r w:rsidRPr="00835B56">
        <w:t xml:space="preserve"> DOI.ORG/10.1016/j.respol.2018.09.011</w:t>
      </w:r>
    </w:p>
    <w:p w14:paraId="0000045F" w14:textId="7ABE01A4" w:rsidR="00294ABB" w:rsidRPr="00835B56" w:rsidRDefault="00420BFB" w:rsidP="00835B56">
      <w:pPr>
        <w:spacing w:line="259" w:lineRule="auto"/>
        <w:jc w:val="left"/>
      </w:pPr>
      <w:r w:rsidRPr="00835B56">
        <w:lastRenderedPageBreak/>
        <w:t xml:space="preserve">Cattaneo, N. and Fryer, D. </w:t>
      </w:r>
      <w:r w:rsidR="001921E5" w:rsidRPr="00835B56">
        <w:t>(</w:t>
      </w:r>
      <w:r w:rsidRPr="00835B56">
        <w:t>2002</w:t>
      </w:r>
      <w:r w:rsidR="001921E5" w:rsidRPr="00835B56">
        <w:rPr>
          <w:i/>
          <w:iCs/>
        </w:rPr>
        <w:t>)</w:t>
      </w:r>
      <w:r w:rsidRPr="00835B56">
        <w:rPr>
          <w:i/>
          <w:iCs/>
        </w:rPr>
        <w:t>.</w:t>
      </w:r>
      <w:r w:rsidR="00844B61" w:rsidRPr="00835B56">
        <w:rPr>
          <w:i/>
          <w:iCs/>
        </w:rPr>
        <w:t xml:space="preserve"> </w:t>
      </w:r>
      <w:r w:rsidRPr="00835B56">
        <w:rPr>
          <w:i/>
          <w:iCs/>
        </w:rPr>
        <w:t>Intra- versus inter-industry specialisation, labour market adjustment and poverty: implications for regional integration in southern Africa.</w:t>
      </w:r>
      <w:r w:rsidR="00844B61" w:rsidRPr="00835B56">
        <w:t xml:space="preserve"> </w:t>
      </w:r>
      <w:r w:rsidRPr="00835B56">
        <w:rPr>
          <w:iCs/>
        </w:rPr>
        <w:t>Trade and Industrial Policy Strategies Working Paper No. 15</w:t>
      </w:r>
      <w:r w:rsidR="0028010D">
        <w:rPr>
          <w:iCs/>
        </w:rPr>
        <w:t>.</w:t>
      </w:r>
      <w:r w:rsidRPr="00835B56">
        <w:t xml:space="preserve"> Johannesburg</w:t>
      </w:r>
      <w:r w:rsidR="0028010D">
        <w:t>: TIPS</w:t>
      </w:r>
      <w:r w:rsidRPr="00835B56">
        <w:t>.</w:t>
      </w:r>
    </w:p>
    <w:p w14:paraId="00000461" w14:textId="45E28A93" w:rsidR="00294ABB" w:rsidRPr="00835B56" w:rsidRDefault="00420BFB" w:rsidP="00835B56">
      <w:pPr>
        <w:spacing w:line="259" w:lineRule="auto"/>
        <w:jc w:val="left"/>
      </w:pPr>
      <w:r w:rsidRPr="00835B56">
        <w:t xml:space="preserve">Cattaneo, N. and Snowball, J. </w:t>
      </w:r>
      <w:r w:rsidR="001921E5" w:rsidRPr="00835B56">
        <w:t>(</w:t>
      </w:r>
      <w:r w:rsidRPr="00835B56">
        <w:t>2018</w:t>
      </w:r>
      <w:r w:rsidR="001921E5" w:rsidRPr="00835B56">
        <w:t>)</w:t>
      </w:r>
      <w:r w:rsidRPr="00835B56">
        <w:t xml:space="preserve">. </w:t>
      </w:r>
      <w:r w:rsidRPr="00835B56">
        <w:rPr>
          <w:i/>
        </w:rPr>
        <w:t>South Africa’s trade in cultural goods and services with a focus on cultural trade with BRICS partners</w:t>
      </w:r>
      <w:r w:rsidRPr="00835B56">
        <w:t>. South African Cultural Observatory.</w:t>
      </w:r>
    </w:p>
    <w:p w14:paraId="00000463" w14:textId="6651EDC8" w:rsidR="00294ABB" w:rsidRPr="00835B56" w:rsidRDefault="00420BFB" w:rsidP="00835B56">
      <w:pPr>
        <w:spacing w:line="259" w:lineRule="auto"/>
        <w:jc w:val="left"/>
      </w:pPr>
      <w:r w:rsidRPr="00835B56">
        <w:t xml:space="preserve">Cattaneo, N. and Snowball, J. </w:t>
      </w:r>
      <w:r w:rsidR="001921E5" w:rsidRPr="00835B56">
        <w:t>(</w:t>
      </w:r>
      <w:r w:rsidRPr="00835B56">
        <w:t>2019</w:t>
      </w:r>
      <w:r w:rsidR="001921E5" w:rsidRPr="00835B56">
        <w:t>)</w:t>
      </w:r>
      <w:r w:rsidRPr="00835B56">
        <w:t xml:space="preserve">. </w:t>
      </w:r>
      <w:r w:rsidRPr="00835B56">
        <w:rPr>
          <w:i/>
        </w:rPr>
        <w:t>South Africa</w:t>
      </w:r>
      <w:r w:rsidR="00C93471" w:rsidRPr="00835B56">
        <w:rPr>
          <w:i/>
        </w:rPr>
        <w:t>’</w:t>
      </w:r>
      <w:r w:rsidRPr="00835B56">
        <w:rPr>
          <w:i/>
        </w:rPr>
        <w:t>s cultural goods trade with Africa: policies and trade potentials in the context of the African Continental Free Trade Area Agreement</w:t>
      </w:r>
      <w:r w:rsidRPr="00835B56">
        <w:t>. South African Cultural Observatory.</w:t>
      </w:r>
    </w:p>
    <w:p w14:paraId="00000465" w14:textId="1292CD42" w:rsidR="00294ABB" w:rsidRPr="00835B56" w:rsidRDefault="00420BFB" w:rsidP="00835B56">
      <w:pPr>
        <w:spacing w:line="259" w:lineRule="auto"/>
        <w:jc w:val="left"/>
      </w:pPr>
      <w:r w:rsidRPr="00835B56">
        <w:t xml:space="preserve">Cattaneo, N. and Snowball, J. </w:t>
      </w:r>
      <w:r w:rsidR="001921E5" w:rsidRPr="00835B56">
        <w:t>(</w:t>
      </w:r>
      <w:r w:rsidRPr="00835B56">
        <w:t>2020</w:t>
      </w:r>
      <w:r w:rsidR="001921E5" w:rsidRPr="00835B56">
        <w:t>)</w:t>
      </w:r>
      <w:r w:rsidRPr="00835B56">
        <w:t xml:space="preserve">. </w:t>
      </w:r>
      <w:r w:rsidRPr="00835B56">
        <w:rPr>
          <w:i/>
        </w:rPr>
        <w:t>South Africa’s international trade in cultural products: a focus on trade with the EU in a comparative regional setting.</w:t>
      </w:r>
      <w:r w:rsidRPr="00835B56">
        <w:t xml:space="preserve"> South African Cultural Observatory (SACO) Cultural and Creative Industries Mapping Study. South African Cultural Observatory.</w:t>
      </w:r>
    </w:p>
    <w:p w14:paraId="00000466" w14:textId="701BFF93" w:rsidR="00294ABB" w:rsidRPr="00835B56" w:rsidRDefault="00420BFB" w:rsidP="00835B56">
      <w:pPr>
        <w:spacing w:line="259" w:lineRule="auto"/>
      </w:pPr>
      <w:r w:rsidRPr="00835B56">
        <w:t xml:space="preserve">Chang, H-J. and Andreoni, A. </w:t>
      </w:r>
      <w:r w:rsidR="001921E5" w:rsidRPr="00835B56">
        <w:t>(</w:t>
      </w:r>
      <w:r w:rsidRPr="00835B56">
        <w:t>2020</w:t>
      </w:r>
      <w:r w:rsidR="001921E5" w:rsidRPr="00835B56">
        <w:t>)</w:t>
      </w:r>
      <w:r w:rsidRPr="00835B56">
        <w:t>. Industrial policy in the 21</w:t>
      </w:r>
      <w:r w:rsidRPr="00835B56">
        <w:rPr>
          <w:vertAlign w:val="superscript"/>
        </w:rPr>
        <w:t>st</w:t>
      </w:r>
      <w:r w:rsidRPr="00835B56">
        <w:t xml:space="preserve"> Century. </w:t>
      </w:r>
      <w:r w:rsidRPr="00835B56">
        <w:rPr>
          <w:i/>
        </w:rPr>
        <w:t>Development and Change</w:t>
      </w:r>
      <w:r w:rsidRPr="00835B56">
        <w:t>, 51(2): 324–351. DOI: 10.1111/dech.12570</w:t>
      </w:r>
    </w:p>
    <w:p w14:paraId="00000467" w14:textId="584AC33D" w:rsidR="00294ABB" w:rsidRPr="00835B56" w:rsidRDefault="00A43DCA" w:rsidP="00835B56">
      <w:pPr>
        <w:spacing w:line="259" w:lineRule="auto"/>
        <w:jc w:val="left"/>
        <w:rPr>
          <w:color w:val="FF0000"/>
        </w:rPr>
      </w:pPr>
      <w:r w:rsidRPr="00835B56">
        <w:t>Cardenas</w:t>
      </w:r>
      <w:r w:rsidR="00420BFB" w:rsidRPr="00835B56">
        <w:t>-</w:t>
      </w:r>
      <w:r w:rsidRPr="00835B56">
        <w:t>Ayala</w:t>
      </w:r>
      <w:r w:rsidR="00420BFB" w:rsidRPr="00835B56">
        <w:t xml:space="preserve">, J. and Valiati, L. </w:t>
      </w:r>
      <w:r w:rsidR="001921E5" w:rsidRPr="00835B56">
        <w:t>(</w:t>
      </w:r>
      <w:r w:rsidR="00420BFB" w:rsidRPr="00835B56">
        <w:t>2014</w:t>
      </w:r>
      <w:r w:rsidR="001921E5" w:rsidRPr="00835B56">
        <w:t>)</w:t>
      </w:r>
      <w:r w:rsidR="00420BFB" w:rsidRPr="00835B56">
        <w:t xml:space="preserve">. </w:t>
      </w:r>
      <w:r w:rsidR="00420BFB" w:rsidRPr="00835B56">
        <w:rPr>
          <w:i/>
          <w:iCs/>
        </w:rPr>
        <w:t>Cultural and Creative Industries as Determining Qualified International Flow Trade in Latin America, 2001</w:t>
      </w:r>
      <w:r w:rsidR="007165FB" w:rsidRPr="00835B56">
        <w:rPr>
          <w:i/>
          <w:iCs/>
        </w:rPr>
        <w:t>–</w:t>
      </w:r>
      <w:r w:rsidR="00420BFB" w:rsidRPr="00835B56">
        <w:rPr>
          <w:i/>
          <w:iCs/>
        </w:rPr>
        <w:t>2011</w:t>
      </w:r>
      <w:r w:rsidR="00420BFB" w:rsidRPr="00835B56">
        <w:t xml:space="preserve">. No AWP-05-2014, ACEI Working Paper Series. [Online] Available: </w:t>
      </w:r>
      <w:hyperlink r:id="rId16">
        <w:r w:rsidR="00420BFB" w:rsidRPr="00835B56">
          <w:rPr>
            <w:color w:val="0563C1"/>
            <w:u w:val="single"/>
          </w:rPr>
          <w:t>https://econpapers.repec.org/paper/cuewpaper/awp-05-2014.htm</w:t>
        </w:r>
      </w:hyperlink>
    </w:p>
    <w:p w14:paraId="0000046D" w14:textId="5D12D152" w:rsidR="00294ABB" w:rsidRPr="00835B56" w:rsidRDefault="001574A0" w:rsidP="00835B56">
      <w:pPr>
        <w:spacing w:line="259" w:lineRule="auto"/>
        <w:jc w:val="left"/>
      </w:pPr>
      <w:r w:rsidRPr="00835B56">
        <w:t xml:space="preserve">Department of Trade and Industry </w:t>
      </w:r>
      <w:r w:rsidR="00420BFB" w:rsidRPr="00835B56">
        <w:t xml:space="preserve"> (</w:t>
      </w:r>
      <w:r w:rsidR="00BE3E59">
        <w:t>dti</w:t>
      </w:r>
      <w:r w:rsidR="00420BFB" w:rsidRPr="00835B56">
        <w:t>)</w:t>
      </w:r>
      <w:r w:rsidRPr="00835B56">
        <w:t>.</w:t>
      </w:r>
      <w:r w:rsidR="00420BFB" w:rsidRPr="00835B56">
        <w:t xml:space="preserve"> </w:t>
      </w:r>
      <w:r w:rsidRPr="00835B56">
        <w:t>(</w:t>
      </w:r>
      <w:r w:rsidR="00420BFB" w:rsidRPr="00835B56">
        <w:t>2012</w:t>
      </w:r>
      <w:r w:rsidRPr="00835B56">
        <w:t>)</w:t>
      </w:r>
      <w:r w:rsidR="00420BFB" w:rsidRPr="00835B56">
        <w:t xml:space="preserve">. </w:t>
      </w:r>
      <w:r w:rsidR="00420BFB" w:rsidRPr="00835B56">
        <w:rPr>
          <w:i/>
          <w:iCs/>
        </w:rPr>
        <w:t>South Africa’s Trade Policy and Strategy Framework: An Update</w:t>
      </w:r>
      <w:r w:rsidR="00420BFB" w:rsidRPr="00835B56">
        <w:t>.</w:t>
      </w:r>
      <w:r w:rsidR="00844B61" w:rsidRPr="00835B56">
        <w:t xml:space="preserve"> </w:t>
      </w:r>
      <w:r w:rsidRPr="00835B56">
        <w:t xml:space="preserve">Pretoria: </w:t>
      </w:r>
      <w:r w:rsidR="00420BFB" w:rsidRPr="00835B56">
        <w:t>Department of Trade and Industry.</w:t>
      </w:r>
    </w:p>
    <w:p w14:paraId="0CED83F1" w14:textId="4D07D39B" w:rsidR="001921E5" w:rsidRPr="00835B56" w:rsidRDefault="001921E5" w:rsidP="00835B56">
      <w:pPr>
        <w:spacing w:line="259" w:lineRule="auto"/>
        <w:jc w:val="left"/>
      </w:pPr>
      <w:r w:rsidRPr="00835B56">
        <w:t>Department of Trade, Industry and Competition</w:t>
      </w:r>
      <w:r w:rsidR="0028010D">
        <w:t xml:space="preserve"> (</w:t>
      </w:r>
      <w:r w:rsidR="00BE3E59">
        <w:rPr>
          <w:sz w:val="22"/>
          <w:szCs w:val="22"/>
        </w:rPr>
        <w:t>the dtic</w:t>
      </w:r>
      <w:r w:rsidRPr="00835B56">
        <w:t>)</w:t>
      </w:r>
      <w:r w:rsidR="0028010D">
        <w:t>.</w:t>
      </w:r>
      <w:r w:rsidRPr="00835B56">
        <w:t xml:space="preserve"> </w:t>
      </w:r>
      <w:r w:rsidR="0028010D">
        <w:t>(</w:t>
      </w:r>
      <w:r w:rsidRPr="00835B56">
        <w:t>2019</w:t>
      </w:r>
      <w:r w:rsidR="0028010D">
        <w:t>)</w:t>
      </w:r>
      <w:r w:rsidRPr="00835B56">
        <w:t xml:space="preserve">. </w:t>
      </w:r>
      <w:r w:rsidRPr="00835B56">
        <w:rPr>
          <w:i/>
          <w:iCs/>
        </w:rPr>
        <w:t>Re-imagining our Industrial Strategy to Boost Inclusion and Private Investment</w:t>
      </w:r>
      <w:r w:rsidRPr="00835B56">
        <w:t>. Presentation at the Cabinet Lekgotla, 12</w:t>
      </w:r>
      <w:r w:rsidR="007165FB" w:rsidRPr="00835B56">
        <w:t>–</w:t>
      </w:r>
      <w:r w:rsidRPr="00835B56">
        <w:t xml:space="preserve">14 June. [Online] Available: </w:t>
      </w:r>
      <w:hyperlink r:id="rId17">
        <w:r w:rsidRPr="00835B56">
          <w:rPr>
            <w:color w:val="0563C1"/>
            <w:u w:val="single"/>
          </w:rPr>
          <w:t>http://www.the</w:t>
        </w:r>
        <w:r w:rsidR="00BE3E59">
          <w:rPr>
            <w:color w:val="0563C1"/>
            <w:u w:val="single"/>
          </w:rPr>
          <w:t>the dtic</w:t>
        </w:r>
        <w:r w:rsidRPr="00835B56">
          <w:rPr>
            <w:color w:val="0563C1"/>
            <w:u w:val="single"/>
          </w:rPr>
          <w:t>.gov.za/wp-content/uploads/Re-imagining-Industrial-Strategy-FINAL-13-June-2019.pdf</w:t>
        </w:r>
      </w:hyperlink>
      <w:r w:rsidRPr="00835B56">
        <w:t xml:space="preserve"> [Accessed 25 November 2021].</w:t>
      </w:r>
    </w:p>
    <w:p w14:paraId="0000046F" w14:textId="033399E9" w:rsidR="00294ABB" w:rsidRPr="00835B56" w:rsidRDefault="0028010D" w:rsidP="00835B56">
      <w:pPr>
        <w:spacing w:line="259" w:lineRule="auto"/>
        <w:jc w:val="left"/>
      </w:pPr>
      <w:r w:rsidRPr="004077CF">
        <w:t>Department of Trade, Industry and Competition</w:t>
      </w:r>
      <w:r w:rsidRPr="0028010D">
        <w:t xml:space="preserve"> </w:t>
      </w:r>
      <w:r>
        <w:t>(</w:t>
      </w:r>
      <w:r w:rsidR="00BE3E59">
        <w:rPr>
          <w:sz w:val="22"/>
          <w:szCs w:val="22"/>
        </w:rPr>
        <w:t>the dtic</w:t>
      </w:r>
      <w:r>
        <w:t>).</w:t>
      </w:r>
      <w:r w:rsidR="00420BFB" w:rsidRPr="00835B56">
        <w:t xml:space="preserve"> </w:t>
      </w:r>
      <w:r w:rsidR="001921E5" w:rsidRPr="00835B56">
        <w:t>(</w:t>
      </w:r>
      <w:r w:rsidR="00420BFB" w:rsidRPr="00835B56">
        <w:t>2021</w:t>
      </w:r>
      <w:r w:rsidR="001921E5" w:rsidRPr="00835B56">
        <w:t>)</w:t>
      </w:r>
      <w:r w:rsidR="00420BFB" w:rsidRPr="00835B56">
        <w:t xml:space="preserve">. </w:t>
      </w:r>
      <w:r w:rsidR="00420BFB" w:rsidRPr="00835B56">
        <w:rPr>
          <w:i/>
          <w:iCs/>
        </w:rPr>
        <w:t>A trade policy for industrial development and employment growth</w:t>
      </w:r>
      <w:r w:rsidR="00420BFB" w:rsidRPr="00835B56">
        <w:t xml:space="preserve">. </w:t>
      </w:r>
      <w:r w:rsidR="00C35489" w:rsidRPr="006428A6">
        <w:t xml:space="preserve">20 May. </w:t>
      </w:r>
      <w:r w:rsidR="00420BFB" w:rsidRPr="00835B56">
        <w:t>Pretoria</w:t>
      </w:r>
      <w:r w:rsidR="00C35489">
        <w:t>:</w:t>
      </w:r>
      <w:r w:rsidR="00420BFB" w:rsidRPr="00835B56">
        <w:t xml:space="preserve"> </w:t>
      </w:r>
      <w:r w:rsidR="00C35489" w:rsidRPr="004077CF">
        <w:t>Department of Trade, Industry and Competition</w:t>
      </w:r>
      <w:r w:rsidR="00C35489">
        <w:t>.</w:t>
      </w:r>
      <w:r w:rsidR="00C35489" w:rsidRPr="0028010D">
        <w:t xml:space="preserve"> </w:t>
      </w:r>
      <w:r w:rsidR="00420BFB" w:rsidRPr="00835B56">
        <w:t xml:space="preserve">[Online] Available: </w:t>
      </w:r>
      <w:hyperlink r:id="rId18">
        <w:r w:rsidR="00420BFB" w:rsidRPr="00835B56">
          <w:rPr>
            <w:color w:val="0563C1"/>
            <w:u w:val="single"/>
          </w:rPr>
          <w:t>http://www.the</w:t>
        </w:r>
        <w:r w:rsidR="00BE3E59">
          <w:rPr>
            <w:color w:val="0563C1"/>
            <w:u w:val="single"/>
          </w:rPr>
          <w:t>the dtic</w:t>
        </w:r>
        <w:r w:rsidR="00420BFB" w:rsidRPr="00835B56">
          <w:rPr>
            <w:color w:val="0563C1"/>
            <w:u w:val="single"/>
          </w:rPr>
          <w:t>.gov.za/wp-content/uploads/SA_Trade_Policy.pdf</w:t>
        </w:r>
      </w:hyperlink>
      <w:r w:rsidR="00420BFB" w:rsidRPr="00835B56">
        <w:t xml:space="preserve"> </w:t>
      </w:r>
    </w:p>
    <w:p w14:paraId="74CE1890" w14:textId="77777777" w:rsidR="0028010D" w:rsidRPr="00E84100" w:rsidRDefault="0028010D" w:rsidP="0028010D">
      <w:pPr>
        <w:spacing w:line="259" w:lineRule="auto"/>
        <w:jc w:val="left"/>
      </w:pPr>
      <w:r w:rsidRPr="00E84100">
        <w:t xml:space="preserve">Dicks, R. (2019). </w:t>
      </w:r>
      <w:r w:rsidRPr="00E84100">
        <w:rPr>
          <w:i/>
          <w:iCs/>
        </w:rPr>
        <w:t>Re-imagined Industrial Policy: Next Steps</w:t>
      </w:r>
      <w:r w:rsidRPr="00E84100">
        <w:t xml:space="preserve">. Presentation at the Trade and Industrial Policy Strategies (TIPS) Development Dialogue on Inclusive Industrialisation, TIPS, Pretoria, 4 September. [Online] Available: </w:t>
      </w:r>
      <w:hyperlink r:id="rId19">
        <w:r w:rsidRPr="00E84100">
          <w:rPr>
            <w:color w:val="0563C1"/>
            <w:u w:val="single"/>
          </w:rPr>
          <w:t>https://www.tips.org.za/events/aporde/item/3679-aporde-2019-public-lectures</w:t>
        </w:r>
      </w:hyperlink>
      <w:r w:rsidRPr="00E84100">
        <w:t>.</w:t>
      </w:r>
    </w:p>
    <w:p w14:paraId="2191336A" w14:textId="77777777" w:rsidR="0028010D" w:rsidRPr="00E84100" w:rsidRDefault="0028010D" w:rsidP="0028010D">
      <w:pPr>
        <w:spacing w:line="259" w:lineRule="auto"/>
        <w:jc w:val="left"/>
      </w:pPr>
      <w:r w:rsidRPr="00E84100">
        <w:t xml:space="preserve">Disdier, A., Tai, S., Fortagne, L. and Mayer, T. (2010). Bilateral trade of cultural goods. </w:t>
      </w:r>
      <w:r w:rsidRPr="00E84100">
        <w:rPr>
          <w:i/>
        </w:rPr>
        <w:t>Review of World Economics</w:t>
      </w:r>
      <w:r w:rsidRPr="00E84100">
        <w:t>, 145: 575–595.</w:t>
      </w:r>
    </w:p>
    <w:p w14:paraId="00000471" w14:textId="3C28E998" w:rsidR="00294ABB" w:rsidRPr="00835B56" w:rsidRDefault="00420BFB" w:rsidP="00835B56">
      <w:pPr>
        <w:spacing w:line="259" w:lineRule="auto"/>
        <w:jc w:val="left"/>
      </w:pPr>
      <w:r w:rsidRPr="00835B56">
        <w:t xml:space="preserve">Fazio, G. </w:t>
      </w:r>
      <w:r w:rsidR="001921E5" w:rsidRPr="00835B56">
        <w:t>(</w:t>
      </w:r>
      <w:r w:rsidRPr="00835B56">
        <w:t>2021</w:t>
      </w:r>
      <w:r w:rsidR="001921E5" w:rsidRPr="00835B56">
        <w:t>)</w:t>
      </w:r>
      <w:r w:rsidRPr="00835B56">
        <w:t xml:space="preserve">. </w:t>
      </w:r>
      <w:r w:rsidRPr="00835B56">
        <w:rPr>
          <w:i/>
          <w:iCs/>
        </w:rPr>
        <w:t>A review of creative trade in the Economics literature</w:t>
      </w:r>
      <w:r w:rsidRPr="00835B56">
        <w:t xml:space="preserve">. Creative Industries Policy and Evidence Centre. Online. https://www.pec.ac.uk/assets/publications/Creative-Trade-Literature-Review-PEC-January-2021.pdf </w:t>
      </w:r>
    </w:p>
    <w:p w14:paraId="00000473" w14:textId="5936A884" w:rsidR="00294ABB" w:rsidRPr="00835B56" w:rsidRDefault="00420BFB" w:rsidP="00835B56">
      <w:pPr>
        <w:spacing w:line="259" w:lineRule="auto"/>
        <w:jc w:val="left"/>
      </w:pPr>
      <w:r w:rsidRPr="00835B56">
        <w:t xml:space="preserve">Footer, M. and Graber, C. </w:t>
      </w:r>
      <w:r w:rsidR="001921E5" w:rsidRPr="00835B56">
        <w:t>(</w:t>
      </w:r>
      <w:r w:rsidRPr="00835B56">
        <w:t>2000</w:t>
      </w:r>
      <w:r w:rsidR="001921E5" w:rsidRPr="00835B56">
        <w:t>)</w:t>
      </w:r>
      <w:r w:rsidRPr="00835B56">
        <w:t xml:space="preserve">. Trade liberalisation and cultural policy. </w:t>
      </w:r>
      <w:r w:rsidRPr="00835B56">
        <w:rPr>
          <w:i/>
        </w:rPr>
        <w:t>Journal of International Economic Law</w:t>
      </w:r>
      <w:r w:rsidR="000D6A96" w:rsidRPr="00835B56">
        <w:rPr>
          <w:i/>
          <w:iCs/>
        </w:rPr>
        <w:t xml:space="preserve">, </w:t>
      </w:r>
      <w:r w:rsidR="000D6A96" w:rsidRPr="00835B56">
        <w:t>3(1):</w:t>
      </w:r>
      <w:r w:rsidRPr="00835B56">
        <w:t xml:space="preserve"> 115</w:t>
      </w:r>
      <w:r w:rsidR="000D6A96" w:rsidRPr="00835B56">
        <w:t>–</w:t>
      </w:r>
      <w:r w:rsidRPr="00835B56">
        <w:t>144.</w:t>
      </w:r>
    </w:p>
    <w:p w14:paraId="00000475" w14:textId="0C19FFB5" w:rsidR="00294ABB" w:rsidRPr="00835B56" w:rsidRDefault="00420BFB" w:rsidP="00835B56">
      <w:pPr>
        <w:spacing w:line="259" w:lineRule="auto"/>
        <w:jc w:val="left"/>
      </w:pPr>
      <w:r w:rsidRPr="00835B56">
        <w:t xml:space="preserve">Greenaway, D. and Milner, C. </w:t>
      </w:r>
      <w:r w:rsidR="001921E5" w:rsidRPr="00835B56">
        <w:t>(</w:t>
      </w:r>
      <w:r w:rsidRPr="00835B56">
        <w:t>1983</w:t>
      </w:r>
      <w:r w:rsidR="001921E5" w:rsidRPr="00835B56">
        <w:t>)</w:t>
      </w:r>
      <w:r w:rsidRPr="00835B56">
        <w:t xml:space="preserve">. On the measurement of intra-industry trade. </w:t>
      </w:r>
      <w:r w:rsidRPr="00835B56">
        <w:rPr>
          <w:i/>
        </w:rPr>
        <w:t>Economic Journal</w:t>
      </w:r>
      <w:r w:rsidRPr="00835B56">
        <w:t>, 93(372): 900</w:t>
      </w:r>
      <w:r w:rsidR="000D6A96" w:rsidRPr="00835B56">
        <w:t>–</w:t>
      </w:r>
      <w:r w:rsidRPr="00835B56">
        <w:t>908.</w:t>
      </w:r>
    </w:p>
    <w:p w14:paraId="00000477" w14:textId="041C452E" w:rsidR="00294ABB" w:rsidRPr="00835B56" w:rsidRDefault="00420BFB" w:rsidP="00835B56">
      <w:pPr>
        <w:spacing w:line="259" w:lineRule="auto"/>
        <w:jc w:val="left"/>
      </w:pPr>
      <w:r w:rsidRPr="00835B56">
        <w:t xml:space="preserve">Hanania, L. </w:t>
      </w:r>
      <w:r w:rsidR="000D6A96" w:rsidRPr="00835B56">
        <w:t>(</w:t>
      </w:r>
      <w:r w:rsidRPr="00835B56">
        <w:t>2019</w:t>
      </w:r>
      <w:r w:rsidR="000D6A96" w:rsidRPr="00835B56">
        <w:t>)</w:t>
      </w:r>
      <w:r w:rsidRPr="00835B56">
        <w:t xml:space="preserve">. Trade, culture and the European Union cultural exception. </w:t>
      </w:r>
      <w:r w:rsidRPr="00835B56">
        <w:rPr>
          <w:i/>
        </w:rPr>
        <w:t>International Journal of Cultural Policy</w:t>
      </w:r>
      <w:r w:rsidR="000D6A96" w:rsidRPr="00835B56">
        <w:rPr>
          <w:i/>
        </w:rPr>
        <w:t>,</w:t>
      </w:r>
      <w:r w:rsidRPr="00835B56">
        <w:t xml:space="preserve"> 25</w:t>
      </w:r>
      <w:r w:rsidR="000D6A96" w:rsidRPr="00835B56">
        <w:t>(</w:t>
      </w:r>
      <w:r w:rsidRPr="00835B56">
        <w:t>5</w:t>
      </w:r>
      <w:r w:rsidR="000D6A96" w:rsidRPr="00835B56">
        <w:t>)</w:t>
      </w:r>
      <w:r w:rsidRPr="00835B56">
        <w:t>:</w:t>
      </w:r>
      <w:r w:rsidR="000D6A96" w:rsidRPr="00835B56">
        <w:t xml:space="preserve"> </w:t>
      </w:r>
      <w:r w:rsidRPr="00835B56">
        <w:t>568</w:t>
      </w:r>
      <w:r w:rsidR="000D6A96" w:rsidRPr="00835B56">
        <w:t>–</w:t>
      </w:r>
      <w:r w:rsidRPr="00835B56">
        <w:t>581.</w:t>
      </w:r>
    </w:p>
    <w:p w14:paraId="00000479" w14:textId="1111DD55" w:rsidR="00294ABB" w:rsidRPr="00835B56" w:rsidRDefault="00420BFB" w:rsidP="00835B56">
      <w:pPr>
        <w:spacing w:line="259" w:lineRule="auto"/>
        <w:jc w:val="left"/>
      </w:pPr>
      <w:r w:rsidRPr="00835B56">
        <w:t xml:space="preserve">Hervas-Drane, A and Noam, E. </w:t>
      </w:r>
      <w:r w:rsidR="00A15A75" w:rsidRPr="00835B56">
        <w:t>(</w:t>
      </w:r>
      <w:r w:rsidRPr="00835B56">
        <w:t>2017</w:t>
      </w:r>
      <w:r w:rsidR="00A15A75" w:rsidRPr="00835B56">
        <w:t>)</w:t>
      </w:r>
      <w:r w:rsidRPr="00835B56">
        <w:t xml:space="preserve">. Peer-to-peer file sharing and cultural trade protectionism. </w:t>
      </w:r>
      <w:r w:rsidRPr="00835B56">
        <w:rPr>
          <w:i/>
        </w:rPr>
        <w:t>Information Economics and Policy</w:t>
      </w:r>
      <w:r w:rsidRPr="00835B56">
        <w:t>. 41 (December):15 – 27.</w:t>
      </w:r>
    </w:p>
    <w:p w14:paraId="0000047B" w14:textId="4B96B6F9" w:rsidR="00294ABB" w:rsidRPr="00835B56" w:rsidRDefault="00420BFB" w:rsidP="00835B56">
      <w:pPr>
        <w:spacing w:line="259" w:lineRule="auto"/>
        <w:jc w:val="left"/>
      </w:pPr>
      <w:r w:rsidRPr="00835B56">
        <w:t xml:space="preserve">Ismail, F. </w:t>
      </w:r>
      <w:r w:rsidR="00A15A75" w:rsidRPr="00835B56">
        <w:t>(</w:t>
      </w:r>
      <w:r w:rsidRPr="00835B56">
        <w:t>2017</w:t>
      </w:r>
      <w:r w:rsidR="00A15A75" w:rsidRPr="00835B56">
        <w:t>)</w:t>
      </w:r>
      <w:r w:rsidRPr="00835B56">
        <w:t xml:space="preserve">. The changing global trade architecture: implications for Africa’s regional integration and development. </w:t>
      </w:r>
      <w:r w:rsidRPr="00835B56">
        <w:rPr>
          <w:i/>
        </w:rPr>
        <w:t>Journal of World Trade</w:t>
      </w:r>
      <w:r w:rsidRPr="00835B56">
        <w:t>, 51, 1: 1–22.</w:t>
      </w:r>
    </w:p>
    <w:p w14:paraId="0000047D" w14:textId="526A62EA" w:rsidR="00294ABB" w:rsidRPr="00835B56" w:rsidRDefault="00420BFB" w:rsidP="00835B56">
      <w:pPr>
        <w:spacing w:line="259" w:lineRule="auto"/>
        <w:jc w:val="left"/>
      </w:pPr>
      <w:r w:rsidRPr="00835B56">
        <w:lastRenderedPageBreak/>
        <w:t xml:space="preserve">ITC (International Trade Centre) </w:t>
      </w:r>
      <w:r w:rsidR="00A15A75" w:rsidRPr="00835B56">
        <w:t>(</w:t>
      </w:r>
      <w:r w:rsidRPr="00835B56">
        <w:t>2021</w:t>
      </w:r>
      <w:r w:rsidR="00A15A75" w:rsidRPr="00835B56">
        <w:t>)</w:t>
      </w:r>
      <w:r w:rsidRPr="00835B56">
        <w:t xml:space="preserve">. </w:t>
      </w:r>
      <w:r w:rsidRPr="00835B56">
        <w:rPr>
          <w:i/>
          <w:iCs/>
        </w:rPr>
        <w:t>Trade Map</w:t>
      </w:r>
      <w:r w:rsidRPr="00835B56">
        <w:t xml:space="preserve">. [Online] Available: </w:t>
      </w:r>
      <w:hyperlink r:id="rId20">
        <w:r w:rsidRPr="00835B56">
          <w:rPr>
            <w:color w:val="0563C1"/>
            <w:u w:val="single"/>
          </w:rPr>
          <w:t>https://trademap.org/Index.aspx</w:t>
        </w:r>
      </w:hyperlink>
      <w:r w:rsidRPr="00835B56">
        <w:t>.</w:t>
      </w:r>
    </w:p>
    <w:p w14:paraId="0000047F" w14:textId="6FF65050" w:rsidR="00294ABB" w:rsidRPr="00835B56" w:rsidRDefault="00420BFB" w:rsidP="00835B56">
      <w:pPr>
        <w:spacing w:line="259" w:lineRule="auto"/>
        <w:jc w:val="left"/>
      </w:pPr>
      <w:r w:rsidRPr="00835B56">
        <w:t>ITC, UNCTAD and WTO</w:t>
      </w:r>
      <w:r w:rsidR="00A15A75" w:rsidRPr="00835B56">
        <w:t>.</w:t>
      </w:r>
      <w:r w:rsidRPr="00835B56">
        <w:t xml:space="preserve"> </w:t>
      </w:r>
      <w:r w:rsidR="00A15A75" w:rsidRPr="00835B56">
        <w:t>(</w:t>
      </w:r>
      <w:r w:rsidRPr="00835B56">
        <w:t>2021</w:t>
      </w:r>
      <w:r w:rsidR="00A15A75" w:rsidRPr="00835B56">
        <w:t>)</w:t>
      </w:r>
      <w:r w:rsidRPr="00835B56">
        <w:t xml:space="preserve">. </w:t>
      </w:r>
      <w:r w:rsidRPr="00835B56">
        <w:rPr>
          <w:i/>
          <w:iCs/>
        </w:rPr>
        <w:t>Trade in Services Database</w:t>
      </w:r>
      <w:r w:rsidRPr="00835B56">
        <w:t xml:space="preserve">. [Online] Available: </w:t>
      </w:r>
      <w:hyperlink r:id="rId21">
        <w:r w:rsidRPr="00835B56">
          <w:rPr>
            <w:color w:val="0563C1"/>
            <w:u w:val="single"/>
          </w:rPr>
          <w:t>http://www.trademap.org/Index.aspx</w:t>
        </w:r>
      </w:hyperlink>
      <w:r w:rsidRPr="00835B56">
        <w:t xml:space="preserve">. </w:t>
      </w:r>
    </w:p>
    <w:p w14:paraId="00000481" w14:textId="5773EF71" w:rsidR="00294ABB" w:rsidRPr="00835B56" w:rsidRDefault="00420BFB" w:rsidP="00835B56">
      <w:pPr>
        <w:spacing w:line="259" w:lineRule="auto"/>
        <w:jc w:val="left"/>
      </w:pPr>
      <w:r w:rsidRPr="00835B56">
        <w:t xml:space="preserve">Jane, W. </w:t>
      </w:r>
      <w:r w:rsidR="00A15A75" w:rsidRPr="00835B56">
        <w:t>(</w:t>
      </w:r>
      <w:r w:rsidRPr="00835B56">
        <w:t>2021</w:t>
      </w:r>
      <w:r w:rsidR="00A15A75" w:rsidRPr="00835B56">
        <w:t>)</w:t>
      </w:r>
      <w:r w:rsidRPr="00835B56">
        <w:t xml:space="preserve">. Cultural distance in international films: An empirical investigation of sample selection model. </w:t>
      </w:r>
      <w:r w:rsidRPr="00835B56">
        <w:rPr>
          <w:i/>
        </w:rPr>
        <w:t>Journal of Economics and Business</w:t>
      </w:r>
      <w:r w:rsidR="00A15A75" w:rsidRPr="00835B56">
        <w:rPr>
          <w:i/>
        </w:rPr>
        <w:t>,</w:t>
      </w:r>
      <w:r w:rsidRPr="00835B56">
        <w:t xml:space="preserve"> 113: 105945.</w:t>
      </w:r>
    </w:p>
    <w:p w14:paraId="00000483" w14:textId="227C571F" w:rsidR="00294ABB" w:rsidRPr="00835B56" w:rsidRDefault="00420BFB" w:rsidP="00835B56">
      <w:pPr>
        <w:spacing w:line="259" w:lineRule="auto"/>
        <w:jc w:val="left"/>
      </w:pPr>
      <w:r w:rsidRPr="00835B56">
        <w:t xml:space="preserve">Jaramillo, G. </w:t>
      </w:r>
      <w:r w:rsidR="00A15A75" w:rsidRPr="00835B56">
        <w:t>(</w:t>
      </w:r>
      <w:r w:rsidRPr="00835B56">
        <w:t>2019</w:t>
      </w:r>
      <w:r w:rsidR="00A15A75" w:rsidRPr="00835B56">
        <w:t>)</w:t>
      </w:r>
      <w:r w:rsidRPr="00835B56">
        <w:t xml:space="preserve">. Latin America: trade and culture at a crossroads. </w:t>
      </w:r>
      <w:r w:rsidRPr="00835B56">
        <w:rPr>
          <w:i/>
        </w:rPr>
        <w:t>International Journal of Cultural Policy</w:t>
      </w:r>
      <w:r w:rsidR="00A15A75" w:rsidRPr="00835B56">
        <w:rPr>
          <w:i/>
        </w:rPr>
        <w:t>,</w:t>
      </w:r>
      <w:r w:rsidRPr="00835B56">
        <w:t xml:space="preserve"> 25</w:t>
      </w:r>
      <w:r w:rsidR="00A15A75" w:rsidRPr="00835B56">
        <w:t>(</w:t>
      </w:r>
      <w:r w:rsidRPr="00835B56">
        <w:t>5</w:t>
      </w:r>
      <w:r w:rsidR="00A15A75" w:rsidRPr="00835B56">
        <w:t>)</w:t>
      </w:r>
      <w:r w:rsidRPr="00835B56">
        <w:t>:</w:t>
      </w:r>
      <w:r w:rsidR="00A15A75" w:rsidRPr="00835B56">
        <w:t xml:space="preserve"> </w:t>
      </w:r>
      <w:r w:rsidRPr="00835B56">
        <w:t>602</w:t>
      </w:r>
      <w:r w:rsidR="00A15A75" w:rsidRPr="00835B56">
        <w:t>–</w:t>
      </w:r>
      <w:r w:rsidRPr="00835B56">
        <w:t xml:space="preserve">614. </w:t>
      </w:r>
    </w:p>
    <w:p w14:paraId="00000485" w14:textId="5EC0707C" w:rsidR="00294ABB" w:rsidRPr="00835B56" w:rsidRDefault="00420BFB" w:rsidP="00835B56">
      <w:pPr>
        <w:spacing w:line="259" w:lineRule="auto"/>
        <w:jc w:val="left"/>
      </w:pPr>
      <w:r w:rsidRPr="00835B56">
        <w:t xml:space="preserve">Kabanda, P. </w:t>
      </w:r>
      <w:r w:rsidR="00A15A75" w:rsidRPr="00835B56">
        <w:t>(</w:t>
      </w:r>
      <w:r w:rsidRPr="00835B56">
        <w:t>2018</w:t>
      </w:r>
      <w:r w:rsidR="00A15A75" w:rsidRPr="00835B56">
        <w:t>)</w:t>
      </w:r>
      <w:r w:rsidRPr="00835B56">
        <w:t xml:space="preserve">. </w:t>
      </w:r>
      <w:r w:rsidRPr="00835B56">
        <w:rPr>
          <w:i/>
        </w:rPr>
        <w:t>The Creative Wealth of Nations: Can the Arts Advance Development?</w:t>
      </w:r>
      <w:r w:rsidRPr="00835B56">
        <w:t xml:space="preserve"> Cambridge: Cambridge University Press.</w:t>
      </w:r>
    </w:p>
    <w:p w14:paraId="00000487" w14:textId="288F78F3" w:rsidR="00294ABB" w:rsidRPr="00835B56" w:rsidRDefault="00420BFB" w:rsidP="00835B56">
      <w:pPr>
        <w:spacing w:line="259" w:lineRule="auto"/>
        <w:jc w:val="left"/>
      </w:pPr>
      <w:r w:rsidRPr="00835B56">
        <w:t>Kaimann, D</w:t>
      </w:r>
      <w:r w:rsidR="00A15A75" w:rsidRPr="00835B56">
        <w:t>.</w:t>
      </w:r>
      <w:r w:rsidRPr="00835B56">
        <w:t xml:space="preserve"> and Del Bono, M. </w:t>
      </w:r>
      <w:r w:rsidR="00A15A75" w:rsidRPr="00835B56">
        <w:t>(</w:t>
      </w:r>
      <w:r w:rsidRPr="00835B56">
        <w:t>2020</w:t>
      </w:r>
      <w:r w:rsidR="00A15A75" w:rsidRPr="00835B56">
        <w:t>)</w:t>
      </w:r>
      <w:r w:rsidRPr="00835B56">
        <w:t xml:space="preserve">. The impact of cultural proximity and digital dissimilarity on cultural trade. </w:t>
      </w:r>
      <w:r w:rsidRPr="00835B56">
        <w:rPr>
          <w:i/>
        </w:rPr>
        <w:t>The International Trade Journal</w:t>
      </w:r>
      <w:r w:rsidR="00A15A75" w:rsidRPr="00835B56">
        <w:rPr>
          <w:i/>
        </w:rPr>
        <w:t>,</w:t>
      </w:r>
      <w:r w:rsidRPr="00835B56">
        <w:t xml:space="preserve"> 34</w:t>
      </w:r>
      <w:r w:rsidR="00A15A75" w:rsidRPr="00835B56">
        <w:t>(</w:t>
      </w:r>
      <w:r w:rsidRPr="00835B56">
        <w:t>5</w:t>
      </w:r>
      <w:r w:rsidR="00A15A75" w:rsidRPr="00835B56">
        <w:t>)</w:t>
      </w:r>
      <w:r w:rsidRPr="00835B56">
        <w:t>:</w:t>
      </w:r>
      <w:r w:rsidR="00A15A75" w:rsidRPr="00835B56">
        <w:t xml:space="preserve"> </w:t>
      </w:r>
      <w:r w:rsidRPr="00835B56">
        <w:t>447</w:t>
      </w:r>
      <w:r w:rsidR="00A15A75" w:rsidRPr="00835B56">
        <w:t>–</w:t>
      </w:r>
      <w:r w:rsidRPr="00835B56">
        <w:t>469.</w:t>
      </w:r>
    </w:p>
    <w:p w14:paraId="00000489" w14:textId="231FBCF3" w:rsidR="00294ABB" w:rsidRPr="00835B56" w:rsidRDefault="00420BFB" w:rsidP="00835B56">
      <w:pPr>
        <w:spacing w:line="259" w:lineRule="auto"/>
        <w:jc w:val="left"/>
      </w:pPr>
      <w:r w:rsidRPr="00835B56">
        <w:t xml:space="preserve">Kersel, M. and Hill, A. </w:t>
      </w:r>
      <w:r w:rsidR="00A15A75" w:rsidRPr="00835B56">
        <w:t>(</w:t>
      </w:r>
      <w:r w:rsidRPr="00835B56">
        <w:t>2020</w:t>
      </w:r>
      <w:r w:rsidR="00A15A75" w:rsidRPr="00835B56">
        <w:t>)</w:t>
      </w:r>
      <w:r w:rsidRPr="00835B56">
        <w:t xml:space="preserve">. Databases, Drones, Diggers, and Diplomacy: The Jordanian Request for a US Cultural Property Bilateral Agreement. </w:t>
      </w:r>
      <w:r w:rsidRPr="00835B56">
        <w:rPr>
          <w:i/>
        </w:rPr>
        <w:t>Journal of Field Archaeology</w:t>
      </w:r>
      <w:r w:rsidRPr="00835B56">
        <w:t>, 45: S101</w:t>
      </w:r>
      <w:r w:rsidR="00A15A75" w:rsidRPr="00835B56">
        <w:t>–</w:t>
      </w:r>
      <w:r w:rsidRPr="00835B56">
        <w:t>S110.</w:t>
      </w:r>
    </w:p>
    <w:p w14:paraId="0000048B" w14:textId="5BB80BB3" w:rsidR="00294ABB" w:rsidRPr="00835B56" w:rsidRDefault="00420BFB" w:rsidP="00835B56">
      <w:pPr>
        <w:spacing w:line="259" w:lineRule="auto"/>
        <w:jc w:val="left"/>
      </w:pPr>
      <w:r w:rsidRPr="00835B56">
        <w:t xml:space="preserve">Kollamparambil, U. </w:t>
      </w:r>
      <w:r w:rsidR="00A15A75" w:rsidRPr="00835B56">
        <w:t>(</w:t>
      </w:r>
      <w:r w:rsidRPr="00835B56">
        <w:t>2017</w:t>
      </w:r>
      <w:r w:rsidR="00A15A75" w:rsidRPr="00835B56">
        <w:t>)</w:t>
      </w:r>
      <w:r w:rsidRPr="00835B56">
        <w:t xml:space="preserve">. Diversity and intra-BRICS trade: patterns, risks and potential. In </w:t>
      </w:r>
      <w:r w:rsidR="00C35489">
        <w:t xml:space="preserve">R. </w:t>
      </w:r>
      <w:r w:rsidRPr="00835B56">
        <w:t xml:space="preserve">Neuwirth, </w:t>
      </w:r>
      <w:r w:rsidR="00C35489">
        <w:t xml:space="preserve">A. </w:t>
      </w:r>
      <w:r w:rsidRPr="00835B56">
        <w:t xml:space="preserve">Svetlicinii and </w:t>
      </w:r>
      <w:r w:rsidR="00C35489">
        <w:t xml:space="preserve">D.D.C. </w:t>
      </w:r>
      <w:r w:rsidRPr="00835B56">
        <w:t>Halis</w:t>
      </w:r>
      <w:r w:rsidR="00C35489">
        <w:t xml:space="preserve"> </w:t>
      </w:r>
      <w:r w:rsidRPr="00835B56">
        <w:t>(</w:t>
      </w:r>
      <w:r w:rsidR="00A15A75" w:rsidRPr="00835B56">
        <w:t>Eds</w:t>
      </w:r>
      <w:r w:rsidR="00C35489">
        <w:t>.</w:t>
      </w:r>
      <w:r w:rsidRPr="00835B56">
        <w:t xml:space="preserve">), </w:t>
      </w:r>
      <w:r w:rsidRPr="00835B56">
        <w:rPr>
          <w:i/>
          <w:iCs/>
        </w:rPr>
        <w:t>The BRICS-Lawyers’ Guide to Global Cooperation</w:t>
      </w:r>
      <w:r w:rsidRPr="00835B56">
        <w:t xml:space="preserve">, </w:t>
      </w:r>
      <w:r w:rsidR="003E432B" w:rsidRPr="00835B56">
        <w:t>pp.</w:t>
      </w:r>
      <w:r w:rsidR="00A15A75" w:rsidRPr="00835B56">
        <w:t xml:space="preserve"> 8</w:t>
      </w:r>
      <w:r w:rsidR="003E432B" w:rsidRPr="00835B56">
        <w:t>–</w:t>
      </w:r>
      <w:r w:rsidR="00A15A75" w:rsidRPr="00835B56">
        <w:t>30.</w:t>
      </w:r>
      <w:r w:rsidR="003E432B" w:rsidRPr="00835B56">
        <w:t xml:space="preserve"> </w:t>
      </w:r>
      <w:r w:rsidR="00A15A75" w:rsidRPr="00835B56">
        <w:t xml:space="preserve">Cambridge: </w:t>
      </w:r>
      <w:r w:rsidRPr="00835B56">
        <w:t>Cambridge University Press</w:t>
      </w:r>
      <w:r w:rsidR="00A15A75" w:rsidRPr="00835B56">
        <w:t>.</w:t>
      </w:r>
    </w:p>
    <w:p w14:paraId="0000048D" w14:textId="74017DDA" w:rsidR="00294ABB" w:rsidRPr="00835B56" w:rsidRDefault="00420BFB" w:rsidP="00835B56">
      <w:pPr>
        <w:spacing w:line="259" w:lineRule="auto"/>
        <w:jc w:val="left"/>
      </w:pPr>
      <w:r w:rsidRPr="00835B56">
        <w:t xml:space="preserve">Mas-Colell, A. </w:t>
      </w:r>
      <w:r w:rsidR="003E432B" w:rsidRPr="00835B56">
        <w:t>(</w:t>
      </w:r>
      <w:r w:rsidRPr="00835B56">
        <w:t>1999</w:t>
      </w:r>
      <w:r w:rsidR="003E432B" w:rsidRPr="00835B56">
        <w:t>)</w:t>
      </w:r>
      <w:r w:rsidRPr="00835B56">
        <w:t xml:space="preserve">. Should cultural goods be treated differently? </w:t>
      </w:r>
      <w:r w:rsidRPr="00835B56">
        <w:rPr>
          <w:i/>
        </w:rPr>
        <w:t>Journal of Cultural Economics</w:t>
      </w:r>
      <w:r w:rsidR="003E432B" w:rsidRPr="00835B56">
        <w:rPr>
          <w:i/>
        </w:rPr>
        <w:t>,</w:t>
      </w:r>
      <w:r w:rsidRPr="00835B56">
        <w:t xml:space="preserve"> 23:</w:t>
      </w:r>
      <w:r w:rsidR="003E432B" w:rsidRPr="00835B56">
        <w:t xml:space="preserve"> </w:t>
      </w:r>
      <w:r w:rsidRPr="00835B56">
        <w:t>87</w:t>
      </w:r>
      <w:r w:rsidR="003E432B" w:rsidRPr="00835B56">
        <w:t>2</w:t>
      </w:r>
      <w:r w:rsidRPr="00835B56">
        <w:t>93.</w:t>
      </w:r>
    </w:p>
    <w:p w14:paraId="00000490" w14:textId="73074A87" w:rsidR="00294ABB" w:rsidRPr="00835B56" w:rsidRDefault="00420BFB" w:rsidP="00835B56">
      <w:pPr>
        <w:spacing w:line="259" w:lineRule="auto"/>
        <w:jc w:val="left"/>
      </w:pPr>
      <w:r w:rsidRPr="00835B56">
        <w:t xml:space="preserve">Michaely, M. </w:t>
      </w:r>
      <w:r w:rsidR="003E432B" w:rsidRPr="00835B56">
        <w:t>(</w:t>
      </w:r>
      <w:r w:rsidRPr="00835B56">
        <w:t>1996</w:t>
      </w:r>
      <w:r w:rsidR="003E432B" w:rsidRPr="00835B56">
        <w:t>)</w:t>
      </w:r>
      <w:r w:rsidRPr="00835B56">
        <w:t xml:space="preserve">. </w:t>
      </w:r>
      <w:r w:rsidRPr="00835B56">
        <w:rPr>
          <w:i/>
          <w:iCs/>
        </w:rPr>
        <w:t>Trade preferential agreements in Latin America: an ex ante assessment</w:t>
      </w:r>
      <w:r w:rsidR="003E432B" w:rsidRPr="00835B56">
        <w:t xml:space="preserve">. </w:t>
      </w:r>
      <w:r w:rsidRPr="00835B56">
        <w:t>Policy Research Working Paper 1583, Washington D.C.: The World Bank.</w:t>
      </w:r>
    </w:p>
    <w:p w14:paraId="00000492" w14:textId="4A791B14" w:rsidR="00294ABB" w:rsidRPr="00835B56" w:rsidRDefault="00420BFB" w:rsidP="00835B56">
      <w:pPr>
        <w:spacing w:line="259" w:lineRule="auto"/>
        <w:jc w:val="left"/>
      </w:pPr>
      <w:r w:rsidRPr="00835B56">
        <w:t xml:space="preserve">Mulcahy, K. </w:t>
      </w:r>
      <w:r w:rsidR="003E432B" w:rsidRPr="00835B56">
        <w:t>(</w:t>
      </w:r>
      <w:r w:rsidRPr="00835B56">
        <w:t>2017</w:t>
      </w:r>
      <w:r w:rsidR="003E432B" w:rsidRPr="00835B56">
        <w:t>)</w:t>
      </w:r>
      <w:r w:rsidRPr="00835B56">
        <w:t xml:space="preserve">. </w:t>
      </w:r>
      <w:r w:rsidRPr="00835B56">
        <w:rPr>
          <w:i/>
          <w:iCs/>
        </w:rPr>
        <w:t>Public culture, cultural identity, cultural policy: Comparative perspectives</w:t>
      </w:r>
      <w:r w:rsidRPr="00835B56">
        <w:t xml:space="preserve">. </w:t>
      </w:r>
      <w:r w:rsidR="003E432B" w:rsidRPr="00835B56">
        <w:t xml:space="preserve">New York: </w:t>
      </w:r>
      <w:r w:rsidRPr="00835B56">
        <w:t>Palgrave Macmillan</w:t>
      </w:r>
      <w:r w:rsidR="003E432B" w:rsidRPr="00835B56">
        <w:t>.</w:t>
      </w:r>
    </w:p>
    <w:p w14:paraId="00000494" w14:textId="53C8660E" w:rsidR="00294ABB" w:rsidRPr="00835B56" w:rsidRDefault="00420BFB" w:rsidP="00835B56">
      <w:pPr>
        <w:spacing w:line="259" w:lineRule="auto"/>
        <w:jc w:val="left"/>
      </w:pPr>
      <w:r w:rsidRPr="00835B56">
        <w:t xml:space="preserve">Nwauche, E. (2018). Intellectual property and creative industries policy in Africa. In A. Brown </w:t>
      </w:r>
      <w:r w:rsidR="003E432B" w:rsidRPr="00835B56">
        <w:t xml:space="preserve">and </w:t>
      </w:r>
      <w:r w:rsidRPr="00835B56">
        <w:t>C. Waelde (Eds.)</w:t>
      </w:r>
      <w:r w:rsidR="003E432B" w:rsidRPr="00835B56">
        <w:t>,</w:t>
      </w:r>
      <w:r w:rsidRPr="00835B56">
        <w:t xml:space="preserve"> </w:t>
      </w:r>
      <w:r w:rsidRPr="00835B56">
        <w:rPr>
          <w:i/>
          <w:iCs/>
        </w:rPr>
        <w:t>Research handbook on intellectual property and creative industries</w:t>
      </w:r>
      <w:r w:rsidRPr="00835B56">
        <w:t>. Cheltenham: Edward Elgar Publishing.</w:t>
      </w:r>
    </w:p>
    <w:p w14:paraId="1443397F" w14:textId="77777777" w:rsidR="0009369F" w:rsidRPr="00785B1F" w:rsidRDefault="0009369F" w:rsidP="0009369F">
      <w:pPr>
        <w:spacing w:line="259" w:lineRule="auto"/>
        <w:jc w:val="left"/>
      </w:pPr>
      <w:r w:rsidRPr="00785B1F">
        <w:t xml:space="preserve">Shin, S. (2015). </w:t>
      </w:r>
      <w:r w:rsidRPr="00785B1F">
        <w:rPr>
          <w:i/>
          <w:iCs/>
        </w:rPr>
        <w:t>Cultural Diversity and International Trade in Cultural Products</w:t>
      </w:r>
      <w:r w:rsidRPr="00785B1F">
        <w:t>. PhD thesis, Department of Economics, Faculty of Business and Economics, Macquarie University.</w:t>
      </w:r>
    </w:p>
    <w:p w14:paraId="78FA0998" w14:textId="01C12F38" w:rsidR="0009369F" w:rsidRPr="00741AA5" w:rsidRDefault="0009369F" w:rsidP="0009369F">
      <w:pPr>
        <w:spacing w:line="259" w:lineRule="auto"/>
        <w:jc w:val="left"/>
      </w:pPr>
      <w:r w:rsidRPr="00741AA5">
        <w:t>South African Cultural Observatory</w:t>
      </w:r>
      <w:r>
        <w:t xml:space="preserve"> (</w:t>
      </w:r>
      <w:r w:rsidRPr="00741AA5">
        <w:t>SACO)</w:t>
      </w:r>
      <w:r>
        <w:t>.</w:t>
      </w:r>
      <w:r w:rsidRPr="00741AA5">
        <w:t xml:space="preserve"> </w:t>
      </w:r>
      <w:r>
        <w:t>(</w:t>
      </w:r>
      <w:r w:rsidRPr="00741AA5">
        <w:t>2021</w:t>
      </w:r>
      <w:r>
        <w:t>)</w:t>
      </w:r>
      <w:r w:rsidRPr="00741AA5">
        <w:t xml:space="preserve">. </w:t>
      </w:r>
      <w:r w:rsidRPr="00835B56">
        <w:rPr>
          <w:i/>
          <w:iCs/>
        </w:rPr>
        <w:t>Cultural and Creative Industries Masterplan Survey</w:t>
      </w:r>
      <w:r w:rsidRPr="00741AA5">
        <w:t xml:space="preserve">. [Online] Available: </w:t>
      </w:r>
      <w:hyperlink r:id="rId22">
        <w:r w:rsidRPr="00741AA5">
          <w:rPr>
            <w:color w:val="0563C1"/>
            <w:u w:val="single"/>
          </w:rPr>
          <w:t>https://www.southafricanculturalobservatory.org.za/cultural-and-creative-industries-masterplan-survey</w:t>
        </w:r>
      </w:hyperlink>
      <w:r w:rsidRPr="00741AA5">
        <w:t xml:space="preserve"> [Accessed 29 November 2021].</w:t>
      </w:r>
    </w:p>
    <w:p w14:paraId="7986D0E1" w14:textId="77777777" w:rsidR="0009369F" w:rsidRPr="00A97AA9" w:rsidRDefault="0009369F" w:rsidP="0009369F">
      <w:pPr>
        <w:spacing w:line="259" w:lineRule="auto"/>
        <w:jc w:val="left"/>
      </w:pPr>
      <w:r w:rsidRPr="00A97AA9">
        <w:t>South African Reserve Bank</w:t>
      </w:r>
      <w:r>
        <w:t xml:space="preserve"> (SARB</w:t>
      </w:r>
      <w:r w:rsidRPr="00A97AA9">
        <w:t>)</w:t>
      </w:r>
      <w:r>
        <w:t>.</w:t>
      </w:r>
      <w:r w:rsidRPr="00A97AA9">
        <w:t xml:space="preserve"> (2021). </w:t>
      </w:r>
      <w:r w:rsidRPr="00835B56">
        <w:rPr>
          <w:i/>
          <w:iCs/>
        </w:rPr>
        <w:t>Online Statistical Database</w:t>
      </w:r>
      <w:r w:rsidRPr="00A97AA9">
        <w:t xml:space="preserve">. [Online] Available: </w:t>
      </w:r>
      <w:hyperlink r:id="rId23">
        <w:r w:rsidRPr="00A97AA9">
          <w:rPr>
            <w:color w:val="0563C1"/>
            <w:u w:val="single"/>
          </w:rPr>
          <w:t>https://www.resbank.co.za</w:t>
        </w:r>
      </w:hyperlink>
      <w:r w:rsidRPr="00A97AA9">
        <w:t xml:space="preserve">. </w:t>
      </w:r>
    </w:p>
    <w:p w14:paraId="36A94069" w14:textId="224F8C2D" w:rsidR="0009369F" w:rsidRPr="00FA2336" w:rsidRDefault="0009369F" w:rsidP="0009369F">
      <w:pPr>
        <w:spacing w:line="259" w:lineRule="auto"/>
        <w:jc w:val="left"/>
      </w:pPr>
      <w:r w:rsidRPr="00FA2336">
        <w:t xml:space="preserve">Southern African Development Community </w:t>
      </w:r>
      <w:r>
        <w:t>(</w:t>
      </w:r>
      <w:r w:rsidRPr="00FA2336">
        <w:t>SADC</w:t>
      </w:r>
      <w:r>
        <w:t>).</w:t>
      </w:r>
      <w:r w:rsidRPr="00FA2336">
        <w:t xml:space="preserve"> (1996</w:t>
      </w:r>
      <w:r>
        <w:t>)</w:t>
      </w:r>
      <w:r w:rsidRPr="00FA2336">
        <w:t xml:space="preserve">. </w:t>
      </w:r>
      <w:r w:rsidRPr="00835B56">
        <w:rPr>
          <w:i/>
          <w:iCs/>
        </w:rPr>
        <w:t>Protocol on Trade</w:t>
      </w:r>
      <w:r w:rsidRPr="00FA2336">
        <w:t xml:space="preserve">. [Online] Available: </w:t>
      </w:r>
      <w:hyperlink r:id="rId24">
        <w:r w:rsidRPr="00FA2336">
          <w:rPr>
            <w:color w:val="0563C1"/>
            <w:u w:val="single"/>
          </w:rPr>
          <w:t>https://www.sadc.int/files/4613/5292/8370/Protocol_on_Trade1996.pdf</w:t>
        </w:r>
      </w:hyperlink>
      <w:r w:rsidRPr="00FA2336">
        <w:t>.</w:t>
      </w:r>
    </w:p>
    <w:p w14:paraId="00000496" w14:textId="60C16C05" w:rsidR="00294ABB" w:rsidRPr="00835B56" w:rsidRDefault="00420BFB" w:rsidP="00835B56">
      <w:pPr>
        <w:spacing w:line="259" w:lineRule="auto"/>
        <w:jc w:val="left"/>
      </w:pPr>
      <w:r w:rsidRPr="00835B56">
        <w:t>Southern African Development Community</w:t>
      </w:r>
      <w:r w:rsidR="0009369F" w:rsidRPr="0009369F">
        <w:t xml:space="preserve"> </w:t>
      </w:r>
      <w:r w:rsidR="0009369F">
        <w:t>(</w:t>
      </w:r>
      <w:r w:rsidR="0009369F" w:rsidRPr="00767706">
        <w:t>SADC</w:t>
      </w:r>
      <w:r w:rsidRPr="00835B56">
        <w:t>)</w:t>
      </w:r>
      <w:r w:rsidR="0009369F">
        <w:t>.</w:t>
      </w:r>
      <w:r w:rsidRPr="00835B56">
        <w:t xml:space="preserve"> </w:t>
      </w:r>
      <w:r w:rsidR="0009369F">
        <w:t>(</w:t>
      </w:r>
      <w:r w:rsidRPr="00835B56">
        <w:t>2001</w:t>
      </w:r>
      <w:r w:rsidR="0009369F">
        <w:t>)</w:t>
      </w:r>
      <w:r w:rsidRPr="00835B56">
        <w:t xml:space="preserve">. </w:t>
      </w:r>
      <w:r w:rsidRPr="00835B56">
        <w:rPr>
          <w:i/>
          <w:iCs/>
        </w:rPr>
        <w:t>Protocol on Culture, Information and Sport</w:t>
      </w:r>
      <w:r w:rsidRPr="00835B56">
        <w:t xml:space="preserve">. [Online] Available: </w:t>
      </w:r>
      <w:hyperlink r:id="rId25">
        <w:r w:rsidRPr="00835B56">
          <w:rPr>
            <w:color w:val="0563C1"/>
            <w:u w:val="single"/>
          </w:rPr>
          <w:t>https://www.sadc.int/files/3213/5292/8362/Protocol_on_Culture_Information_and_Sport2001.pdf</w:t>
        </w:r>
      </w:hyperlink>
      <w:r w:rsidRPr="00835B56">
        <w:t>.</w:t>
      </w:r>
    </w:p>
    <w:p w14:paraId="0000049A" w14:textId="21D12A2B" w:rsidR="00294ABB" w:rsidRPr="00835B56" w:rsidRDefault="00420BFB" w:rsidP="00835B56">
      <w:pPr>
        <w:spacing w:line="259" w:lineRule="auto"/>
        <w:jc w:val="left"/>
      </w:pPr>
      <w:r w:rsidRPr="00835B56">
        <w:t>UN Comtrade</w:t>
      </w:r>
      <w:r w:rsidR="003E432B" w:rsidRPr="00835B56">
        <w:t>.</w:t>
      </w:r>
      <w:r w:rsidRPr="00835B56">
        <w:t xml:space="preserve"> </w:t>
      </w:r>
      <w:r w:rsidR="003E432B" w:rsidRPr="00835B56">
        <w:t>(</w:t>
      </w:r>
      <w:r w:rsidRPr="00835B56">
        <w:t>2021</w:t>
      </w:r>
      <w:r w:rsidR="003E432B" w:rsidRPr="00835B56">
        <w:t>)</w:t>
      </w:r>
      <w:r w:rsidRPr="00835B56">
        <w:t xml:space="preserve">. </w:t>
      </w:r>
      <w:r w:rsidRPr="00835B56">
        <w:rPr>
          <w:i/>
          <w:iCs/>
        </w:rPr>
        <w:t>International Trade Statistics Database</w:t>
      </w:r>
      <w:r w:rsidRPr="00835B56">
        <w:t xml:space="preserve">. [Online] Available: </w:t>
      </w:r>
      <w:hyperlink r:id="rId26">
        <w:r w:rsidRPr="00835B56">
          <w:rPr>
            <w:color w:val="0563C1"/>
            <w:u w:val="single"/>
          </w:rPr>
          <w:t>https://comtrade.un.org/</w:t>
        </w:r>
      </w:hyperlink>
      <w:r w:rsidRPr="00835B56">
        <w:t>.</w:t>
      </w:r>
    </w:p>
    <w:p w14:paraId="0000049B" w14:textId="704B6D03" w:rsidR="00294ABB" w:rsidRPr="00835B56" w:rsidRDefault="00420BFB" w:rsidP="00835B56">
      <w:pPr>
        <w:spacing w:line="259" w:lineRule="auto"/>
        <w:jc w:val="left"/>
      </w:pPr>
      <w:r w:rsidRPr="00835B56">
        <w:t>UNCTAD and WTO</w:t>
      </w:r>
      <w:r w:rsidR="003E432B" w:rsidRPr="00835B56">
        <w:t>.</w:t>
      </w:r>
      <w:r w:rsidRPr="00835B56">
        <w:t xml:space="preserve"> </w:t>
      </w:r>
      <w:r w:rsidR="003E432B" w:rsidRPr="00835B56">
        <w:t>(</w:t>
      </w:r>
      <w:r w:rsidRPr="00835B56">
        <w:t>2012</w:t>
      </w:r>
      <w:r w:rsidR="003E432B" w:rsidRPr="00835B56">
        <w:t>)</w:t>
      </w:r>
      <w:r w:rsidRPr="00835B56">
        <w:t xml:space="preserve">. </w:t>
      </w:r>
      <w:r w:rsidRPr="00835B56">
        <w:rPr>
          <w:i/>
        </w:rPr>
        <w:t>A Practical Guide to Trade Policy Analysis</w:t>
      </w:r>
      <w:r w:rsidRPr="00835B56">
        <w:t>. Geneva: UNCTAD and WTO.</w:t>
      </w:r>
    </w:p>
    <w:p w14:paraId="0000049D" w14:textId="1C87A1F1" w:rsidR="00294ABB" w:rsidRPr="00835B56" w:rsidRDefault="00420BFB" w:rsidP="00835B56">
      <w:pPr>
        <w:spacing w:line="259" w:lineRule="auto"/>
        <w:jc w:val="left"/>
      </w:pPr>
      <w:r w:rsidRPr="00835B56">
        <w:t>UNCTAD</w:t>
      </w:r>
      <w:r w:rsidR="003E432B" w:rsidRPr="00835B56">
        <w:t>.</w:t>
      </w:r>
      <w:r w:rsidRPr="00835B56">
        <w:t xml:space="preserve"> </w:t>
      </w:r>
      <w:r w:rsidR="003E432B" w:rsidRPr="00835B56">
        <w:t>(</w:t>
      </w:r>
      <w:r w:rsidRPr="00835B56">
        <w:t>2018</w:t>
      </w:r>
      <w:r w:rsidR="003E432B" w:rsidRPr="00835B56">
        <w:t>)</w:t>
      </w:r>
      <w:r w:rsidRPr="00835B56">
        <w:t xml:space="preserve">. </w:t>
      </w:r>
      <w:r w:rsidRPr="00835B56">
        <w:rPr>
          <w:i/>
        </w:rPr>
        <w:t>Creative Economy Outlook: Trends in international trade in creative industries 2002</w:t>
      </w:r>
      <w:r w:rsidR="003E432B" w:rsidRPr="00835B56">
        <w:rPr>
          <w:i/>
        </w:rPr>
        <w:t>–</w:t>
      </w:r>
      <w:r w:rsidRPr="00835B56">
        <w:rPr>
          <w:i/>
        </w:rPr>
        <w:t>2015.</w:t>
      </w:r>
      <w:r w:rsidRPr="00835B56">
        <w:t xml:space="preserve"> United National Conference on Trade and Development (UNCTAD), Geneva.</w:t>
      </w:r>
    </w:p>
    <w:p w14:paraId="0000049F" w14:textId="1A5C66FB" w:rsidR="00294ABB" w:rsidRPr="00835B56" w:rsidRDefault="00420BFB" w:rsidP="00835B56">
      <w:pPr>
        <w:spacing w:line="259" w:lineRule="auto"/>
        <w:jc w:val="left"/>
      </w:pPr>
      <w:r w:rsidRPr="00835B56">
        <w:lastRenderedPageBreak/>
        <w:t>UNCTAD</w:t>
      </w:r>
      <w:r w:rsidR="003E432B" w:rsidRPr="00835B56">
        <w:t>.</w:t>
      </w:r>
      <w:r w:rsidRPr="00835B56">
        <w:t xml:space="preserve"> </w:t>
      </w:r>
      <w:r w:rsidR="003E432B" w:rsidRPr="00835B56">
        <w:t>(</w:t>
      </w:r>
      <w:r w:rsidRPr="00835B56">
        <w:t>Forthcoming</w:t>
      </w:r>
      <w:r w:rsidR="003E432B" w:rsidRPr="00835B56">
        <w:t>)</w:t>
      </w:r>
      <w:r w:rsidRPr="00835B56">
        <w:t xml:space="preserve">. </w:t>
      </w:r>
      <w:r w:rsidRPr="00835B56">
        <w:rPr>
          <w:i/>
          <w:iCs/>
        </w:rPr>
        <w:t>Creative Industry 4.0: Towards a new globalised creative economy</w:t>
      </w:r>
      <w:r w:rsidRPr="00835B56">
        <w:t>. United National Conference on Trade and Development (UNCTAD), United Nations.</w:t>
      </w:r>
    </w:p>
    <w:p w14:paraId="000004A0" w14:textId="64F98D42" w:rsidR="00294ABB" w:rsidRPr="00835B56" w:rsidRDefault="00420BFB" w:rsidP="00835B56">
      <w:pPr>
        <w:spacing w:line="259" w:lineRule="auto"/>
        <w:jc w:val="left"/>
      </w:pPr>
      <w:r w:rsidRPr="00835B56">
        <w:t>UNESCO</w:t>
      </w:r>
      <w:r w:rsidR="003E432B" w:rsidRPr="00835B56">
        <w:t>.</w:t>
      </w:r>
      <w:r w:rsidRPr="00835B56">
        <w:t xml:space="preserve"> </w:t>
      </w:r>
      <w:r w:rsidR="003E432B" w:rsidRPr="00835B56">
        <w:t>(</w:t>
      </w:r>
      <w:r w:rsidRPr="00835B56">
        <w:t>2005</w:t>
      </w:r>
      <w:r w:rsidR="003E432B" w:rsidRPr="00835B56">
        <w:t>)</w:t>
      </w:r>
      <w:r w:rsidRPr="00835B56">
        <w:t xml:space="preserve">. </w:t>
      </w:r>
      <w:r w:rsidRPr="00835B56">
        <w:rPr>
          <w:i/>
          <w:iCs/>
        </w:rPr>
        <w:t>Convention on the Protection and Promotion of the Diversity of Cultural Expressions</w:t>
      </w:r>
      <w:r w:rsidRPr="00835B56">
        <w:t xml:space="preserve">. </w:t>
      </w:r>
      <w:r w:rsidR="003E432B" w:rsidRPr="00835B56">
        <w:t xml:space="preserve">Paris: </w:t>
      </w:r>
      <w:r w:rsidRPr="00835B56">
        <w:t>UNESCO</w:t>
      </w:r>
      <w:r w:rsidR="003E432B" w:rsidRPr="00835B56">
        <w:t>.</w:t>
      </w:r>
      <w:r w:rsidRPr="00835B56">
        <w:t xml:space="preserve"> </w:t>
      </w:r>
    </w:p>
    <w:p w14:paraId="000004A2" w14:textId="6423B441" w:rsidR="00294ABB" w:rsidRPr="00835B56" w:rsidRDefault="00420BFB" w:rsidP="00835B56">
      <w:pPr>
        <w:spacing w:line="259" w:lineRule="auto"/>
        <w:jc w:val="left"/>
      </w:pPr>
      <w:r w:rsidRPr="00835B56">
        <w:t>UNESCO</w:t>
      </w:r>
      <w:r w:rsidR="003E432B" w:rsidRPr="00835B56">
        <w:t>. (</w:t>
      </w:r>
      <w:r w:rsidRPr="00835B56">
        <w:t>2009</w:t>
      </w:r>
      <w:r w:rsidR="003E432B" w:rsidRPr="00835B56">
        <w:t>)</w:t>
      </w:r>
      <w:r w:rsidRPr="00835B56">
        <w:t>.</w:t>
      </w:r>
      <w:r w:rsidRPr="007000C3">
        <w:t xml:space="preserve"> </w:t>
      </w:r>
      <w:r w:rsidRPr="00835B56">
        <w:rPr>
          <w:i/>
        </w:rPr>
        <w:t>UNESCO Framework for Cultural Statistics</w:t>
      </w:r>
      <w:r w:rsidRPr="00835B56">
        <w:t>. Montreal</w:t>
      </w:r>
      <w:r w:rsidR="003E432B" w:rsidRPr="00835B56">
        <w:t>: UNESCO.</w:t>
      </w:r>
    </w:p>
    <w:p w14:paraId="000004A8" w14:textId="3D0B18E4" w:rsidR="00294ABB" w:rsidRDefault="00420BFB">
      <w:pPr>
        <w:spacing w:line="259" w:lineRule="auto"/>
        <w:jc w:val="left"/>
        <w:sectPr w:rsidR="00294ABB" w:rsidSect="00C90C68">
          <w:pgSz w:w="11906" w:h="16838"/>
          <w:pgMar w:top="1440" w:right="1440" w:bottom="1440" w:left="1440" w:header="708" w:footer="708" w:gutter="0"/>
          <w:pgNumType w:start="1"/>
          <w:cols w:space="720"/>
        </w:sectPr>
      </w:pPr>
      <w:r w:rsidRPr="00835B56">
        <w:t>World Trade Organization</w:t>
      </w:r>
      <w:r w:rsidR="0009369F" w:rsidRPr="0009369F">
        <w:t xml:space="preserve"> </w:t>
      </w:r>
      <w:r w:rsidR="0009369F">
        <w:t>(</w:t>
      </w:r>
      <w:r w:rsidR="0009369F" w:rsidRPr="003D1A43">
        <w:t>WTO</w:t>
      </w:r>
      <w:r w:rsidRPr="00835B56">
        <w:t>)</w:t>
      </w:r>
      <w:r w:rsidR="0009369F">
        <w:t>.</w:t>
      </w:r>
      <w:r w:rsidRPr="00835B56">
        <w:t xml:space="preserve"> </w:t>
      </w:r>
      <w:r w:rsidR="003E432B" w:rsidRPr="00835B56">
        <w:t>(</w:t>
      </w:r>
      <w:r w:rsidRPr="00835B56">
        <w:t>2021</w:t>
      </w:r>
      <w:r w:rsidR="003E432B" w:rsidRPr="00835B56">
        <w:t>)</w:t>
      </w:r>
      <w:r w:rsidRPr="00835B56">
        <w:t xml:space="preserve">. </w:t>
      </w:r>
      <w:r w:rsidRPr="00835B56">
        <w:rPr>
          <w:i/>
          <w:iCs/>
        </w:rPr>
        <w:t>World trade primed for strong but uneven recovery after COVID-19 pandemic shock</w:t>
      </w:r>
      <w:r w:rsidRPr="00835B56">
        <w:t xml:space="preserve">. [Online] Available: </w:t>
      </w:r>
      <w:hyperlink r:id="rId27">
        <w:r w:rsidRPr="00835B56">
          <w:rPr>
            <w:color w:val="0563C1"/>
            <w:u w:val="single"/>
          </w:rPr>
          <w:t>https://www.wto.org/english/news_e/pres21_e/pr876_e.htm</w:t>
        </w:r>
      </w:hyperlink>
      <w:r w:rsidRPr="00835B56">
        <w:t xml:space="preserve"> [Accessed 30 November 2021].</w:t>
      </w:r>
      <w:r>
        <w:br w:type="page"/>
      </w:r>
    </w:p>
    <w:p w14:paraId="000004A9" w14:textId="77777777" w:rsidR="00294ABB" w:rsidRDefault="00420BFB" w:rsidP="00835B56">
      <w:pPr>
        <w:pStyle w:val="Heading1"/>
        <w:numPr>
          <w:ilvl w:val="0"/>
          <w:numId w:val="0"/>
        </w:numPr>
        <w:ind w:left="432"/>
      </w:pPr>
      <w:bookmarkStart w:id="66" w:name="_heading=h.28h4qwu" w:colFirst="0" w:colLast="0"/>
      <w:bookmarkStart w:id="67" w:name="_Toc90189393"/>
      <w:bookmarkStart w:id="68" w:name="_Toc92623051"/>
      <w:bookmarkEnd w:id="66"/>
      <w:r>
        <w:lastRenderedPageBreak/>
        <w:t>Appendix 1: Cultural goods trade: 2007 Harmonised System codes and descriptions</w:t>
      </w:r>
      <w:bookmarkEnd w:id="67"/>
      <w:bookmarkEnd w:id="68"/>
    </w:p>
    <w:tbl>
      <w:tblPr>
        <w:tblStyle w:val="a9"/>
        <w:tblW w:w="14175" w:type="dxa"/>
        <w:jc w:val="center"/>
        <w:tblLayout w:type="fixed"/>
        <w:tblLook w:val="0400" w:firstRow="0" w:lastRow="0" w:firstColumn="0" w:lastColumn="0" w:noHBand="0" w:noVBand="1"/>
      </w:tblPr>
      <w:tblGrid>
        <w:gridCol w:w="3122"/>
        <w:gridCol w:w="2354"/>
        <w:gridCol w:w="1096"/>
        <w:gridCol w:w="7603"/>
      </w:tblGrid>
      <w:tr w:rsidR="00294ABB" w14:paraId="6EDE48BF" w14:textId="77777777" w:rsidTr="00835B56">
        <w:trPr>
          <w:jc w:val="center"/>
        </w:trPr>
        <w:tc>
          <w:tcPr>
            <w:tcW w:w="2826" w:type="dxa"/>
            <w:tcBorders>
              <w:top w:val="single" w:sz="4" w:space="0" w:color="000000"/>
              <w:left w:val="single" w:sz="4" w:space="0" w:color="000000"/>
              <w:bottom w:val="single" w:sz="4" w:space="0" w:color="000000"/>
              <w:right w:val="single" w:sz="4" w:space="0" w:color="000000"/>
            </w:tcBorders>
            <w:shd w:val="clear" w:color="auto" w:fill="auto"/>
          </w:tcPr>
          <w:p w14:paraId="000004AA" w14:textId="77777777" w:rsidR="00294ABB" w:rsidRDefault="00420BFB" w:rsidP="00835B56">
            <w:pPr>
              <w:spacing w:after="0"/>
              <w:jc w:val="left"/>
              <w:rPr>
                <w:rFonts w:ascii="Calibri" w:eastAsia="Calibri" w:hAnsi="Calibri" w:cs="Calibri"/>
                <w:b/>
                <w:color w:val="000000"/>
              </w:rPr>
            </w:pPr>
            <w:r>
              <w:rPr>
                <w:rFonts w:ascii="Calibri" w:eastAsia="Calibri" w:hAnsi="Calibri" w:cs="Calibri"/>
                <w:b/>
                <w:color w:val="000000"/>
              </w:rPr>
              <w:t>Domain</w:t>
            </w:r>
          </w:p>
        </w:tc>
        <w:tc>
          <w:tcPr>
            <w:tcW w:w="2131" w:type="dxa"/>
            <w:tcBorders>
              <w:top w:val="single" w:sz="4" w:space="0" w:color="000000"/>
              <w:left w:val="nil"/>
              <w:bottom w:val="single" w:sz="4" w:space="0" w:color="000000"/>
              <w:right w:val="single" w:sz="4" w:space="0" w:color="000000"/>
            </w:tcBorders>
            <w:shd w:val="clear" w:color="auto" w:fill="auto"/>
          </w:tcPr>
          <w:p w14:paraId="000004AB" w14:textId="77777777" w:rsidR="00294ABB" w:rsidRDefault="00420BFB" w:rsidP="00835B56">
            <w:pPr>
              <w:spacing w:after="0"/>
              <w:jc w:val="left"/>
              <w:rPr>
                <w:rFonts w:ascii="Calibri" w:eastAsia="Calibri" w:hAnsi="Calibri" w:cs="Calibri"/>
                <w:b/>
                <w:color w:val="000000"/>
              </w:rPr>
            </w:pPr>
            <w:r>
              <w:rPr>
                <w:rFonts w:ascii="Calibri" w:eastAsia="Calibri" w:hAnsi="Calibri" w:cs="Calibri"/>
                <w:b/>
                <w:color w:val="000000"/>
              </w:rPr>
              <w:t> </w:t>
            </w:r>
          </w:p>
        </w:tc>
        <w:tc>
          <w:tcPr>
            <w:tcW w:w="992" w:type="dxa"/>
            <w:tcBorders>
              <w:top w:val="single" w:sz="4" w:space="0" w:color="000000"/>
              <w:left w:val="nil"/>
              <w:bottom w:val="single" w:sz="4" w:space="0" w:color="000000"/>
              <w:right w:val="single" w:sz="4" w:space="0" w:color="000000"/>
            </w:tcBorders>
            <w:shd w:val="clear" w:color="auto" w:fill="auto"/>
          </w:tcPr>
          <w:p w14:paraId="000004AC" w14:textId="77777777" w:rsidR="00294ABB" w:rsidRDefault="00420BFB" w:rsidP="00CE53B1">
            <w:pPr>
              <w:spacing w:after="0"/>
              <w:jc w:val="center"/>
              <w:rPr>
                <w:rFonts w:ascii="Calibri" w:eastAsia="Calibri" w:hAnsi="Calibri" w:cs="Calibri"/>
                <w:b/>
                <w:color w:val="000000"/>
              </w:rPr>
            </w:pPr>
            <w:r>
              <w:rPr>
                <w:rFonts w:ascii="Calibri" w:eastAsia="Calibri" w:hAnsi="Calibri" w:cs="Calibri"/>
                <w:b/>
                <w:color w:val="000000"/>
              </w:rPr>
              <w:t>HS 2007</w:t>
            </w:r>
          </w:p>
        </w:tc>
        <w:tc>
          <w:tcPr>
            <w:tcW w:w="6882" w:type="dxa"/>
            <w:tcBorders>
              <w:top w:val="single" w:sz="4" w:space="0" w:color="000000"/>
              <w:left w:val="nil"/>
              <w:bottom w:val="single" w:sz="4" w:space="0" w:color="000000"/>
              <w:right w:val="single" w:sz="4" w:space="0" w:color="000000"/>
            </w:tcBorders>
            <w:shd w:val="clear" w:color="auto" w:fill="auto"/>
          </w:tcPr>
          <w:p w14:paraId="000004AD" w14:textId="77777777" w:rsidR="00294ABB" w:rsidRDefault="00420BFB" w:rsidP="00835B56">
            <w:pPr>
              <w:spacing w:after="0"/>
              <w:jc w:val="left"/>
              <w:rPr>
                <w:rFonts w:ascii="Calibri" w:eastAsia="Calibri" w:hAnsi="Calibri" w:cs="Calibri"/>
                <w:b/>
                <w:color w:val="000000"/>
              </w:rPr>
            </w:pPr>
            <w:r>
              <w:rPr>
                <w:rFonts w:ascii="Calibri" w:eastAsia="Calibri" w:hAnsi="Calibri" w:cs="Calibri"/>
                <w:b/>
                <w:color w:val="000000"/>
              </w:rPr>
              <w:t>Description</w:t>
            </w:r>
          </w:p>
        </w:tc>
      </w:tr>
      <w:tr w:rsidR="00294ABB" w14:paraId="6099ADF6"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4AE"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A. Cultural and Natural Heritage</w:t>
            </w:r>
          </w:p>
        </w:tc>
        <w:tc>
          <w:tcPr>
            <w:tcW w:w="2131" w:type="dxa"/>
            <w:tcBorders>
              <w:top w:val="nil"/>
              <w:left w:val="nil"/>
              <w:bottom w:val="single" w:sz="4" w:space="0" w:color="000000"/>
              <w:right w:val="single" w:sz="4" w:space="0" w:color="000000"/>
            </w:tcBorders>
            <w:shd w:val="clear" w:color="auto" w:fill="auto"/>
          </w:tcPr>
          <w:p w14:paraId="000004AF"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Antiques</w:t>
            </w:r>
          </w:p>
        </w:tc>
        <w:tc>
          <w:tcPr>
            <w:tcW w:w="992" w:type="dxa"/>
            <w:tcBorders>
              <w:top w:val="nil"/>
              <w:left w:val="nil"/>
              <w:bottom w:val="single" w:sz="4" w:space="0" w:color="000000"/>
              <w:right w:val="single" w:sz="4" w:space="0" w:color="000000"/>
            </w:tcBorders>
            <w:shd w:val="clear" w:color="auto" w:fill="auto"/>
          </w:tcPr>
          <w:p w14:paraId="000004B0"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970500</w:t>
            </w:r>
          </w:p>
        </w:tc>
        <w:tc>
          <w:tcPr>
            <w:tcW w:w="6882" w:type="dxa"/>
            <w:tcBorders>
              <w:top w:val="nil"/>
              <w:left w:val="nil"/>
              <w:bottom w:val="single" w:sz="4" w:space="0" w:color="000000"/>
              <w:right w:val="single" w:sz="4" w:space="0" w:color="000000"/>
            </w:tcBorders>
            <w:shd w:val="clear" w:color="auto" w:fill="auto"/>
          </w:tcPr>
          <w:p w14:paraId="000004B1" w14:textId="6DC6BBC4"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Collections and collectors</w:t>
            </w:r>
            <w:r w:rsidR="00C93471">
              <w:rPr>
                <w:rFonts w:ascii="Calibri" w:eastAsia="Calibri" w:hAnsi="Calibri" w:cs="Calibri"/>
                <w:color w:val="000000"/>
              </w:rPr>
              <w:t>’</w:t>
            </w:r>
            <w:r>
              <w:rPr>
                <w:rFonts w:ascii="Calibri" w:eastAsia="Calibri" w:hAnsi="Calibri" w:cs="Calibri"/>
                <w:color w:val="000000"/>
              </w:rPr>
              <w:t xml:space="preserve"> pieces of zoological, botanical, mineralogical, anatomical, historical, archaeological, palaeontological, ethnographic or numismatic interest</w:t>
            </w:r>
          </w:p>
        </w:tc>
      </w:tr>
      <w:tr w:rsidR="00294ABB" w14:paraId="02B3A9D6"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4B2"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4B3"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4B4"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970600</w:t>
            </w:r>
          </w:p>
        </w:tc>
        <w:tc>
          <w:tcPr>
            <w:tcW w:w="6882" w:type="dxa"/>
            <w:tcBorders>
              <w:top w:val="nil"/>
              <w:left w:val="nil"/>
              <w:bottom w:val="single" w:sz="4" w:space="0" w:color="000000"/>
              <w:right w:val="single" w:sz="4" w:space="0" w:color="000000"/>
            </w:tcBorders>
            <w:shd w:val="clear" w:color="auto" w:fill="auto"/>
          </w:tcPr>
          <w:p w14:paraId="000004B5"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Antiques of an age exceeding one hundred years</w:t>
            </w:r>
          </w:p>
        </w:tc>
      </w:tr>
      <w:tr w:rsidR="00294ABB" w14:paraId="418726B2"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4B6"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B. Performance and Celebration</w:t>
            </w:r>
          </w:p>
        </w:tc>
        <w:tc>
          <w:tcPr>
            <w:tcW w:w="2131" w:type="dxa"/>
            <w:tcBorders>
              <w:top w:val="nil"/>
              <w:left w:val="nil"/>
              <w:bottom w:val="single" w:sz="4" w:space="0" w:color="000000"/>
              <w:right w:val="single" w:sz="4" w:space="0" w:color="000000"/>
            </w:tcBorders>
            <w:shd w:val="clear" w:color="auto" w:fill="auto"/>
          </w:tcPr>
          <w:p w14:paraId="000004B7"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Musical Instruments</w:t>
            </w:r>
          </w:p>
        </w:tc>
        <w:tc>
          <w:tcPr>
            <w:tcW w:w="992" w:type="dxa"/>
            <w:tcBorders>
              <w:top w:val="nil"/>
              <w:left w:val="nil"/>
              <w:bottom w:val="single" w:sz="4" w:space="0" w:color="000000"/>
              <w:right w:val="single" w:sz="4" w:space="0" w:color="000000"/>
            </w:tcBorders>
            <w:shd w:val="clear" w:color="auto" w:fill="auto"/>
          </w:tcPr>
          <w:p w14:paraId="000004B8"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830610</w:t>
            </w:r>
          </w:p>
        </w:tc>
        <w:tc>
          <w:tcPr>
            <w:tcW w:w="6882" w:type="dxa"/>
            <w:tcBorders>
              <w:top w:val="nil"/>
              <w:left w:val="nil"/>
              <w:bottom w:val="single" w:sz="4" w:space="0" w:color="000000"/>
              <w:right w:val="single" w:sz="4" w:space="0" w:color="000000"/>
            </w:tcBorders>
            <w:shd w:val="clear" w:color="auto" w:fill="auto"/>
          </w:tcPr>
          <w:p w14:paraId="000004B9"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Bells, gongs and the like</w:t>
            </w:r>
          </w:p>
        </w:tc>
      </w:tr>
      <w:tr w:rsidR="00294ABB" w14:paraId="78E45E18"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4BA"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4BB"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4BC"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920110</w:t>
            </w:r>
          </w:p>
        </w:tc>
        <w:tc>
          <w:tcPr>
            <w:tcW w:w="6882" w:type="dxa"/>
            <w:tcBorders>
              <w:top w:val="nil"/>
              <w:left w:val="nil"/>
              <w:bottom w:val="single" w:sz="4" w:space="0" w:color="000000"/>
              <w:right w:val="single" w:sz="4" w:space="0" w:color="000000"/>
            </w:tcBorders>
            <w:shd w:val="clear" w:color="auto" w:fill="auto"/>
          </w:tcPr>
          <w:p w14:paraId="000004BD"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Upright pianos</w:t>
            </w:r>
          </w:p>
        </w:tc>
      </w:tr>
      <w:tr w:rsidR="00294ABB" w14:paraId="6BFAB0FB"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4BE"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4BF"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4C0"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920120</w:t>
            </w:r>
          </w:p>
        </w:tc>
        <w:tc>
          <w:tcPr>
            <w:tcW w:w="6882" w:type="dxa"/>
            <w:tcBorders>
              <w:top w:val="nil"/>
              <w:left w:val="nil"/>
              <w:bottom w:val="single" w:sz="4" w:space="0" w:color="000000"/>
              <w:right w:val="single" w:sz="4" w:space="0" w:color="000000"/>
            </w:tcBorders>
            <w:shd w:val="clear" w:color="auto" w:fill="auto"/>
          </w:tcPr>
          <w:p w14:paraId="000004C1"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Grand pianos</w:t>
            </w:r>
          </w:p>
        </w:tc>
      </w:tr>
      <w:tr w:rsidR="00294ABB" w14:paraId="0B648D8A"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4C2"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4C3"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4C4"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920190</w:t>
            </w:r>
          </w:p>
        </w:tc>
        <w:tc>
          <w:tcPr>
            <w:tcW w:w="6882" w:type="dxa"/>
            <w:tcBorders>
              <w:top w:val="nil"/>
              <w:left w:val="nil"/>
              <w:bottom w:val="single" w:sz="4" w:space="0" w:color="000000"/>
              <w:right w:val="single" w:sz="4" w:space="0" w:color="000000"/>
            </w:tcBorders>
            <w:shd w:val="clear" w:color="auto" w:fill="auto"/>
          </w:tcPr>
          <w:p w14:paraId="000004C5"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Harpsichords and other keyboard stringed instruments (excl. pianos)</w:t>
            </w:r>
          </w:p>
        </w:tc>
      </w:tr>
      <w:tr w:rsidR="00294ABB" w14:paraId="2B96A074"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4C6"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4C7"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4C8"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920210</w:t>
            </w:r>
          </w:p>
        </w:tc>
        <w:tc>
          <w:tcPr>
            <w:tcW w:w="6882" w:type="dxa"/>
            <w:tcBorders>
              <w:top w:val="nil"/>
              <w:left w:val="nil"/>
              <w:bottom w:val="single" w:sz="4" w:space="0" w:color="000000"/>
              <w:right w:val="single" w:sz="4" w:space="0" w:color="000000"/>
            </w:tcBorders>
            <w:shd w:val="clear" w:color="auto" w:fill="auto"/>
          </w:tcPr>
          <w:p w14:paraId="000004C9"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Other string musical instruments (for example violins, harps) played with a bow</w:t>
            </w:r>
          </w:p>
        </w:tc>
      </w:tr>
      <w:tr w:rsidR="00294ABB" w14:paraId="4C965A41"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4CA"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4CB"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4CC"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920290</w:t>
            </w:r>
          </w:p>
        </w:tc>
        <w:tc>
          <w:tcPr>
            <w:tcW w:w="6882" w:type="dxa"/>
            <w:tcBorders>
              <w:top w:val="nil"/>
              <w:left w:val="nil"/>
              <w:bottom w:val="single" w:sz="4" w:space="0" w:color="000000"/>
              <w:right w:val="single" w:sz="4" w:space="0" w:color="000000"/>
            </w:tcBorders>
            <w:shd w:val="clear" w:color="auto" w:fill="auto"/>
          </w:tcPr>
          <w:p w14:paraId="000004CD"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Guitars, harps and other string musical instruments (excl. with keyboard and those played with a bow)</w:t>
            </w:r>
          </w:p>
        </w:tc>
      </w:tr>
      <w:tr w:rsidR="00294ABB" w14:paraId="3F1160D5"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4CE"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4CF"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4D0"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920510</w:t>
            </w:r>
          </w:p>
        </w:tc>
        <w:tc>
          <w:tcPr>
            <w:tcW w:w="6882" w:type="dxa"/>
            <w:tcBorders>
              <w:top w:val="nil"/>
              <w:left w:val="nil"/>
              <w:bottom w:val="single" w:sz="4" w:space="0" w:color="000000"/>
              <w:right w:val="single" w:sz="4" w:space="0" w:color="000000"/>
            </w:tcBorders>
            <w:shd w:val="clear" w:color="auto" w:fill="auto"/>
          </w:tcPr>
          <w:p w14:paraId="000004D1"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Brass wind instruments (for example, clarinets, trumpets bagpipes)</w:t>
            </w:r>
          </w:p>
        </w:tc>
      </w:tr>
      <w:tr w:rsidR="00294ABB" w14:paraId="18BC9077"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4D2"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4D3"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4D4"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920590</w:t>
            </w:r>
          </w:p>
        </w:tc>
        <w:tc>
          <w:tcPr>
            <w:tcW w:w="6882" w:type="dxa"/>
            <w:tcBorders>
              <w:top w:val="nil"/>
              <w:left w:val="nil"/>
              <w:bottom w:val="single" w:sz="4" w:space="0" w:color="000000"/>
              <w:right w:val="single" w:sz="4" w:space="0" w:color="000000"/>
            </w:tcBorders>
            <w:shd w:val="clear" w:color="auto" w:fill="auto"/>
          </w:tcPr>
          <w:p w14:paraId="000004D5"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Wind musical instruments (excl. brass- wind instruments)</w:t>
            </w:r>
          </w:p>
        </w:tc>
      </w:tr>
      <w:tr w:rsidR="00294ABB" w14:paraId="14FEEAD8"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4D6"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4D7"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4D8"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920600</w:t>
            </w:r>
          </w:p>
        </w:tc>
        <w:tc>
          <w:tcPr>
            <w:tcW w:w="6882" w:type="dxa"/>
            <w:tcBorders>
              <w:top w:val="nil"/>
              <w:left w:val="nil"/>
              <w:bottom w:val="single" w:sz="4" w:space="0" w:color="000000"/>
              <w:right w:val="single" w:sz="4" w:space="0" w:color="000000"/>
            </w:tcBorders>
            <w:shd w:val="clear" w:color="auto" w:fill="auto"/>
          </w:tcPr>
          <w:p w14:paraId="000004D9"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Percussion musical instruments (for example drums, xylophones, cymbals, castanets, maracas)</w:t>
            </w:r>
          </w:p>
        </w:tc>
      </w:tr>
      <w:tr w:rsidR="00294ABB" w14:paraId="12840A22"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4DA"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4DB"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4DC"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920710</w:t>
            </w:r>
          </w:p>
        </w:tc>
        <w:tc>
          <w:tcPr>
            <w:tcW w:w="6882" w:type="dxa"/>
            <w:tcBorders>
              <w:top w:val="nil"/>
              <w:left w:val="nil"/>
              <w:bottom w:val="single" w:sz="4" w:space="0" w:color="000000"/>
              <w:right w:val="single" w:sz="4" w:space="0" w:color="000000"/>
            </w:tcBorders>
            <w:shd w:val="clear" w:color="auto" w:fill="auto"/>
          </w:tcPr>
          <w:p w14:paraId="000004DD"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xml:space="preserve">Keyboard instruments other than accordions </w:t>
            </w:r>
          </w:p>
        </w:tc>
      </w:tr>
      <w:tr w:rsidR="00294ABB" w14:paraId="6E856D86"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4DE"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4DF"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4E0"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920790</w:t>
            </w:r>
          </w:p>
        </w:tc>
        <w:tc>
          <w:tcPr>
            <w:tcW w:w="6882" w:type="dxa"/>
            <w:tcBorders>
              <w:top w:val="nil"/>
              <w:left w:val="nil"/>
              <w:bottom w:val="single" w:sz="4" w:space="0" w:color="000000"/>
              <w:right w:val="single" w:sz="4" w:space="0" w:color="000000"/>
            </w:tcBorders>
            <w:shd w:val="clear" w:color="auto" w:fill="auto"/>
          </w:tcPr>
          <w:p w14:paraId="000004E1" w14:textId="4023A2CC"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Accordi</w:t>
            </w:r>
            <w:r w:rsidR="0058364B">
              <w:rPr>
                <w:rFonts w:ascii="Calibri" w:eastAsia="Calibri" w:hAnsi="Calibri" w:cs="Calibri"/>
                <w:color w:val="000000"/>
              </w:rPr>
              <w:t>o</w:t>
            </w:r>
            <w:r>
              <w:rPr>
                <w:rFonts w:ascii="Calibri" w:eastAsia="Calibri" w:hAnsi="Calibri" w:cs="Calibri"/>
                <w:color w:val="000000"/>
              </w:rPr>
              <w:t>ns and musical instruments without keyboards, the sound of which is produced, or must be amplified, electrically</w:t>
            </w:r>
          </w:p>
        </w:tc>
      </w:tr>
      <w:tr w:rsidR="00294ABB" w14:paraId="0FC7B035"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4E2"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4E3"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4E4"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920810</w:t>
            </w:r>
          </w:p>
        </w:tc>
        <w:tc>
          <w:tcPr>
            <w:tcW w:w="6882" w:type="dxa"/>
            <w:tcBorders>
              <w:top w:val="nil"/>
              <w:left w:val="nil"/>
              <w:bottom w:val="single" w:sz="4" w:space="0" w:color="000000"/>
              <w:right w:val="single" w:sz="4" w:space="0" w:color="000000"/>
            </w:tcBorders>
            <w:shd w:val="clear" w:color="auto" w:fill="auto"/>
          </w:tcPr>
          <w:p w14:paraId="000004E5"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Musical boxes</w:t>
            </w:r>
          </w:p>
        </w:tc>
      </w:tr>
      <w:tr w:rsidR="00294ABB" w14:paraId="7ABFA4E9"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4E6"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4E7"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4E8"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920890</w:t>
            </w:r>
          </w:p>
        </w:tc>
        <w:tc>
          <w:tcPr>
            <w:tcW w:w="6882" w:type="dxa"/>
            <w:tcBorders>
              <w:top w:val="nil"/>
              <w:left w:val="nil"/>
              <w:bottom w:val="single" w:sz="4" w:space="0" w:color="000000"/>
              <w:right w:val="single" w:sz="4" w:space="0" w:color="000000"/>
            </w:tcBorders>
            <w:shd w:val="clear" w:color="auto" w:fill="auto"/>
          </w:tcPr>
          <w:p w14:paraId="000004E9" w14:textId="7C1E3F5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Fairground organs, mechanical street organs, mechanical singing birds, musical saws and other musical instrument; decoy calls of all kinds; whistles, call horn and other mouth blown sound signalling instruments</w:t>
            </w:r>
          </w:p>
        </w:tc>
      </w:tr>
      <w:tr w:rsidR="00294ABB" w14:paraId="25267FAC"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4EA"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4EB"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Recorded Media</w:t>
            </w:r>
          </w:p>
        </w:tc>
        <w:tc>
          <w:tcPr>
            <w:tcW w:w="992" w:type="dxa"/>
            <w:tcBorders>
              <w:top w:val="nil"/>
              <w:left w:val="nil"/>
              <w:bottom w:val="single" w:sz="4" w:space="0" w:color="000000"/>
              <w:right w:val="single" w:sz="4" w:space="0" w:color="000000"/>
            </w:tcBorders>
            <w:shd w:val="clear" w:color="auto" w:fill="auto"/>
          </w:tcPr>
          <w:p w14:paraId="000004EC"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852321</w:t>
            </w:r>
          </w:p>
        </w:tc>
        <w:tc>
          <w:tcPr>
            <w:tcW w:w="6882" w:type="dxa"/>
            <w:tcBorders>
              <w:top w:val="nil"/>
              <w:left w:val="nil"/>
              <w:bottom w:val="single" w:sz="4" w:space="0" w:color="000000"/>
              <w:right w:val="single" w:sz="4" w:space="0" w:color="000000"/>
            </w:tcBorders>
            <w:shd w:val="clear" w:color="auto" w:fill="auto"/>
          </w:tcPr>
          <w:p w14:paraId="000004ED"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Cards incorporating a magnetic strip</w:t>
            </w:r>
          </w:p>
        </w:tc>
      </w:tr>
      <w:tr w:rsidR="00294ABB" w14:paraId="50FCBB3B"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4EE"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4EF"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4F0" w14:textId="2F70F799"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852329</w:t>
            </w:r>
          </w:p>
        </w:tc>
        <w:tc>
          <w:tcPr>
            <w:tcW w:w="6882" w:type="dxa"/>
            <w:tcBorders>
              <w:top w:val="nil"/>
              <w:left w:val="nil"/>
              <w:bottom w:val="single" w:sz="4" w:space="0" w:color="000000"/>
              <w:right w:val="single" w:sz="4" w:space="0" w:color="000000"/>
            </w:tcBorders>
            <w:shd w:val="clear" w:color="auto" w:fill="auto"/>
          </w:tcPr>
          <w:p w14:paraId="000004F1" w14:textId="1BD78053"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Magnetic media for the recording of sound or of other phenomena (excl. cards incorporating a magnetic stripe and goods of chapter 37)</w:t>
            </w:r>
          </w:p>
        </w:tc>
      </w:tr>
      <w:tr w:rsidR="00294ABB" w14:paraId="0AA7A6CC"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4F2"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4F3"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4F4"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852351</w:t>
            </w:r>
          </w:p>
        </w:tc>
        <w:tc>
          <w:tcPr>
            <w:tcW w:w="6882" w:type="dxa"/>
            <w:tcBorders>
              <w:top w:val="nil"/>
              <w:left w:val="nil"/>
              <w:bottom w:val="single" w:sz="4" w:space="0" w:color="000000"/>
              <w:right w:val="single" w:sz="4" w:space="0" w:color="000000"/>
            </w:tcBorders>
            <w:shd w:val="clear" w:color="auto" w:fill="auto"/>
          </w:tcPr>
          <w:p w14:paraId="000004F5"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Solid-state non-volatile storage devices</w:t>
            </w:r>
          </w:p>
        </w:tc>
      </w:tr>
      <w:tr w:rsidR="00294ABB" w14:paraId="5CB683D9"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4F6"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4F7"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4F8" w14:textId="3562BE8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852359</w:t>
            </w:r>
          </w:p>
        </w:tc>
        <w:tc>
          <w:tcPr>
            <w:tcW w:w="6882" w:type="dxa"/>
            <w:tcBorders>
              <w:top w:val="nil"/>
              <w:left w:val="nil"/>
              <w:bottom w:val="single" w:sz="4" w:space="0" w:color="000000"/>
              <w:right w:val="single" w:sz="4" w:space="0" w:color="000000"/>
            </w:tcBorders>
            <w:shd w:val="clear" w:color="auto" w:fill="auto"/>
          </w:tcPr>
          <w:p w14:paraId="000004F9" w14:textId="28341ABC"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Semiconductor media, unrecorded, for the recording of sound or of other phenomena</w:t>
            </w:r>
          </w:p>
        </w:tc>
      </w:tr>
      <w:tr w:rsidR="00294ABB" w14:paraId="60ED0E52"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4FA"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4FB"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4FC"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852380</w:t>
            </w:r>
          </w:p>
        </w:tc>
        <w:tc>
          <w:tcPr>
            <w:tcW w:w="6882" w:type="dxa"/>
            <w:tcBorders>
              <w:top w:val="nil"/>
              <w:left w:val="nil"/>
              <w:bottom w:val="single" w:sz="4" w:space="0" w:color="000000"/>
              <w:right w:val="single" w:sz="4" w:space="0" w:color="000000"/>
            </w:tcBorders>
            <w:shd w:val="clear" w:color="auto" w:fill="auto"/>
          </w:tcPr>
          <w:p w14:paraId="000004FD"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Gramophone records and other media for the recording of sound or of other phenomena, whether or not recorded, incl. matrices and masters for the production of discs</w:t>
            </w:r>
          </w:p>
        </w:tc>
      </w:tr>
      <w:tr w:rsidR="00294ABB" w14:paraId="014B4E9D"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4FE"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4FF"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00"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490400</w:t>
            </w:r>
          </w:p>
        </w:tc>
        <w:tc>
          <w:tcPr>
            <w:tcW w:w="6882" w:type="dxa"/>
            <w:tcBorders>
              <w:top w:val="nil"/>
              <w:left w:val="nil"/>
              <w:bottom w:val="single" w:sz="4" w:space="0" w:color="000000"/>
              <w:right w:val="single" w:sz="4" w:space="0" w:color="000000"/>
            </w:tcBorders>
            <w:shd w:val="clear" w:color="auto" w:fill="auto"/>
          </w:tcPr>
          <w:p w14:paraId="00000501"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Music, printed or in manuscript, whether or not bound or illustrated</w:t>
            </w:r>
          </w:p>
        </w:tc>
      </w:tr>
      <w:tr w:rsidR="00294ABB" w14:paraId="411382F3" w14:textId="77777777" w:rsidTr="00835B56">
        <w:trPr>
          <w:jc w:val="center"/>
        </w:trPr>
        <w:tc>
          <w:tcPr>
            <w:tcW w:w="2826" w:type="dxa"/>
            <w:tcBorders>
              <w:top w:val="single" w:sz="4" w:space="0" w:color="000000"/>
              <w:left w:val="single" w:sz="4" w:space="0" w:color="000000"/>
              <w:bottom w:val="single" w:sz="4" w:space="0" w:color="000000"/>
              <w:right w:val="single" w:sz="4" w:space="0" w:color="000000"/>
            </w:tcBorders>
            <w:shd w:val="clear" w:color="auto" w:fill="auto"/>
          </w:tcPr>
          <w:p w14:paraId="00000502"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C. Visual Arts and Crafts</w:t>
            </w:r>
          </w:p>
        </w:tc>
        <w:tc>
          <w:tcPr>
            <w:tcW w:w="2131" w:type="dxa"/>
            <w:tcBorders>
              <w:top w:val="single" w:sz="4" w:space="0" w:color="000000"/>
              <w:left w:val="nil"/>
              <w:bottom w:val="single" w:sz="4" w:space="0" w:color="000000"/>
              <w:right w:val="single" w:sz="4" w:space="0" w:color="000000"/>
            </w:tcBorders>
            <w:shd w:val="clear" w:color="auto" w:fill="auto"/>
          </w:tcPr>
          <w:p w14:paraId="00000503"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Paintings</w:t>
            </w:r>
          </w:p>
        </w:tc>
        <w:tc>
          <w:tcPr>
            <w:tcW w:w="992" w:type="dxa"/>
            <w:tcBorders>
              <w:top w:val="single" w:sz="4" w:space="0" w:color="000000"/>
              <w:left w:val="nil"/>
              <w:bottom w:val="single" w:sz="4" w:space="0" w:color="000000"/>
              <w:right w:val="single" w:sz="4" w:space="0" w:color="000000"/>
            </w:tcBorders>
            <w:shd w:val="clear" w:color="auto" w:fill="auto"/>
          </w:tcPr>
          <w:p w14:paraId="00000504"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970110</w:t>
            </w:r>
          </w:p>
        </w:tc>
        <w:tc>
          <w:tcPr>
            <w:tcW w:w="6882" w:type="dxa"/>
            <w:tcBorders>
              <w:top w:val="single" w:sz="4" w:space="0" w:color="000000"/>
              <w:left w:val="nil"/>
              <w:bottom w:val="single" w:sz="4" w:space="0" w:color="000000"/>
              <w:right w:val="single" w:sz="4" w:space="0" w:color="000000"/>
            </w:tcBorders>
            <w:shd w:val="clear" w:color="auto" w:fill="auto"/>
          </w:tcPr>
          <w:p w14:paraId="00000505"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Paintings, drawings and pastels, executed entirely by hand, other than drawings of heading 4906 and other than hand- painted or hand- decorated manufactured articles, collages and similar decorative plaques</w:t>
            </w:r>
          </w:p>
        </w:tc>
      </w:tr>
      <w:tr w:rsidR="00294ABB" w14:paraId="24937AAC" w14:textId="77777777" w:rsidTr="00835B56">
        <w:trPr>
          <w:jc w:val="center"/>
        </w:trPr>
        <w:tc>
          <w:tcPr>
            <w:tcW w:w="2826" w:type="dxa"/>
            <w:tcBorders>
              <w:top w:val="single" w:sz="4" w:space="0" w:color="000000"/>
              <w:left w:val="single" w:sz="4" w:space="0" w:color="000000"/>
              <w:bottom w:val="single" w:sz="4" w:space="0" w:color="auto"/>
              <w:right w:val="single" w:sz="4" w:space="0" w:color="000000"/>
            </w:tcBorders>
            <w:shd w:val="clear" w:color="auto" w:fill="auto"/>
          </w:tcPr>
          <w:p w14:paraId="00000506"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lastRenderedPageBreak/>
              <w:t> </w:t>
            </w:r>
          </w:p>
        </w:tc>
        <w:tc>
          <w:tcPr>
            <w:tcW w:w="2131" w:type="dxa"/>
            <w:tcBorders>
              <w:top w:val="single" w:sz="4" w:space="0" w:color="000000"/>
              <w:left w:val="nil"/>
              <w:bottom w:val="single" w:sz="4" w:space="0" w:color="auto"/>
              <w:right w:val="single" w:sz="4" w:space="0" w:color="000000"/>
            </w:tcBorders>
            <w:shd w:val="clear" w:color="auto" w:fill="auto"/>
          </w:tcPr>
          <w:p w14:paraId="00000507"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single" w:sz="4" w:space="0" w:color="000000"/>
              <w:left w:val="nil"/>
              <w:bottom w:val="single" w:sz="4" w:space="0" w:color="auto"/>
              <w:right w:val="single" w:sz="4" w:space="0" w:color="000000"/>
            </w:tcBorders>
            <w:shd w:val="clear" w:color="auto" w:fill="auto"/>
          </w:tcPr>
          <w:p w14:paraId="00000508"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970190</w:t>
            </w:r>
          </w:p>
        </w:tc>
        <w:tc>
          <w:tcPr>
            <w:tcW w:w="6882" w:type="dxa"/>
            <w:tcBorders>
              <w:top w:val="single" w:sz="4" w:space="0" w:color="000000"/>
              <w:left w:val="nil"/>
              <w:bottom w:val="single" w:sz="4" w:space="0" w:color="auto"/>
              <w:right w:val="single" w:sz="4" w:space="0" w:color="000000"/>
            </w:tcBorders>
            <w:shd w:val="clear" w:color="auto" w:fill="auto"/>
          </w:tcPr>
          <w:p w14:paraId="00000509"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Collages and similar decorative plaques</w:t>
            </w:r>
          </w:p>
        </w:tc>
      </w:tr>
      <w:tr w:rsidR="00294ABB" w14:paraId="48D5E7FC" w14:textId="77777777" w:rsidTr="00835B56">
        <w:trPr>
          <w:jc w:val="center"/>
        </w:trPr>
        <w:tc>
          <w:tcPr>
            <w:tcW w:w="2826" w:type="dxa"/>
            <w:tcBorders>
              <w:top w:val="single" w:sz="4" w:space="0" w:color="auto"/>
              <w:left w:val="single" w:sz="4" w:space="0" w:color="000000"/>
              <w:bottom w:val="single" w:sz="4" w:space="0" w:color="auto"/>
              <w:right w:val="single" w:sz="4" w:space="0" w:color="000000"/>
            </w:tcBorders>
            <w:shd w:val="clear" w:color="auto" w:fill="auto"/>
          </w:tcPr>
          <w:p w14:paraId="0000050A"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single" w:sz="4" w:space="0" w:color="auto"/>
              <w:left w:val="nil"/>
              <w:bottom w:val="single" w:sz="4" w:space="0" w:color="auto"/>
              <w:right w:val="single" w:sz="4" w:space="0" w:color="000000"/>
            </w:tcBorders>
            <w:shd w:val="clear" w:color="auto" w:fill="auto"/>
          </w:tcPr>
          <w:p w14:paraId="0000050B"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single" w:sz="4" w:space="0" w:color="auto"/>
              <w:left w:val="nil"/>
              <w:bottom w:val="single" w:sz="4" w:space="0" w:color="auto"/>
              <w:right w:val="single" w:sz="4" w:space="0" w:color="000000"/>
            </w:tcBorders>
            <w:shd w:val="clear" w:color="auto" w:fill="auto"/>
          </w:tcPr>
          <w:p w14:paraId="0000050C"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491191</w:t>
            </w:r>
          </w:p>
        </w:tc>
        <w:tc>
          <w:tcPr>
            <w:tcW w:w="6882" w:type="dxa"/>
            <w:tcBorders>
              <w:top w:val="single" w:sz="4" w:space="0" w:color="auto"/>
              <w:left w:val="nil"/>
              <w:bottom w:val="single" w:sz="4" w:space="0" w:color="auto"/>
              <w:right w:val="single" w:sz="4" w:space="0" w:color="000000"/>
            </w:tcBorders>
            <w:shd w:val="clear" w:color="auto" w:fill="auto"/>
          </w:tcPr>
          <w:p w14:paraId="0000050D"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Pictures, designs and photographs2</w:t>
            </w:r>
          </w:p>
        </w:tc>
      </w:tr>
      <w:tr w:rsidR="00294ABB" w14:paraId="51317DAC" w14:textId="77777777" w:rsidTr="00835B56">
        <w:trPr>
          <w:jc w:val="center"/>
        </w:trPr>
        <w:tc>
          <w:tcPr>
            <w:tcW w:w="2826" w:type="dxa"/>
            <w:tcBorders>
              <w:top w:val="single" w:sz="4" w:space="0" w:color="auto"/>
              <w:left w:val="single" w:sz="4" w:space="0" w:color="000000"/>
              <w:bottom w:val="single" w:sz="4" w:space="0" w:color="000000"/>
              <w:right w:val="single" w:sz="4" w:space="0" w:color="000000"/>
            </w:tcBorders>
            <w:shd w:val="clear" w:color="auto" w:fill="auto"/>
          </w:tcPr>
          <w:p w14:paraId="0000050E"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single" w:sz="4" w:space="0" w:color="auto"/>
              <w:left w:val="nil"/>
              <w:bottom w:val="single" w:sz="4" w:space="0" w:color="000000"/>
              <w:right w:val="single" w:sz="4" w:space="0" w:color="000000"/>
            </w:tcBorders>
            <w:shd w:val="clear" w:color="auto" w:fill="auto"/>
          </w:tcPr>
          <w:p w14:paraId="0000050F"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Other visual arts</w:t>
            </w:r>
          </w:p>
        </w:tc>
        <w:tc>
          <w:tcPr>
            <w:tcW w:w="992" w:type="dxa"/>
            <w:tcBorders>
              <w:top w:val="single" w:sz="4" w:space="0" w:color="auto"/>
              <w:left w:val="nil"/>
              <w:bottom w:val="single" w:sz="4" w:space="0" w:color="000000"/>
              <w:right w:val="single" w:sz="4" w:space="0" w:color="000000"/>
            </w:tcBorders>
            <w:shd w:val="clear" w:color="auto" w:fill="auto"/>
          </w:tcPr>
          <w:p w14:paraId="00000510"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970200</w:t>
            </w:r>
          </w:p>
        </w:tc>
        <w:tc>
          <w:tcPr>
            <w:tcW w:w="6882" w:type="dxa"/>
            <w:tcBorders>
              <w:top w:val="single" w:sz="4" w:space="0" w:color="auto"/>
              <w:left w:val="nil"/>
              <w:bottom w:val="single" w:sz="4" w:space="0" w:color="000000"/>
              <w:right w:val="single" w:sz="4" w:space="0" w:color="000000"/>
            </w:tcBorders>
            <w:shd w:val="clear" w:color="auto" w:fill="auto"/>
          </w:tcPr>
          <w:p w14:paraId="00000511"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Original engravings, prints and lithographs</w:t>
            </w:r>
          </w:p>
        </w:tc>
      </w:tr>
      <w:tr w:rsidR="00294ABB" w14:paraId="72AF0221"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12"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13"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14"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970300</w:t>
            </w:r>
          </w:p>
        </w:tc>
        <w:tc>
          <w:tcPr>
            <w:tcW w:w="6882" w:type="dxa"/>
            <w:tcBorders>
              <w:top w:val="nil"/>
              <w:left w:val="nil"/>
              <w:bottom w:val="single" w:sz="4" w:space="0" w:color="000000"/>
              <w:right w:val="single" w:sz="4" w:space="0" w:color="000000"/>
            </w:tcBorders>
            <w:shd w:val="clear" w:color="auto" w:fill="auto"/>
          </w:tcPr>
          <w:p w14:paraId="00000515"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Original sculptures and statuary, in any material</w:t>
            </w:r>
          </w:p>
        </w:tc>
      </w:tr>
      <w:tr w:rsidR="00294ABB" w14:paraId="3EF1933D"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16"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17"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18"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392640</w:t>
            </w:r>
          </w:p>
        </w:tc>
        <w:tc>
          <w:tcPr>
            <w:tcW w:w="6882" w:type="dxa"/>
            <w:tcBorders>
              <w:top w:val="nil"/>
              <w:left w:val="nil"/>
              <w:bottom w:val="single" w:sz="4" w:space="0" w:color="000000"/>
              <w:right w:val="single" w:sz="4" w:space="0" w:color="000000"/>
            </w:tcBorders>
            <w:shd w:val="clear" w:color="auto" w:fill="auto"/>
          </w:tcPr>
          <w:p w14:paraId="00000519"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Statuettes and other ornamental articles in plastic</w:t>
            </w:r>
          </w:p>
        </w:tc>
      </w:tr>
      <w:tr w:rsidR="00294ABB" w14:paraId="54AA70B0"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1A"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1B"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1C"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442010</w:t>
            </w:r>
          </w:p>
        </w:tc>
        <w:tc>
          <w:tcPr>
            <w:tcW w:w="6882" w:type="dxa"/>
            <w:tcBorders>
              <w:top w:val="nil"/>
              <w:left w:val="nil"/>
              <w:bottom w:val="single" w:sz="4" w:space="0" w:color="000000"/>
              <w:right w:val="single" w:sz="4" w:space="0" w:color="000000"/>
            </w:tcBorders>
            <w:shd w:val="clear" w:color="auto" w:fill="auto"/>
          </w:tcPr>
          <w:p w14:paraId="0000051D"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Statuettes and other ornaments, of wood</w:t>
            </w:r>
          </w:p>
        </w:tc>
      </w:tr>
      <w:tr w:rsidR="00294ABB" w14:paraId="29B1EE80"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1E"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1F"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20" w14:textId="71F26208"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442090</w:t>
            </w:r>
          </w:p>
        </w:tc>
        <w:tc>
          <w:tcPr>
            <w:tcW w:w="6882" w:type="dxa"/>
            <w:tcBorders>
              <w:top w:val="nil"/>
              <w:left w:val="nil"/>
              <w:bottom w:val="single" w:sz="4" w:space="0" w:color="000000"/>
              <w:right w:val="single" w:sz="4" w:space="0" w:color="000000"/>
            </w:tcBorders>
            <w:shd w:val="clear" w:color="auto" w:fill="auto"/>
          </w:tcPr>
          <w:p w14:paraId="00000521" w14:textId="7AA7AE89"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Wood marquetry and inlaid wood; caskets and cases for jewellery or cutlery, and similar articles, of wood; wooden articles of furniture</w:t>
            </w:r>
          </w:p>
        </w:tc>
      </w:tr>
      <w:tr w:rsidR="00294ABB" w14:paraId="2A1760D2"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22"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23"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24"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691310</w:t>
            </w:r>
          </w:p>
        </w:tc>
        <w:tc>
          <w:tcPr>
            <w:tcW w:w="6882" w:type="dxa"/>
            <w:tcBorders>
              <w:top w:val="nil"/>
              <w:left w:val="nil"/>
              <w:bottom w:val="single" w:sz="4" w:space="0" w:color="000000"/>
              <w:right w:val="single" w:sz="4" w:space="0" w:color="000000"/>
            </w:tcBorders>
            <w:shd w:val="clear" w:color="auto" w:fill="auto"/>
          </w:tcPr>
          <w:p w14:paraId="00000525"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Statuettes and other ornamental ceramic articles of porcelain or China</w:t>
            </w:r>
          </w:p>
        </w:tc>
      </w:tr>
      <w:tr w:rsidR="00294ABB" w14:paraId="5DEA143B"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26"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27"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28"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691390</w:t>
            </w:r>
          </w:p>
        </w:tc>
        <w:tc>
          <w:tcPr>
            <w:tcW w:w="6882" w:type="dxa"/>
            <w:tcBorders>
              <w:top w:val="nil"/>
              <w:left w:val="nil"/>
              <w:bottom w:val="single" w:sz="4" w:space="0" w:color="000000"/>
              <w:right w:val="single" w:sz="4" w:space="0" w:color="000000"/>
            </w:tcBorders>
            <w:shd w:val="clear" w:color="auto" w:fill="auto"/>
          </w:tcPr>
          <w:p w14:paraId="00000529"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Statuettes and other ornamental ceramic articles, n.e.s. (excl. of porcelain or china)</w:t>
            </w:r>
          </w:p>
        </w:tc>
      </w:tr>
      <w:tr w:rsidR="00294ABB" w14:paraId="78170142"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2A"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2B"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2C"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701890</w:t>
            </w:r>
          </w:p>
        </w:tc>
        <w:tc>
          <w:tcPr>
            <w:tcW w:w="6882" w:type="dxa"/>
            <w:tcBorders>
              <w:top w:val="nil"/>
              <w:left w:val="nil"/>
              <w:bottom w:val="single" w:sz="4" w:space="0" w:color="000000"/>
              <w:right w:val="single" w:sz="4" w:space="0" w:color="000000"/>
            </w:tcBorders>
            <w:shd w:val="clear" w:color="auto" w:fill="auto"/>
          </w:tcPr>
          <w:p w14:paraId="0000052D"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Glassware articles including statuettes</w:t>
            </w:r>
          </w:p>
        </w:tc>
      </w:tr>
      <w:tr w:rsidR="00294ABB" w14:paraId="25983B69"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2E"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2F"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30"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830621</w:t>
            </w:r>
          </w:p>
        </w:tc>
        <w:tc>
          <w:tcPr>
            <w:tcW w:w="6882" w:type="dxa"/>
            <w:tcBorders>
              <w:top w:val="nil"/>
              <w:left w:val="nil"/>
              <w:bottom w:val="single" w:sz="4" w:space="0" w:color="000000"/>
              <w:right w:val="single" w:sz="4" w:space="0" w:color="000000"/>
            </w:tcBorders>
            <w:shd w:val="clear" w:color="auto" w:fill="auto"/>
          </w:tcPr>
          <w:p w14:paraId="00000531"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Statuettes and other ornaments, of base metal plated with precious metal</w:t>
            </w:r>
          </w:p>
        </w:tc>
      </w:tr>
      <w:tr w:rsidR="00294ABB" w14:paraId="5C2BFD7D"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32"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33"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34"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830629</w:t>
            </w:r>
          </w:p>
        </w:tc>
        <w:tc>
          <w:tcPr>
            <w:tcW w:w="6882" w:type="dxa"/>
            <w:tcBorders>
              <w:top w:val="nil"/>
              <w:left w:val="nil"/>
              <w:bottom w:val="single" w:sz="4" w:space="0" w:color="000000"/>
              <w:right w:val="single" w:sz="4" w:space="0" w:color="000000"/>
            </w:tcBorders>
            <w:shd w:val="clear" w:color="auto" w:fill="auto"/>
          </w:tcPr>
          <w:p w14:paraId="00000535" w14:textId="0DDFB1B0"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Statuettes and other ornaments, of base metal, not plated with precious metal (excl. works of art, collectors</w:t>
            </w:r>
            <w:r w:rsidR="00C93471">
              <w:rPr>
                <w:rFonts w:ascii="Calibri" w:eastAsia="Calibri" w:hAnsi="Calibri" w:cs="Calibri"/>
                <w:color w:val="000000"/>
              </w:rPr>
              <w:t>’</w:t>
            </w:r>
            <w:r>
              <w:rPr>
                <w:rFonts w:ascii="Calibri" w:eastAsia="Calibri" w:hAnsi="Calibri" w:cs="Calibri"/>
                <w:color w:val="000000"/>
              </w:rPr>
              <w:t xml:space="preserve"> pieces and antiques)</w:t>
            </w:r>
          </w:p>
        </w:tc>
      </w:tr>
      <w:tr w:rsidR="00294ABB" w14:paraId="1EA89627"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36"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37"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38"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960110</w:t>
            </w:r>
          </w:p>
        </w:tc>
        <w:tc>
          <w:tcPr>
            <w:tcW w:w="6882" w:type="dxa"/>
            <w:tcBorders>
              <w:top w:val="nil"/>
              <w:left w:val="nil"/>
              <w:bottom w:val="single" w:sz="4" w:space="0" w:color="000000"/>
              <w:right w:val="single" w:sz="4" w:space="0" w:color="000000"/>
            </w:tcBorders>
            <w:shd w:val="clear" w:color="auto" w:fill="auto"/>
          </w:tcPr>
          <w:p w14:paraId="00000539"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Worked ivory and ivory articles</w:t>
            </w:r>
          </w:p>
        </w:tc>
      </w:tr>
      <w:tr w:rsidR="00294ABB" w14:paraId="449525AB"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3A"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3B"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3C"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960190</w:t>
            </w:r>
          </w:p>
        </w:tc>
        <w:tc>
          <w:tcPr>
            <w:tcW w:w="6882" w:type="dxa"/>
            <w:tcBorders>
              <w:top w:val="nil"/>
              <w:left w:val="nil"/>
              <w:bottom w:val="single" w:sz="4" w:space="0" w:color="000000"/>
              <w:right w:val="single" w:sz="4" w:space="0" w:color="000000"/>
            </w:tcBorders>
            <w:shd w:val="clear" w:color="auto" w:fill="auto"/>
          </w:tcPr>
          <w:p w14:paraId="0000053D"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Bone, tortoiseshell, horn, antlers, coral, mother-of-pearl and other animal carving material, and articles of these materials (including articles obtained by moulding)</w:t>
            </w:r>
          </w:p>
        </w:tc>
      </w:tr>
      <w:tr w:rsidR="00294ABB" w14:paraId="28D2E03F"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3E"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3F"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Craft</w:t>
            </w:r>
          </w:p>
        </w:tc>
        <w:tc>
          <w:tcPr>
            <w:tcW w:w="992" w:type="dxa"/>
            <w:tcBorders>
              <w:top w:val="nil"/>
              <w:left w:val="nil"/>
              <w:bottom w:val="single" w:sz="4" w:space="0" w:color="000000"/>
              <w:right w:val="single" w:sz="4" w:space="0" w:color="000000"/>
            </w:tcBorders>
            <w:shd w:val="clear" w:color="auto" w:fill="auto"/>
          </w:tcPr>
          <w:p w14:paraId="00000540"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580500</w:t>
            </w:r>
          </w:p>
        </w:tc>
        <w:tc>
          <w:tcPr>
            <w:tcW w:w="6882" w:type="dxa"/>
            <w:tcBorders>
              <w:top w:val="nil"/>
              <w:left w:val="nil"/>
              <w:bottom w:val="single" w:sz="4" w:space="0" w:color="000000"/>
              <w:right w:val="single" w:sz="4" w:space="0" w:color="000000"/>
            </w:tcBorders>
            <w:shd w:val="clear" w:color="auto" w:fill="auto"/>
          </w:tcPr>
          <w:p w14:paraId="00000541"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Hand-woven tapestries of the type Gobelins, Flanders, Aubusson, Beauvais and the like and needle-worked tapestries</w:t>
            </w:r>
          </w:p>
        </w:tc>
      </w:tr>
      <w:tr w:rsidR="00294ABB" w14:paraId="3CF1A388"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42"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43"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44"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580610</w:t>
            </w:r>
          </w:p>
        </w:tc>
        <w:tc>
          <w:tcPr>
            <w:tcW w:w="6882" w:type="dxa"/>
            <w:tcBorders>
              <w:top w:val="nil"/>
              <w:left w:val="nil"/>
              <w:bottom w:val="single" w:sz="4" w:space="0" w:color="000000"/>
              <w:right w:val="single" w:sz="4" w:space="0" w:color="000000"/>
            </w:tcBorders>
            <w:shd w:val="clear" w:color="auto" w:fill="auto"/>
          </w:tcPr>
          <w:p w14:paraId="00000545"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Narrow woven fabrics: Woven pile fabrics (including terry towelling and similar terry fabrics) and chenille fabrics</w:t>
            </w:r>
          </w:p>
        </w:tc>
      </w:tr>
      <w:tr w:rsidR="00294ABB" w14:paraId="1D1B7FA9"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46"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47"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48"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580620</w:t>
            </w:r>
          </w:p>
        </w:tc>
        <w:tc>
          <w:tcPr>
            <w:tcW w:w="6882" w:type="dxa"/>
            <w:tcBorders>
              <w:top w:val="nil"/>
              <w:left w:val="nil"/>
              <w:bottom w:val="single" w:sz="4" w:space="0" w:color="000000"/>
              <w:right w:val="single" w:sz="4" w:space="0" w:color="000000"/>
            </w:tcBorders>
            <w:shd w:val="clear" w:color="auto" w:fill="auto"/>
          </w:tcPr>
          <w:p w14:paraId="00000549"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Narrow woven fabrics: Other woven fabrics, containing by weight 5% or more of lastomeric yarn or rubber thread</w:t>
            </w:r>
          </w:p>
        </w:tc>
      </w:tr>
      <w:tr w:rsidR="00294ABB" w14:paraId="42FD3569"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4A"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4B"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4C"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580631</w:t>
            </w:r>
          </w:p>
        </w:tc>
        <w:tc>
          <w:tcPr>
            <w:tcW w:w="6882" w:type="dxa"/>
            <w:tcBorders>
              <w:top w:val="nil"/>
              <w:left w:val="nil"/>
              <w:bottom w:val="single" w:sz="4" w:space="0" w:color="000000"/>
              <w:right w:val="single" w:sz="4" w:space="0" w:color="000000"/>
            </w:tcBorders>
            <w:shd w:val="clear" w:color="auto" w:fill="auto"/>
          </w:tcPr>
          <w:p w14:paraId="0000054D"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Narrow woven fabrics: Other woven fabrics of cotton</w:t>
            </w:r>
          </w:p>
        </w:tc>
      </w:tr>
      <w:tr w:rsidR="00294ABB" w14:paraId="06F6CDC5"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4E"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4F"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50"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580632</w:t>
            </w:r>
          </w:p>
        </w:tc>
        <w:tc>
          <w:tcPr>
            <w:tcW w:w="6882" w:type="dxa"/>
            <w:tcBorders>
              <w:top w:val="nil"/>
              <w:left w:val="nil"/>
              <w:bottom w:val="single" w:sz="4" w:space="0" w:color="000000"/>
              <w:right w:val="single" w:sz="4" w:space="0" w:color="000000"/>
            </w:tcBorders>
            <w:shd w:val="clear" w:color="auto" w:fill="auto"/>
          </w:tcPr>
          <w:p w14:paraId="00000551"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Narrow woven fabrics: Other woven fabrics of man-made fibres</w:t>
            </w:r>
          </w:p>
        </w:tc>
      </w:tr>
      <w:tr w:rsidR="00294ABB" w14:paraId="4540C320"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52"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53"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54"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580639</w:t>
            </w:r>
          </w:p>
        </w:tc>
        <w:tc>
          <w:tcPr>
            <w:tcW w:w="6882" w:type="dxa"/>
            <w:tcBorders>
              <w:top w:val="nil"/>
              <w:left w:val="nil"/>
              <w:bottom w:val="single" w:sz="4" w:space="0" w:color="000000"/>
              <w:right w:val="single" w:sz="4" w:space="0" w:color="000000"/>
            </w:tcBorders>
            <w:shd w:val="clear" w:color="auto" w:fill="auto"/>
          </w:tcPr>
          <w:p w14:paraId="00000555"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Narrow woven fabrics: Other woven fabrics of other textile materials</w:t>
            </w:r>
          </w:p>
        </w:tc>
      </w:tr>
      <w:tr w:rsidR="00294ABB" w14:paraId="608A842E"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56"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57"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58"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580640</w:t>
            </w:r>
          </w:p>
        </w:tc>
        <w:tc>
          <w:tcPr>
            <w:tcW w:w="6882" w:type="dxa"/>
            <w:tcBorders>
              <w:top w:val="nil"/>
              <w:left w:val="nil"/>
              <w:bottom w:val="single" w:sz="4" w:space="0" w:color="000000"/>
              <w:right w:val="single" w:sz="4" w:space="0" w:color="000000"/>
            </w:tcBorders>
            <w:shd w:val="clear" w:color="auto" w:fill="auto"/>
          </w:tcPr>
          <w:p w14:paraId="00000559"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Fabrics consisting of warp without weft assembled by means of and adhesive (bolducs)</w:t>
            </w:r>
          </w:p>
        </w:tc>
      </w:tr>
      <w:tr w:rsidR="00294ABB" w14:paraId="3CFDC595"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5A"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5B"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5C"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580810</w:t>
            </w:r>
          </w:p>
        </w:tc>
        <w:tc>
          <w:tcPr>
            <w:tcW w:w="6882" w:type="dxa"/>
            <w:tcBorders>
              <w:top w:val="nil"/>
              <w:left w:val="nil"/>
              <w:bottom w:val="single" w:sz="4" w:space="0" w:color="000000"/>
              <w:right w:val="single" w:sz="4" w:space="0" w:color="000000"/>
            </w:tcBorders>
            <w:shd w:val="clear" w:color="auto" w:fill="auto"/>
          </w:tcPr>
          <w:p w14:paraId="0000055D"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Braids in the piece; ornamental trimmings in the piece, without embroidery; other than knitted or crocheted</w:t>
            </w:r>
          </w:p>
        </w:tc>
      </w:tr>
      <w:tr w:rsidR="00294ABB" w14:paraId="6E91BC0B"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5E"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5F"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60"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580890</w:t>
            </w:r>
          </w:p>
        </w:tc>
        <w:tc>
          <w:tcPr>
            <w:tcW w:w="6882" w:type="dxa"/>
            <w:tcBorders>
              <w:top w:val="nil"/>
              <w:left w:val="nil"/>
              <w:bottom w:val="single" w:sz="4" w:space="0" w:color="000000"/>
              <w:right w:val="single" w:sz="4" w:space="0" w:color="000000"/>
            </w:tcBorders>
            <w:shd w:val="clear" w:color="auto" w:fill="auto"/>
          </w:tcPr>
          <w:p w14:paraId="00000561"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Other braids in the piece; ornamental trimmings in the piece, without embroidery; other than knitted or crocheted</w:t>
            </w:r>
          </w:p>
        </w:tc>
      </w:tr>
      <w:tr w:rsidR="00294ABB" w14:paraId="67E7E6CF"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62"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63"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64"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580900</w:t>
            </w:r>
          </w:p>
        </w:tc>
        <w:tc>
          <w:tcPr>
            <w:tcW w:w="6882" w:type="dxa"/>
            <w:tcBorders>
              <w:top w:val="nil"/>
              <w:left w:val="nil"/>
              <w:bottom w:val="single" w:sz="4" w:space="0" w:color="000000"/>
              <w:right w:val="single" w:sz="4" w:space="0" w:color="000000"/>
            </w:tcBorders>
            <w:shd w:val="clear" w:color="auto" w:fill="auto"/>
          </w:tcPr>
          <w:p w14:paraId="00000565"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Woven fabrics of metal thread and woven fabrics of metallised yarn of heading 5605 of a kind used in apparels as furnishing fabrics or for similar purposes</w:t>
            </w:r>
          </w:p>
        </w:tc>
      </w:tr>
      <w:tr w:rsidR="00294ABB" w14:paraId="468E73EE"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66"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67"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68"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581010</w:t>
            </w:r>
          </w:p>
        </w:tc>
        <w:tc>
          <w:tcPr>
            <w:tcW w:w="6882" w:type="dxa"/>
            <w:tcBorders>
              <w:top w:val="nil"/>
              <w:left w:val="nil"/>
              <w:bottom w:val="single" w:sz="4" w:space="0" w:color="000000"/>
              <w:right w:val="single" w:sz="4" w:space="0" w:color="000000"/>
            </w:tcBorders>
            <w:shd w:val="clear" w:color="auto" w:fill="auto"/>
          </w:tcPr>
          <w:p w14:paraId="00000569"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Embroidery in the piece, in strips or in motifs without visible ground</w:t>
            </w:r>
          </w:p>
        </w:tc>
      </w:tr>
      <w:tr w:rsidR="00294ABB" w14:paraId="62025E68" w14:textId="77777777" w:rsidTr="00835B56">
        <w:trPr>
          <w:jc w:val="center"/>
        </w:trPr>
        <w:tc>
          <w:tcPr>
            <w:tcW w:w="2826" w:type="dxa"/>
            <w:tcBorders>
              <w:top w:val="single" w:sz="4" w:space="0" w:color="000000"/>
              <w:left w:val="single" w:sz="4" w:space="0" w:color="000000"/>
              <w:bottom w:val="single" w:sz="4" w:space="0" w:color="auto"/>
              <w:right w:val="single" w:sz="4" w:space="0" w:color="000000"/>
            </w:tcBorders>
            <w:shd w:val="clear" w:color="auto" w:fill="auto"/>
          </w:tcPr>
          <w:p w14:paraId="0000056A"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single" w:sz="4" w:space="0" w:color="000000"/>
              <w:left w:val="nil"/>
              <w:bottom w:val="single" w:sz="4" w:space="0" w:color="auto"/>
              <w:right w:val="single" w:sz="4" w:space="0" w:color="000000"/>
            </w:tcBorders>
            <w:shd w:val="clear" w:color="auto" w:fill="auto"/>
          </w:tcPr>
          <w:p w14:paraId="0000056B"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single" w:sz="4" w:space="0" w:color="000000"/>
              <w:left w:val="nil"/>
              <w:bottom w:val="single" w:sz="4" w:space="0" w:color="auto"/>
              <w:right w:val="single" w:sz="4" w:space="0" w:color="000000"/>
            </w:tcBorders>
            <w:shd w:val="clear" w:color="auto" w:fill="auto"/>
          </w:tcPr>
          <w:p w14:paraId="0000056C"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581091</w:t>
            </w:r>
          </w:p>
        </w:tc>
        <w:tc>
          <w:tcPr>
            <w:tcW w:w="6882" w:type="dxa"/>
            <w:tcBorders>
              <w:top w:val="single" w:sz="4" w:space="0" w:color="000000"/>
              <w:left w:val="nil"/>
              <w:bottom w:val="single" w:sz="4" w:space="0" w:color="auto"/>
              <w:right w:val="single" w:sz="4" w:space="0" w:color="000000"/>
            </w:tcBorders>
            <w:shd w:val="clear" w:color="auto" w:fill="auto"/>
          </w:tcPr>
          <w:p w14:paraId="0000056D"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Embroidery in the piece, in strips or in motifs: Other embroidery of cotton</w:t>
            </w:r>
          </w:p>
        </w:tc>
      </w:tr>
      <w:tr w:rsidR="00294ABB" w14:paraId="0FEC99AB" w14:textId="77777777" w:rsidTr="00835B56">
        <w:trPr>
          <w:jc w:val="center"/>
        </w:trPr>
        <w:tc>
          <w:tcPr>
            <w:tcW w:w="2826" w:type="dxa"/>
            <w:tcBorders>
              <w:top w:val="single" w:sz="4" w:space="0" w:color="auto"/>
              <w:left w:val="single" w:sz="4" w:space="0" w:color="000000"/>
              <w:bottom w:val="single" w:sz="4" w:space="0" w:color="000000"/>
              <w:right w:val="single" w:sz="4" w:space="0" w:color="000000"/>
            </w:tcBorders>
            <w:shd w:val="clear" w:color="auto" w:fill="auto"/>
          </w:tcPr>
          <w:p w14:paraId="0000056E"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lastRenderedPageBreak/>
              <w:t> </w:t>
            </w:r>
          </w:p>
        </w:tc>
        <w:tc>
          <w:tcPr>
            <w:tcW w:w="2131" w:type="dxa"/>
            <w:tcBorders>
              <w:top w:val="single" w:sz="4" w:space="0" w:color="auto"/>
              <w:left w:val="nil"/>
              <w:bottom w:val="single" w:sz="4" w:space="0" w:color="000000"/>
              <w:right w:val="single" w:sz="4" w:space="0" w:color="000000"/>
            </w:tcBorders>
            <w:shd w:val="clear" w:color="auto" w:fill="auto"/>
          </w:tcPr>
          <w:p w14:paraId="0000056F"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single" w:sz="4" w:space="0" w:color="auto"/>
              <w:left w:val="nil"/>
              <w:bottom w:val="single" w:sz="4" w:space="0" w:color="000000"/>
              <w:right w:val="single" w:sz="4" w:space="0" w:color="000000"/>
            </w:tcBorders>
            <w:shd w:val="clear" w:color="auto" w:fill="auto"/>
          </w:tcPr>
          <w:p w14:paraId="00000570"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581092</w:t>
            </w:r>
          </w:p>
        </w:tc>
        <w:tc>
          <w:tcPr>
            <w:tcW w:w="6882" w:type="dxa"/>
            <w:tcBorders>
              <w:top w:val="single" w:sz="4" w:space="0" w:color="auto"/>
              <w:left w:val="nil"/>
              <w:bottom w:val="single" w:sz="4" w:space="0" w:color="000000"/>
              <w:right w:val="single" w:sz="4" w:space="0" w:color="000000"/>
            </w:tcBorders>
            <w:shd w:val="clear" w:color="auto" w:fill="auto"/>
          </w:tcPr>
          <w:p w14:paraId="00000571"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Embroidery in the piece, in strips or in motifs: Other embroidery of man-made fibres</w:t>
            </w:r>
          </w:p>
        </w:tc>
      </w:tr>
      <w:tr w:rsidR="00294ABB" w14:paraId="02CFFF74"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72"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73"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74"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581099</w:t>
            </w:r>
          </w:p>
        </w:tc>
        <w:tc>
          <w:tcPr>
            <w:tcW w:w="6882" w:type="dxa"/>
            <w:tcBorders>
              <w:top w:val="nil"/>
              <w:left w:val="nil"/>
              <w:bottom w:val="single" w:sz="4" w:space="0" w:color="000000"/>
              <w:right w:val="single" w:sz="4" w:space="0" w:color="000000"/>
            </w:tcBorders>
            <w:shd w:val="clear" w:color="auto" w:fill="auto"/>
          </w:tcPr>
          <w:p w14:paraId="00000575"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Embroidery in the piece, in strips or in motifs: Other embroidery of other textile materials</w:t>
            </w:r>
          </w:p>
        </w:tc>
      </w:tr>
      <w:tr w:rsidR="00294ABB" w14:paraId="0087BFD0"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76"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77"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78"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581100</w:t>
            </w:r>
          </w:p>
        </w:tc>
        <w:tc>
          <w:tcPr>
            <w:tcW w:w="6882" w:type="dxa"/>
            <w:tcBorders>
              <w:top w:val="nil"/>
              <w:left w:val="nil"/>
              <w:bottom w:val="single" w:sz="4" w:space="0" w:color="000000"/>
              <w:right w:val="single" w:sz="4" w:space="0" w:color="000000"/>
            </w:tcBorders>
            <w:shd w:val="clear" w:color="auto" w:fill="auto"/>
          </w:tcPr>
          <w:p w14:paraId="00000579"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Quilted textile products in the piece</w:t>
            </w:r>
          </w:p>
        </w:tc>
      </w:tr>
      <w:tr w:rsidR="00294ABB" w14:paraId="72D64AA8"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7A"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7B"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7C"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600240</w:t>
            </w:r>
          </w:p>
        </w:tc>
        <w:tc>
          <w:tcPr>
            <w:tcW w:w="6882" w:type="dxa"/>
            <w:tcBorders>
              <w:top w:val="nil"/>
              <w:left w:val="nil"/>
              <w:bottom w:val="single" w:sz="4" w:space="0" w:color="000000"/>
              <w:right w:val="single" w:sz="4" w:space="0" w:color="000000"/>
            </w:tcBorders>
            <w:shd w:val="clear" w:color="auto" w:fill="auto"/>
          </w:tcPr>
          <w:p w14:paraId="0000057D"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Knitted or crocheted fabrics of a width not exceeding 30 cm, containing by weight 5% or more of lastomeric yarn but not containing robber thread</w:t>
            </w:r>
          </w:p>
        </w:tc>
      </w:tr>
      <w:tr w:rsidR="00294ABB" w14:paraId="21FAF36E"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7E"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7F"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80"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600290</w:t>
            </w:r>
          </w:p>
        </w:tc>
        <w:tc>
          <w:tcPr>
            <w:tcW w:w="6882" w:type="dxa"/>
            <w:tcBorders>
              <w:top w:val="nil"/>
              <w:left w:val="nil"/>
              <w:bottom w:val="single" w:sz="4" w:space="0" w:color="000000"/>
              <w:right w:val="single" w:sz="4" w:space="0" w:color="000000"/>
            </w:tcBorders>
            <w:shd w:val="clear" w:color="auto" w:fill="auto"/>
          </w:tcPr>
          <w:p w14:paraId="00000581"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Other knitted or crocheted fabrics of a width not exceeding 30 cm, containing by weight 5% or more of lastomeric yarn or robber thread</w:t>
            </w:r>
          </w:p>
        </w:tc>
      </w:tr>
      <w:tr w:rsidR="00294ABB" w14:paraId="3359990E"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82"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83"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84"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600310</w:t>
            </w:r>
          </w:p>
        </w:tc>
        <w:tc>
          <w:tcPr>
            <w:tcW w:w="6882" w:type="dxa"/>
            <w:tcBorders>
              <w:top w:val="nil"/>
              <w:left w:val="nil"/>
              <w:bottom w:val="single" w:sz="4" w:space="0" w:color="000000"/>
              <w:right w:val="single" w:sz="4" w:space="0" w:color="000000"/>
            </w:tcBorders>
            <w:shd w:val="clear" w:color="auto" w:fill="auto"/>
          </w:tcPr>
          <w:p w14:paraId="00000585"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Knitted or crocheted fabrics of a width not exceeding 30 cm of wool or fine animal hair</w:t>
            </w:r>
          </w:p>
        </w:tc>
      </w:tr>
      <w:tr w:rsidR="00294ABB" w14:paraId="0F517C9D"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86"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87"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88"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600320</w:t>
            </w:r>
          </w:p>
        </w:tc>
        <w:tc>
          <w:tcPr>
            <w:tcW w:w="6882" w:type="dxa"/>
            <w:tcBorders>
              <w:top w:val="nil"/>
              <w:left w:val="nil"/>
              <w:bottom w:val="single" w:sz="4" w:space="0" w:color="000000"/>
              <w:right w:val="single" w:sz="4" w:space="0" w:color="000000"/>
            </w:tcBorders>
            <w:shd w:val="clear" w:color="auto" w:fill="auto"/>
          </w:tcPr>
          <w:p w14:paraId="00000589"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Knitted or crocheted fabrics of a width not exceeding 30 cm of cotton</w:t>
            </w:r>
          </w:p>
        </w:tc>
      </w:tr>
      <w:tr w:rsidR="00294ABB" w14:paraId="4426544C"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8A"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8B"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8C"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600330</w:t>
            </w:r>
          </w:p>
        </w:tc>
        <w:tc>
          <w:tcPr>
            <w:tcW w:w="6882" w:type="dxa"/>
            <w:tcBorders>
              <w:top w:val="nil"/>
              <w:left w:val="nil"/>
              <w:bottom w:val="single" w:sz="4" w:space="0" w:color="000000"/>
              <w:right w:val="single" w:sz="4" w:space="0" w:color="000000"/>
            </w:tcBorders>
            <w:shd w:val="clear" w:color="auto" w:fill="auto"/>
          </w:tcPr>
          <w:p w14:paraId="0000058D"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Knitted or crocheted fabrics of a width not exceeding 30 cm of synthetic fibres</w:t>
            </w:r>
          </w:p>
        </w:tc>
      </w:tr>
      <w:tr w:rsidR="00294ABB" w14:paraId="0D7CC978"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8E"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8F"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90"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600340</w:t>
            </w:r>
          </w:p>
        </w:tc>
        <w:tc>
          <w:tcPr>
            <w:tcW w:w="6882" w:type="dxa"/>
            <w:tcBorders>
              <w:top w:val="nil"/>
              <w:left w:val="nil"/>
              <w:bottom w:val="single" w:sz="4" w:space="0" w:color="000000"/>
              <w:right w:val="single" w:sz="4" w:space="0" w:color="000000"/>
            </w:tcBorders>
            <w:shd w:val="clear" w:color="auto" w:fill="auto"/>
          </w:tcPr>
          <w:p w14:paraId="00000591"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Knitted or crocheted fabrics of a width not exceeding 30 cm of artificial fibres</w:t>
            </w:r>
          </w:p>
        </w:tc>
      </w:tr>
      <w:tr w:rsidR="00294ABB" w14:paraId="0749BC9D"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92"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93"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94"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600390</w:t>
            </w:r>
          </w:p>
        </w:tc>
        <w:tc>
          <w:tcPr>
            <w:tcW w:w="6882" w:type="dxa"/>
            <w:tcBorders>
              <w:top w:val="nil"/>
              <w:left w:val="nil"/>
              <w:bottom w:val="single" w:sz="4" w:space="0" w:color="000000"/>
              <w:right w:val="single" w:sz="4" w:space="0" w:color="000000"/>
            </w:tcBorders>
            <w:shd w:val="clear" w:color="auto" w:fill="auto"/>
          </w:tcPr>
          <w:p w14:paraId="00000595"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Other knitted or crocheted fabrics of a width not exceeding 30 cm</w:t>
            </w:r>
          </w:p>
        </w:tc>
      </w:tr>
      <w:tr w:rsidR="00294ABB" w14:paraId="32D59978"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96"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97"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98"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600410</w:t>
            </w:r>
          </w:p>
        </w:tc>
        <w:tc>
          <w:tcPr>
            <w:tcW w:w="6882" w:type="dxa"/>
            <w:tcBorders>
              <w:top w:val="nil"/>
              <w:left w:val="nil"/>
              <w:bottom w:val="single" w:sz="4" w:space="0" w:color="000000"/>
              <w:right w:val="single" w:sz="4" w:space="0" w:color="000000"/>
            </w:tcBorders>
            <w:shd w:val="clear" w:color="auto" w:fill="auto"/>
          </w:tcPr>
          <w:p w14:paraId="00000599"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Knitted or crocheted fabrics, of a width exceeding 30 cm containing by weight 5% or more of elastomeric yarn but not containing robber thread</w:t>
            </w:r>
          </w:p>
        </w:tc>
      </w:tr>
      <w:tr w:rsidR="00294ABB" w14:paraId="476D608B"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9A"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9B"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9C"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600490</w:t>
            </w:r>
          </w:p>
        </w:tc>
        <w:tc>
          <w:tcPr>
            <w:tcW w:w="6882" w:type="dxa"/>
            <w:tcBorders>
              <w:top w:val="nil"/>
              <w:left w:val="nil"/>
              <w:bottom w:val="single" w:sz="4" w:space="0" w:color="000000"/>
              <w:right w:val="single" w:sz="4" w:space="0" w:color="000000"/>
            </w:tcBorders>
            <w:shd w:val="clear" w:color="auto" w:fill="auto"/>
          </w:tcPr>
          <w:p w14:paraId="0000059D"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Other knitted or crocheted fabrics, of a width exceeding 30 cm containing by weight 5% or more of elastomeric yarn or robber thread</w:t>
            </w:r>
          </w:p>
        </w:tc>
      </w:tr>
      <w:tr w:rsidR="00294ABB" w14:paraId="4A1D8711"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9E"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9F"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Jewellery</w:t>
            </w:r>
          </w:p>
        </w:tc>
        <w:tc>
          <w:tcPr>
            <w:tcW w:w="992" w:type="dxa"/>
            <w:tcBorders>
              <w:top w:val="nil"/>
              <w:left w:val="nil"/>
              <w:bottom w:val="single" w:sz="4" w:space="0" w:color="000000"/>
              <w:right w:val="single" w:sz="4" w:space="0" w:color="000000"/>
            </w:tcBorders>
            <w:shd w:val="clear" w:color="auto" w:fill="auto"/>
          </w:tcPr>
          <w:p w14:paraId="000005A0"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711311</w:t>
            </w:r>
          </w:p>
        </w:tc>
        <w:tc>
          <w:tcPr>
            <w:tcW w:w="6882" w:type="dxa"/>
            <w:tcBorders>
              <w:top w:val="nil"/>
              <w:left w:val="nil"/>
              <w:bottom w:val="single" w:sz="4" w:space="0" w:color="000000"/>
              <w:right w:val="single" w:sz="4" w:space="0" w:color="000000"/>
            </w:tcBorders>
            <w:shd w:val="clear" w:color="auto" w:fill="auto"/>
          </w:tcPr>
          <w:p w14:paraId="000005A1"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Articles of jewellery and parts thereof of silver, whether or not plated or clad with other precious metal</w:t>
            </w:r>
          </w:p>
        </w:tc>
      </w:tr>
      <w:tr w:rsidR="00294ABB" w14:paraId="69D37775"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A2"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A3"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A4"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711319</w:t>
            </w:r>
          </w:p>
        </w:tc>
        <w:tc>
          <w:tcPr>
            <w:tcW w:w="6882" w:type="dxa"/>
            <w:tcBorders>
              <w:top w:val="nil"/>
              <w:left w:val="nil"/>
              <w:bottom w:val="single" w:sz="4" w:space="0" w:color="000000"/>
              <w:right w:val="single" w:sz="4" w:space="0" w:color="000000"/>
            </w:tcBorders>
            <w:shd w:val="clear" w:color="auto" w:fill="auto"/>
          </w:tcPr>
          <w:p w14:paraId="000005A5"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Articles of jewellery and parts thereof of other precious metal, whether or not plated or clad with precious metal</w:t>
            </w:r>
          </w:p>
        </w:tc>
      </w:tr>
      <w:tr w:rsidR="00294ABB" w14:paraId="709AAD00"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A6"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A7"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A8"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711320</w:t>
            </w:r>
          </w:p>
        </w:tc>
        <w:tc>
          <w:tcPr>
            <w:tcW w:w="6882" w:type="dxa"/>
            <w:tcBorders>
              <w:top w:val="nil"/>
              <w:left w:val="nil"/>
              <w:bottom w:val="single" w:sz="4" w:space="0" w:color="000000"/>
              <w:right w:val="single" w:sz="4" w:space="0" w:color="000000"/>
            </w:tcBorders>
            <w:shd w:val="clear" w:color="auto" w:fill="auto"/>
          </w:tcPr>
          <w:p w14:paraId="000005A9"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Articles of jewellery and parts thereof of base metal clad with precious metal</w:t>
            </w:r>
          </w:p>
        </w:tc>
      </w:tr>
      <w:tr w:rsidR="00294ABB" w14:paraId="78EBCF9C"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AA"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AB"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AC"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711411</w:t>
            </w:r>
          </w:p>
        </w:tc>
        <w:tc>
          <w:tcPr>
            <w:tcW w:w="6882" w:type="dxa"/>
            <w:tcBorders>
              <w:top w:val="nil"/>
              <w:left w:val="nil"/>
              <w:bottom w:val="single" w:sz="4" w:space="0" w:color="000000"/>
              <w:right w:val="single" w:sz="4" w:space="0" w:color="000000"/>
            </w:tcBorders>
            <w:shd w:val="clear" w:color="auto" w:fill="auto"/>
          </w:tcPr>
          <w:p w14:paraId="000005AD" w14:textId="5E6F942E"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Articles of goldsmiths</w:t>
            </w:r>
            <w:r w:rsidR="00C93471">
              <w:rPr>
                <w:rFonts w:ascii="Calibri" w:eastAsia="Calibri" w:hAnsi="Calibri" w:cs="Calibri"/>
                <w:color w:val="000000"/>
              </w:rPr>
              <w:t>’</w:t>
            </w:r>
            <w:r>
              <w:rPr>
                <w:rFonts w:ascii="Calibri" w:eastAsia="Calibri" w:hAnsi="Calibri" w:cs="Calibri"/>
                <w:color w:val="000000"/>
              </w:rPr>
              <w:t xml:space="preserve"> or silversmiths</w:t>
            </w:r>
            <w:r w:rsidR="00C93471">
              <w:rPr>
                <w:rFonts w:ascii="Calibri" w:eastAsia="Calibri" w:hAnsi="Calibri" w:cs="Calibri"/>
                <w:color w:val="000000"/>
              </w:rPr>
              <w:t>’</w:t>
            </w:r>
            <w:r>
              <w:rPr>
                <w:rFonts w:ascii="Calibri" w:eastAsia="Calibri" w:hAnsi="Calibri" w:cs="Calibri"/>
                <w:color w:val="000000"/>
              </w:rPr>
              <w:t xml:space="preserve"> wares and parts thereof of silver, whether or not plated or clad with other precious metal</w:t>
            </w:r>
          </w:p>
        </w:tc>
      </w:tr>
      <w:tr w:rsidR="00294ABB" w14:paraId="09888232"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AE"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AF"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B0"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711419</w:t>
            </w:r>
          </w:p>
        </w:tc>
        <w:tc>
          <w:tcPr>
            <w:tcW w:w="6882" w:type="dxa"/>
            <w:tcBorders>
              <w:top w:val="nil"/>
              <w:left w:val="nil"/>
              <w:bottom w:val="single" w:sz="4" w:space="0" w:color="000000"/>
              <w:right w:val="single" w:sz="4" w:space="0" w:color="000000"/>
            </w:tcBorders>
            <w:shd w:val="clear" w:color="auto" w:fill="auto"/>
          </w:tcPr>
          <w:p w14:paraId="000005B1" w14:textId="514FEDAB"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Articles of goldsmiths</w:t>
            </w:r>
            <w:r w:rsidR="00C93471">
              <w:rPr>
                <w:rFonts w:ascii="Calibri" w:eastAsia="Calibri" w:hAnsi="Calibri" w:cs="Calibri"/>
                <w:color w:val="000000"/>
              </w:rPr>
              <w:t>’</w:t>
            </w:r>
            <w:r>
              <w:rPr>
                <w:rFonts w:ascii="Calibri" w:eastAsia="Calibri" w:hAnsi="Calibri" w:cs="Calibri"/>
                <w:color w:val="000000"/>
              </w:rPr>
              <w:t xml:space="preserve"> or silversmiths</w:t>
            </w:r>
            <w:r w:rsidR="00C93471">
              <w:rPr>
                <w:rFonts w:ascii="Calibri" w:eastAsia="Calibri" w:hAnsi="Calibri" w:cs="Calibri"/>
                <w:color w:val="000000"/>
              </w:rPr>
              <w:t>’</w:t>
            </w:r>
            <w:r>
              <w:rPr>
                <w:rFonts w:ascii="Calibri" w:eastAsia="Calibri" w:hAnsi="Calibri" w:cs="Calibri"/>
                <w:color w:val="000000"/>
              </w:rPr>
              <w:t xml:space="preserve"> wares and parts thereof of other precious metal, whether or not plated or clad with precious metal</w:t>
            </w:r>
          </w:p>
        </w:tc>
      </w:tr>
      <w:tr w:rsidR="00294ABB" w14:paraId="54F768A4"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B2"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B3"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B4"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711420</w:t>
            </w:r>
          </w:p>
        </w:tc>
        <w:tc>
          <w:tcPr>
            <w:tcW w:w="6882" w:type="dxa"/>
            <w:tcBorders>
              <w:top w:val="nil"/>
              <w:left w:val="nil"/>
              <w:bottom w:val="single" w:sz="4" w:space="0" w:color="000000"/>
              <w:right w:val="single" w:sz="4" w:space="0" w:color="000000"/>
            </w:tcBorders>
            <w:shd w:val="clear" w:color="auto" w:fill="auto"/>
          </w:tcPr>
          <w:p w14:paraId="000005B5" w14:textId="5E7F0F23"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Articles of goldsmiths</w:t>
            </w:r>
            <w:r w:rsidR="00C93471">
              <w:rPr>
                <w:rFonts w:ascii="Calibri" w:eastAsia="Calibri" w:hAnsi="Calibri" w:cs="Calibri"/>
                <w:color w:val="000000"/>
              </w:rPr>
              <w:t>’</w:t>
            </w:r>
            <w:r>
              <w:rPr>
                <w:rFonts w:ascii="Calibri" w:eastAsia="Calibri" w:hAnsi="Calibri" w:cs="Calibri"/>
                <w:color w:val="000000"/>
              </w:rPr>
              <w:t xml:space="preserve"> or silversmiths</w:t>
            </w:r>
            <w:r w:rsidR="00C93471">
              <w:rPr>
                <w:rFonts w:ascii="Calibri" w:eastAsia="Calibri" w:hAnsi="Calibri" w:cs="Calibri"/>
                <w:color w:val="000000"/>
              </w:rPr>
              <w:t>’</w:t>
            </w:r>
            <w:r>
              <w:rPr>
                <w:rFonts w:ascii="Calibri" w:eastAsia="Calibri" w:hAnsi="Calibri" w:cs="Calibri"/>
                <w:color w:val="000000"/>
              </w:rPr>
              <w:t xml:space="preserve"> wares and parts thereof of base metal clad with precious metal</w:t>
            </w:r>
          </w:p>
        </w:tc>
      </w:tr>
      <w:tr w:rsidR="00294ABB" w14:paraId="3276496D"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B6"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B7"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B8"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711610</w:t>
            </w:r>
          </w:p>
        </w:tc>
        <w:tc>
          <w:tcPr>
            <w:tcW w:w="6882" w:type="dxa"/>
            <w:tcBorders>
              <w:top w:val="nil"/>
              <w:left w:val="nil"/>
              <w:bottom w:val="single" w:sz="4" w:space="0" w:color="000000"/>
              <w:right w:val="single" w:sz="4" w:space="0" w:color="000000"/>
            </w:tcBorders>
            <w:shd w:val="clear" w:color="auto" w:fill="auto"/>
          </w:tcPr>
          <w:p w14:paraId="000005B9"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Articles of natural or cultured pearls</w:t>
            </w:r>
          </w:p>
        </w:tc>
      </w:tr>
      <w:tr w:rsidR="00294ABB" w14:paraId="7EEB9902"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BA"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BB"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BC" w14:textId="4B749299"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711620</w:t>
            </w:r>
          </w:p>
        </w:tc>
        <w:tc>
          <w:tcPr>
            <w:tcW w:w="6882" w:type="dxa"/>
            <w:tcBorders>
              <w:top w:val="nil"/>
              <w:left w:val="nil"/>
              <w:bottom w:val="single" w:sz="4" w:space="0" w:color="000000"/>
              <w:right w:val="single" w:sz="4" w:space="0" w:color="000000"/>
            </w:tcBorders>
            <w:shd w:val="clear" w:color="auto" w:fill="auto"/>
          </w:tcPr>
          <w:p w14:paraId="000005BD" w14:textId="5228E31A"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Articles of precious or semi-precious stones (natural, synthetic or reconstructed)</w:t>
            </w:r>
          </w:p>
        </w:tc>
      </w:tr>
      <w:tr w:rsidR="00294ABB" w14:paraId="2F59EDB2"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BE"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BF"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Photography</w:t>
            </w:r>
          </w:p>
        </w:tc>
        <w:tc>
          <w:tcPr>
            <w:tcW w:w="992" w:type="dxa"/>
            <w:tcBorders>
              <w:top w:val="nil"/>
              <w:left w:val="nil"/>
              <w:bottom w:val="single" w:sz="4" w:space="0" w:color="000000"/>
              <w:right w:val="single" w:sz="4" w:space="0" w:color="000000"/>
            </w:tcBorders>
            <w:shd w:val="clear" w:color="auto" w:fill="auto"/>
          </w:tcPr>
          <w:p w14:paraId="000005C0"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370510</w:t>
            </w:r>
          </w:p>
        </w:tc>
        <w:tc>
          <w:tcPr>
            <w:tcW w:w="6882" w:type="dxa"/>
            <w:tcBorders>
              <w:top w:val="nil"/>
              <w:left w:val="nil"/>
              <w:bottom w:val="single" w:sz="4" w:space="0" w:color="000000"/>
              <w:right w:val="single" w:sz="4" w:space="0" w:color="000000"/>
            </w:tcBorders>
            <w:shd w:val="clear" w:color="auto" w:fill="auto"/>
          </w:tcPr>
          <w:p w14:paraId="000005C1"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Photographic plates and film, exposed and developed, other than cinematographic film for offset reproduction</w:t>
            </w:r>
          </w:p>
        </w:tc>
      </w:tr>
      <w:tr w:rsidR="00294ABB" w14:paraId="280084D5"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C2"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C3"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C4"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370590</w:t>
            </w:r>
          </w:p>
        </w:tc>
        <w:tc>
          <w:tcPr>
            <w:tcW w:w="6882" w:type="dxa"/>
            <w:tcBorders>
              <w:top w:val="nil"/>
              <w:left w:val="nil"/>
              <w:bottom w:val="single" w:sz="4" w:space="0" w:color="000000"/>
              <w:right w:val="single" w:sz="4" w:space="0" w:color="000000"/>
            </w:tcBorders>
            <w:shd w:val="clear" w:color="auto" w:fill="auto"/>
          </w:tcPr>
          <w:p w14:paraId="000005C5" w14:textId="059D4F64"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Photographic plates and film, exposed and developed (excl for offset production)</w:t>
            </w:r>
          </w:p>
        </w:tc>
      </w:tr>
      <w:tr w:rsidR="00294ABB" w14:paraId="36F49793" w14:textId="77777777" w:rsidTr="00835B56">
        <w:trPr>
          <w:jc w:val="center"/>
        </w:trPr>
        <w:tc>
          <w:tcPr>
            <w:tcW w:w="2826" w:type="dxa"/>
            <w:tcBorders>
              <w:top w:val="nil"/>
              <w:left w:val="single" w:sz="4" w:space="0" w:color="000000"/>
              <w:bottom w:val="single" w:sz="4" w:space="0" w:color="auto"/>
              <w:right w:val="single" w:sz="4" w:space="0" w:color="000000"/>
            </w:tcBorders>
            <w:shd w:val="clear" w:color="auto" w:fill="auto"/>
          </w:tcPr>
          <w:p w14:paraId="000005C6"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D. Books and Press</w:t>
            </w:r>
          </w:p>
        </w:tc>
        <w:tc>
          <w:tcPr>
            <w:tcW w:w="2131" w:type="dxa"/>
            <w:tcBorders>
              <w:top w:val="nil"/>
              <w:left w:val="nil"/>
              <w:bottom w:val="single" w:sz="4" w:space="0" w:color="auto"/>
              <w:right w:val="single" w:sz="4" w:space="0" w:color="000000"/>
            </w:tcBorders>
            <w:shd w:val="clear" w:color="auto" w:fill="auto"/>
          </w:tcPr>
          <w:p w14:paraId="000005C7"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Books</w:t>
            </w:r>
          </w:p>
        </w:tc>
        <w:tc>
          <w:tcPr>
            <w:tcW w:w="992" w:type="dxa"/>
            <w:tcBorders>
              <w:top w:val="nil"/>
              <w:left w:val="nil"/>
              <w:bottom w:val="single" w:sz="4" w:space="0" w:color="auto"/>
              <w:right w:val="single" w:sz="4" w:space="0" w:color="000000"/>
            </w:tcBorders>
            <w:shd w:val="clear" w:color="auto" w:fill="auto"/>
          </w:tcPr>
          <w:p w14:paraId="000005C8"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490110</w:t>
            </w:r>
          </w:p>
        </w:tc>
        <w:tc>
          <w:tcPr>
            <w:tcW w:w="6882" w:type="dxa"/>
            <w:tcBorders>
              <w:top w:val="nil"/>
              <w:left w:val="nil"/>
              <w:bottom w:val="single" w:sz="4" w:space="0" w:color="auto"/>
              <w:right w:val="single" w:sz="4" w:space="0" w:color="000000"/>
            </w:tcBorders>
            <w:shd w:val="clear" w:color="auto" w:fill="auto"/>
          </w:tcPr>
          <w:p w14:paraId="000005C9"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Printed reading books, brochures, leaflets and similar printed matter whether in single sheets whether or not folded</w:t>
            </w:r>
          </w:p>
        </w:tc>
      </w:tr>
      <w:tr w:rsidR="00294ABB" w14:paraId="6067C515" w14:textId="77777777" w:rsidTr="00835B56">
        <w:trPr>
          <w:jc w:val="center"/>
        </w:trPr>
        <w:tc>
          <w:tcPr>
            <w:tcW w:w="2826" w:type="dxa"/>
            <w:tcBorders>
              <w:top w:val="single" w:sz="4" w:space="0" w:color="auto"/>
              <w:left w:val="single" w:sz="4" w:space="0" w:color="000000"/>
              <w:bottom w:val="single" w:sz="4" w:space="0" w:color="auto"/>
              <w:right w:val="single" w:sz="4" w:space="0" w:color="000000"/>
            </w:tcBorders>
            <w:shd w:val="clear" w:color="auto" w:fill="auto"/>
          </w:tcPr>
          <w:p w14:paraId="000005CA"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single" w:sz="4" w:space="0" w:color="auto"/>
              <w:left w:val="nil"/>
              <w:bottom w:val="single" w:sz="4" w:space="0" w:color="auto"/>
              <w:right w:val="single" w:sz="4" w:space="0" w:color="000000"/>
            </w:tcBorders>
            <w:shd w:val="clear" w:color="auto" w:fill="auto"/>
          </w:tcPr>
          <w:p w14:paraId="000005CB"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single" w:sz="4" w:space="0" w:color="auto"/>
              <w:left w:val="nil"/>
              <w:bottom w:val="single" w:sz="4" w:space="0" w:color="auto"/>
              <w:right w:val="single" w:sz="4" w:space="0" w:color="000000"/>
            </w:tcBorders>
            <w:shd w:val="clear" w:color="auto" w:fill="auto"/>
          </w:tcPr>
          <w:p w14:paraId="000005CC"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490191</w:t>
            </w:r>
          </w:p>
        </w:tc>
        <w:tc>
          <w:tcPr>
            <w:tcW w:w="6882" w:type="dxa"/>
            <w:tcBorders>
              <w:top w:val="single" w:sz="4" w:space="0" w:color="auto"/>
              <w:left w:val="nil"/>
              <w:bottom w:val="single" w:sz="4" w:space="0" w:color="auto"/>
              <w:right w:val="single" w:sz="4" w:space="0" w:color="000000"/>
            </w:tcBorders>
            <w:shd w:val="clear" w:color="auto" w:fill="auto"/>
          </w:tcPr>
          <w:p w14:paraId="000005CD"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Dictionaries and encyclopaedias and serial instalments thereof</w:t>
            </w:r>
          </w:p>
        </w:tc>
      </w:tr>
      <w:tr w:rsidR="00294ABB" w14:paraId="080098F0" w14:textId="77777777" w:rsidTr="00835B56">
        <w:trPr>
          <w:jc w:val="center"/>
        </w:trPr>
        <w:tc>
          <w:tcPr>
            <w:tcW w:w="2826" w:type="dxa"/>
            <w:tcBorders>
              <w:top w:val="single" w:sz="4" w:space="0" w:color="auto"/>
              <w:left w:val="single" w:sz="4" w:space="0" w:color="000000"/>
              <w:bottom w:val="single" w:sz="4" w:space="0" w:color="000000"/>
              <w:right w:val="single" w:sz="4" w:space="0" w:color="000000"/>
            </w:tcBorders>
            <w:shd w:val="clear" w:color="auto" w:fill="auto"/>
          </w:tcPr>
          <w:p w14:paraId="000005CE"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lastRenderedPageBreak/>
              <w:t> </w:t>
            </w:r>
          </w:p>
        </w:tc>
        <w:tc>
          <w:tcPr>
            <w:tcW w:w="2131" w:type="dxa"/>
            <w:tcBorders>
              <w:top w:val="single" w:sz="4" w:space="0" w:color="auto"/>
              <w:left w:val="nil"/>
              <w:bottom w:val="single" w:sz="4" w:space="0" w:color="000000"/>
              <w:right w:val="single" w:sz="4" w:space="0" w:color="000000"/>
            </w:tcBorders>
            <w:shd w:val="clear" w:color="auto" w:fill="auto"/>
          </w:tcPr>
          <w:p w14:paraId="000005CF"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single" w:sz="4" w:space="0" w:color="auto"/>
              <w:left w:val="nil"/>
              <w:bottom w:val="single" w:sz="4" w:space="0" w:color="000000"/>
              <w:right w:val="single" w:sz="4" w:space="0" w:color="000000"/>
            </w:tcBorders>
            <w:shd w:val="clear" w:color="auto" w:fill="auto"/>
          </w:tcPr>
          <w:p w14:paraId="000005D0"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490199</w:t>
            </w:r>
          </w:p>
        </w:tc>
        <w:tc>
          <w:tcPr>
            <w:tcW w:w="6882" w:type="dxa"/>
            <w:tcBorders>
              <w:top w:val="single" w:sz="4" w:space="0" w:color="auto"/>
              <w:left w:val="nil"/>
              <w:bottom w:val="single" w:sz="4" w:space="0" w:color="000000"/>
              <w:right w:val="single" w:sz="4" w:space="0" w:color="000000"/>
            </w:tcBorders>
            <w:shd w:val="clear" w:color="auto" w:fill="auto"/>
          </w:tcPr>
          <w:p w14:paraId="000005D1"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Printed books, brochures and similar printed matter</w:t>
            </w:r>
          </w:p>
        </w:tc>
      </w:tr>
      <w:tr w:rsidR="00294ABB" w14:paraId="19F7EEA8"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D2"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D3"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Newspaper</w:t>
            </w:r>
          </w:p>
        </w:tc>
        <w:tc>
          <w:tcPr>
            <w:tcW w:w="992" w:type="dxa"/>
            <w:tcBorders>
              <w:top w:val="nil"/>
              <w:left w:val="nil"/>
              <w:bottom w:val="single" w:sz="4" w:space="0" w:color="000000"/>
              <w:right w:val="single" w:sz="4" w:space="0" w:color="000000"/>
            </w:tcBorders>
            <w:shd w:val="clear" w:color="auto" w:fill="auto"/>
          </w:tcPr>
          <w:p w14:paraId="000005D4"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490210</w:t>
            </w:r>
          </w:p>
        </w:tc>
        <w:tc>
          <w:tcPr>
            <w:tcW w:w="6882" w:type="dxa"/>
            <w:tcBorders>
              <w:top w:val="nil"/>
              <w:left w:val="nil"/>
              <w:bottom w:val="single" w:sz="4" w:space="0" w:color="000000"/>
              <w:right w:val="single" w:sz="4" w:space="0" w:color="000000"/>
            </w:tcBorders>
            <w:shd w:val="clear" w:color="auto" w:fill="auto"/>
          </w:tcPr>
          <w:p w14:paraId="000005D5"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Newspapers, journals and periodicals, whether or not illustrated or containing advertising material appearing at least four times a week</w:t>
            </w:r>
          </w:p>
        </w:tc>
      </w:tr>
      <w:tr w:rsidR="00294ABB" w14:paraId="578B50BD"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D6"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D7"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D8"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490290</w:t>
            </w:r>
          </w:p>
        </w:tc>
        <w:tc>
          <w:tcPr>
            <w:tcW w:w="6882" w:type="dxa"/>
            <w:tcBorders>
              <w:top w:val="nil"/>
              <w:left w:val="nil"/>
              <w:bottom w:val="single" w:sz="4" w:space="0" w:color="000000"/>
              <w:right w:val="single" w:sz="4" w:space="0" w:color="000000"/>
            </w:tcBorders>
            <w:shd w:val="clear" w:color="auto" w:fill="auto"/>
          </w:tcPr>
          <w:p w14:paraId="000005D9"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Other newspapers, journals and periodicals</w:t>
            </w:r>
          </w:p>
        </w:tc>
      </w:tr>
      <w:tr w:rsidR="00294ABB" w14:paraId="16A534DC"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DA"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DB"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Other Printed Matter</w:t>
            </w:r>
          </w:p>
        </w:tc>
        <w:tc>
          <w:tcPr>
            <w:tcW w:w="992" w:type="dxa"/>
            <w:tcBorders>
              <w:top w:val="nil"/>
              <w:left w:val="nil"/>
              <w:bottom w:val="single" w:sz="4" w:space="0" w:color="000000"/>
              <w:right w:val="single" w:sz="4" w:space="0" w:color="000000"/>
            </w:tcBorders>
            <w:shd w:val="clear" w:color="auto" w:fill="auto"/>
          </w:tcPr>
          <w:p w14:paraId="000005DC"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490300</w:t>
            </w:r>
          </w:p>
        </w:tc>
        <w:tc>
          <w:tcPr>
            <w:tcW w:w="6882" w:type="dxa"/>
            <w:tcBorders>
              <w:top w:val="nil"/>
              <w:left w:val="nil"/>
              <w:bottom w:val="single" w:sz="4" w:space="0" w:color="000000"/>
              <w:right w:val="single" w:sz="4" w:space="0" w:color="000000"/>
            </w:tcBorders>
            <w:shd w:val="clear" w:color="auto" w:fill="auto"/>
          </w:tcPr>
          <w:p w14:paraId="000005DD" w14:textId="7EFB54DD"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Children</w:t>
            </w:r>
            <w:r w:rsidR="00C93471">
              <w:rPr>
                <w:rFonts w:ascii="Calibri" w:eastAsia="Calibri" w:hAnsi="Calibri" w:cs="Calibri"/>
                <w:color w:val="000000"/>
              </w:rPr>
              <w:t>’</w:t>
            </w:r>
            <w:r>
              <w:rPr>
                <w:rFonts w:ascii="Calibri" w:eastAsia="Calibri" w:hAnsi="Calibri" w:cs="Calibri"/>
                <w:color w:val="000000"/>
              </w:rPr>
              <w:t>s picture, drawing or colouring books</w:t>
            </w:r>
          </w:p>
        </w:tc>
      </w:tr>
      <w:tr w:rsidR="00294ABB" w14:paraId="5AE9995D"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DE"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DF"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E0"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490591</w:t>
            </w:r>
          </w:p>
        </w:tc>
        <w:tc>
          <w:tcPr>
            <w:tcW w:w="6882" w:type="dxa"/>
            <w:tcBorders>
              <w:top w:val="nil"/>
              <w:left w:val="nil"/>
              <w:bottom w:val="single" w:sz="4" w:space="0" w:color="000000"/>
              <w:right w:val="single" w:sz="4" w:space="0" w:color="000000"/>
            </w:tcBorders>
            <w:shd w:val="clear" w:color="auto" w:fill="auto"/>
          </w:tcPr>
          <w:p w14:paraId="000005E1"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Maps and hydrographical or similar charts of all kinds in book form</w:t>
            </w:r>
          </w:p>
        </w:tc>
      </w:tr>
      <w:tr w:rsidR="00294ABB" w14:paraId="4EAD5C87"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E2"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E3"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E4"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490510</w:t>
            </w:r>
          </w:p>
        </w:tc>
        <w:tc>
          <w:tcPr>
            <w:tcW w:w="6882" w:type="dxa"/>
            <w:tcBorders>
              <w:top w:val="nil"/>
              <w:left w:val="nil"/>
              <w:bottom w:val="single" w:sz="4" w:space="0" w:color="000000"/>
              <w:right w:val="single" w:sz="4" w:space="0" w:color="000000"/>
            </w:tcBorders>
            <w:shd w:val="clear" w:color="auto" w:fill="auto"/>
          </w:tcPr>
          <w:p w14:paraId="000005E5"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Maps and hydrographical or similar charts of all kinds in globes</w:t>
            </w:r>
          </w:p>
        </w:tc>
      </w:tr>
      <w:tr w:rsidR="00294ABB" w14:paraId="6BC3756A"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E6"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E7"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E8"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490599</w:t>
            </w:r>
          </w:p>
        </w:tc>
        <w:tc>
          <w:tcPr>
            <w:tcW w:w="6882" w:type="dxa"/>
            <w:tcBorders>
              <w:top w:val="nil"/>
              <w:left w:val="nil"/>
              <w:bottom w:val="single" w:sz="4" w:space="0" w:color="000000"/>
              <w:right w:val="single" w:sz="4" w:space="0" w:color="000000"/>
            </w:tcBorders>
            <w:shd w:val="clear" w:color="auto" w:fill="auto"/>
          </w:tcPr>
          <w:p w14:paraId="000005E9"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Other maps and hydrographical or similar charts of all kinds</w:t>
            </w:r>
          </w:p>
        </w:tc>
      </w:tr>
      <w:tr w:rsidR="00294ABB" w14:paraId="447C638F"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EA"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EB"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EC"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490900</w:t>
            </w:r>
          </w:p>
        </w:tc>
        <w:tc>
          <w:tcPr>
            <w:tcW w:w="6882" w:type="dxa"/>
            <w:tcBorders>
              <w:top w:val="nil"/>
              <w:left w:val="nil"/>
              <w:bottom w:val="single" w:sz="4" w:space="0" w:color="000000"/>
              <w:right w:val="single" w:sz="4" w:space="0" w:color="000000"/>
            </w:tcBorders>
            <w:shd w:val="clear" w:color="auto" w:fill="auto"/>
          </w:tcPr>
          <w:p w14:paraId="000005ED"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Postcards, printed or illustrated; printed greeting cards</w:t>
            </w:r>
          </w:p>
        </w:tc>
      </w:tr>
      <w:tr w:rsidR="00294ABB" w14:paraId="73044F1F"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EE"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EF"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F0"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491000</w:t>
            </w:r>
          </w:p>
        </w:tc>
        <w:tc>
          <w:tcPr>
            <w:tcW w:w="6882" w:type="dxa"/>
            <w:tcBorders>
              <w:top w:val="nil"/>
              <w:left w:val="nil"/>
              <w:bottom w:val="single" w:sz="4" w:space="0" w:color="000000"/>
              <w:right w:val="single" w:sz="4" w:space="0" w:color="000000"/>
            </w:tcBorders>
            <w:shd w:val="clear" w:color="auto" w:fill="auto"/>
          </w:tcPr>
          <w:p w14:paraId="000005F1"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Calendars of any kind, printed, including calendar blocks</w:t>
            </w:r>
          </w:p>
        </w:tc>
      </w:tr>
      <w:tr w:rsidR="00294ABB" w14:paraId="075C40DE"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F2"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E. Audiovisual &amp; Interactive Media</w:t>
            </w:r>
          </w:p>
        </w:tc>
        <w:tc>
          <w:tcPr>
            <w:tcW w:w="2131" w:type="dxa"/>
            <w:tcBorders>
              <w:top w:val="nil"/>
              <w:left w:val="nil"/>
              <w:bottom w:val="single" w:sz="4" w:space="0" w:color="000000"/>
              <w:right w:val="single" w:sz="4" w:space="0" w:color="000000"/>
            </w:tcBorders>
            <w:shd w:val="clear" w:color="auto" w:fill="auto"/>
          </w:tcPr>
          <w:p w14:paraId="000005F3"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Film and Video</w:t>
            </w:r>
          </w:p>
        </w:tc>
        <w:tc>
          <w:tcPr>
            <w:tcW w:w="992" w:type="dxa"/>
            <w:tcBorders>
              <w:top w:val="nil"/>
              <w:left w:val="nil"/>
              <w:bottom w:val="single" w:sz="4" w:space="0" w:color="000000"/>
              <w:right w:val="single" w:sz="4" w:space="0" w:color="000000"/>
            </w:tcBorders>
            <w:shd w:val="clear" w:color="auto" w:fill="auto"/>
          </w:tcPr>
          <w:p w14:paraId="000005F4"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370610</w:t>
            </w:r>
          </w:p>
        </w:tc>
        <w:tc>
          <w:tcPr>
            <w:tcW w:w="6882" w:type="dxa"/>
            <w:tcBorders>
              <w:top w:val="nil"/>
              <w:left w:val="nil"/>
              <w:bottom w:val="single" w:sz="4" w:space="0" w:color="000000"/>
              <w:right w:val="single" w:sz="4" w:space="0" w:color="000000"/>
            </w:tcBorders>
            <w:shd w:val="clear" w:color="auto" w:fill="auto"/>
          </w:tcPr>
          <w:p w14:paraId="000005F5"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Cinematograph film, exposed and developed whether or not incorporating soundtrack or only consisting of sound track of a width of 35 mm or more</w:t>
            </w:r>
          </w:p>
        </w:tc>
      </w:tr>
      <w:tr w:rsidR="00294ABB" w14:paraId="793127A3"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F6"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F7"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F8"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370690</w:t>
            </w:r>
          </w:p>
        </w:tc>
        <w:tc>
          <w:tcPr>
            <w:tcW w:w="6882" w:type="dxa"/>
            <w:tcBorders>
              <w:top w:val="nil"/>
              <w:left w:val="nil"/>
              <w:bottom w:val="single" w:sz="4" w:space="0" w:color="000000"/>
              <w:right w:val="single" w:sz="4" w:space="0" w:color="000000"/>
            </w:tcBorders>
            <w:shd w:val="clear" w:color="auto" w:fill="auto"/>
          </w:tcPr>
          <w:p w14:paraId="000005F9"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Cinematographic film, exposed and developed, whether or not incorporating soundtrack or consisting only of soundtrack, width &lt; 35 mm</w:t>
            </w:r>
          </w:p>
        </w:tc>
      </w:tr>
      <w:tr w:rsidR="00294ABB" w14:paraId="6DCA91BF"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FA"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2131" w:type="dxa"/>
            <w:tcBorders>
              <w:top w:val="nil"/>
              <w:left w:val="nil"/>
              <w:bottom w:val="single" w:sz="4" w:space="0" w:color="000000"/>
              <w:right w:val="single" w:sz="4" w:space="0" w:color="000000"/>
            </w:tcBorders>
            <w:shd w:val="clear" w:color="auto" w:fill="auto"/>
          </w:tcPr>
          <w:p w14:paraId="000005FB"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tcPr>
          <w:p w14:paraId="000005FC"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950410</w:t>
            </w:r>
          </w:p>
        </w:tc>
        <w:tc>
          <w:tcPr>
            <w:tcW w:w="6882" w:type="dxa"/>
            <w:tcBorders>
              <w:top w:val="nil"/>
              <w:left w:val="nil"/>
              <w:bottom w:val="single" w:sz="4" w:space="0" w:color="000000"/>
              <w:right w:val="single" w:sz="4" w:space="0" w:color="000000"/>
            </w:tcBorders>
            <w:shd w:val="clear" w:color="auto" w:fill="auto"/>
          </w:tcPr>
          <w:p w14:paraId="000005FD"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Video games used with a television receiver</w:t>
            </w:r>
          </w:p>
        </w:tc>
      </w:tr>
      <w:tr w:rsidR="00294ABB" w14:paraId="0F463E35" w14:textId="77777777" w:rsidTr="00835B56">
        <w:trPr>
          <w:jc w:val="center"/>
        </w:trPr>
        <w:tc>
          <w:tcPr>
            <w:tcW w:w="2826" w:type="dxa"/>
            <w:tcBorders>
              <w:top w:val="nil"/>
              <w:left w:val="single" w:sz="4" w:space="0" w:color="000000"/>
              <w:bottom w:val="single" w:sz="4" w:space="0" w:color="000000"/>
              <w:right w:val="single" w:sz="4" w:space="0" w:color="000000"/>
            </w:tcBorders>
            <w:shd w:val="clear" w:color="auto" w:fill="auto"/>
          </w:tcPr>
          <w:p w14:paraId="000005FE"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F. Design and Creative Services</w:t>
            </w:r>
          </w:p>
        </w:tc>
        <w:tc>
          <w:tcPr>
            <w:tcW w:w="2131" w:type="dxa"/>
            <w:tcBorders>
              <w:top w:val="nil"/>
              <w:left w:val="nil"/>
              <w:bottom w:val="single" w:sz="4" w:space="0" w:color="000000"/>
              <w:right w:val="single" w:sz="4" w:space="0" w:color="000000"/>
            </w:tcBorders>
            <w:shd w:val="clear" w:color="auto" w:fill="auto"/>
          </w:tcPr>
          <w:p w14:paraId="000005FF"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Architecture &amp; Design</w:t>
            </w:r>
          </w:p>
        </w:tc>
        <w:tc>
          <w:tcPr>
            <w:tcW w:w="992" w:type="dxa"/>
            <w:tcBorders>
              <w:top w:val="nil"/>
              <w:left w:val="nil"/>
              <w:bottom w:val="single" w:sz="4" w:space="0" w:color="000000"/>
              <w:right w:val="single" w:sz="4" w:space="0" w:color="000000"/>
            </w:tcBorders>
            <w:shd w:val="clear" w:color="auto" w:fill="auto"/>
          </w:tcPr>
          <w:p w14:paraId="00000600" w14:textId="77777777" w:rsidR="00294ABB" w:rsidRDefault="00420BFB" w:rsidP="00CE53B1">
            <w:pPr>
              <w:spacing w:after="0"/>
              <w:jc w:val="center"/>
              <w:rPr>
                <w:rFonts w:ascii="Calibri" w:eastAsia="Calibri" w:hAnsi="Calibri" w:cs="Calibri"/>
                <w:color w:val="000000"/>
              </w:rPr>
            </w:pPr>
            <w:r>
              <w:rPr>
                <w:rFonts w:ascii="Calibri" w:eastAsia="Calibri" w:hAnsi="Calibri" w:cs="Calibri"/>
                <w:color w:val="000000"/>
              </w:rPr>
              <w:t>490600</w:t>
            </w:r>
          </w:p>
        </w:tc>
        <w:tc>
          <w:tcPr>
            <w:tcW w:w="6882" w:type="dxa"/>
            <w:tcBorders>
              <w:top w:val="nil"/>
              <w:left w:val="nil"/>
              <w:bottom w:val="single" w:sz="4" w:space="0" w:color="000000"/>
              <w:right w:val="single" w:sz="4" w:space="0" w:color="000000"/>
            </w:tcBorders>
            <w:shd w:val="clear" w:color="auto" w:fill="auto"/>
          </w:tcPr>
          <w:p w14:paraId="00000601" w14:textId="77777777" w:rsidR="00294ABB" w:rsidRDefault="00420BFB" w:rsidP="00835B56">
            <w:pPr>
              <w:spacing w:after="0"/>
              <w:jc w:val="left"/>
              <w:rPr>
                <w:rFonts w:ascii="Calibri" w:eastAsia="Calibri" w:hAnsi="Calibri" w:cs="Calibri"/>
                <w:color w:val="000000"/>
              </w:rPr>
            </w:pPr>
            <w:r>
              <w:rPr>
                <w:rFonts w:ascii="Calibri" w:eastAsia="Calibri" w:hAnsi="Calibri" w:cs="Calibri"/>
                <w:color w:val="000000"/>
              </w:rPr>
              <w:t>Plans and drawings for architectural, engineering, industrial, commercial, topographical or similar purposes, being originals drawn by hand; hand-written texts; photographic reproductions on sensitised paper and carbon copies of the foregoing</w:t>
            </w:r>
          </w:p>
        </w:tc>
      </w:tr>
    </w:tbl>
    <w:p w14:paraId="00000602" w14:textId="77777777" w:rsidR="00294ABB" w:rsidRDefault="00294ABB">
      <w:pPr>
        <w:spacing w:after="0"/>
        <w:rPr>
          <w:rFonts w:ascii="Times New Roman" w:eastAsia="Times New Roman" w:hAnsi="Times New Roman" w:cs="Times New Roman"/>
          <w:sz w:val="24"/>
          <w:szCs w:val="24"/>
        </w:rPr>
      </w:pPr>
    </w:p>
    <w:p w14:paraId="00000603" w14:textId="0AF3A291" w:rsidR="00294ABB" w:rsidRPr="007165FB" w:rsidRDefault="00420BFB">
      <w:pPr>
        <w:spacing w:after="0"/>
      </w:pPr>
      <w:r w:rsidRPr="00835B56">
        <w:rPr>
          <w:rFonts w:eastAsia="Times New Roman"/>
        </w:rPr>
        <w:t>Source: UNESCO (2009: 65</w:t>
      </w:r>
      <w:r w:rsidR="007165FB" w:rsidRPr="00835B56">
        <w:rPr>
          <w:rFonts w:eastAsia="Times New Roman"/>
        </w:rPr>
        <w:t>–</w:t>
      </w:r>
      <w:r w:rsidRPr="00835B56">
        <w:rPr>
          <w:rFonts w:eastAsia="Times New Roman"/>
        </w:rPr>
        <w:t>69)</w:t>
      </w:r>
    </w:p>
    <w:sectPr w:rsidR="00294ABB" w:rsidRPr="007165FB" w:rsidSect="00835B56">
      <w:pgSz w:w="16838" w:h="11906" w:orient="landscape"/>
      <w:pgMar w:top="1440" w:right="1440" w:bottom="1440" w:left="1440" w:header="709" w:footer="709"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2C5772" w14:textId="77777777" w:rsidR="001D6EEC" w:rsidRDefault="001D6EEC">
      <w:pPr>
        <w:spacing w:after="0"/>
      </w:pPr>
      <w:r>
        <w:separator/>
      </w:r>
    </w:p>
  </w:endnote>
  <w:endnote w:type="continuationSeparator" w:id="0">
    <w:p w14:paraId="7BA6A3E8" w14:textId="77777777" w:rsidR="001D6EEC" w:rsidRDefault="001D6EE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HGSMinchoE">
    <w:charset w:val="80"/>
    <w:family w:val="roman"/>
    <w:pitch w:val="variable"/>
    <w:sig w:usb0="E00002FF" w:usb1="2AC7EDFE" w:usb2="00000012" w:usb3="00000000" w:csb0="0002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621" w14:textId="792C2A9A" w:rsidR="001F4844" w:rsidRDefault="001F4844">
    <w:pPr>
      <w:pBdr>
        <w:top w:val="nil"/>
        <w:left w:val="nil"/>
        <w:bottom w:val="nil"/>
        <w:right w:val="nil"/>
        <w:between w:val="nil"/>
      </w:pBdr>
      <w:tabs>
        <w:tab w:val="center" w:pos="4513"/>
        <w:tab w:val="right" w:pos="9026"/>
      </w:tabs>
      <w:spacing w:after="0"/>
      <w:jc w:val="right"/>
      <w:rPr>
        <w:color w:val="000000"/>
      </w:rPr>
    </w:pPr>
    <w:r>
      <w:rPr>
        <w:color w:val="000000"/>
      </w:rPr>
      <w:fldChar w:fldCharType="begin"/>
    </w:r>
    <w:r>
      <w:rPr>
        <w:color w:val="000000"/>
      </w:rPr>
      <w:instrText>PAGE</w:instrText>
    </w:r>
    <w:r>
      <w:rPr>
        <w:color w:val="000000"/>
      </w:rPr>
      <w:fldChar w:fldCharType="separate"/>
    </w:r>
    <w:r w:rsidR="00FE04AF">
      <w:rPr>
        <w:noProof/>
        <w:color w:val="000000"/>
      </w:rPr>
      <w:t>ii</w:t>
    </w:r>
    <w:r>
      <w:rPr>
        <w:color w:val="000000"/>
      </w:rPr>
      <w:fldChar w:fldCharType="end"/>
    </w:r>
  </w:p>
  <w:p w14:paraId="00000622" w14:textId="77777777" w:rsidR="001F4844" w:rsidRDefault="001F4844">
    <w:pPr>
      <w:pBdr>
        <w:top w:val="nil"/>
        <w:left w:val="nil"/>
        <w:bottom w:val="nil"/>
        <w:right w:val="nil"/>
        <w:between w:val="nil"/>
      </w:pBdr>
      <w:tabs>
        <w:tab w:val="center" w:pos="4513"/>
        <w:tab w:val="right" w:pos="9026"/>
      </w:tabs>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6D7AE3" w14:textId="77777777" w:rsidR="001D6EEC" w:rsidRDefault="001D6EEC">
      <w:pPr>
        <w:spacing w:after="0"/>
      </w:pPr>
      <w:r>
        <w:separator/>
      </w:r>
    </w:p>
  </w:footnote>
  <w:footnote w:type="continuationSeparator" w:id="0">
    <w:p w14:paraId="3BC975A1" w14:textId="77777777" w:rsidR="001D6EEC" w:rsidRDefault="001D6EEC">
      <w:pPr>
        <w:spacing w:after="0"/>
      </w:pPr>
      <w:r>
        <w:continuationSeparator/>
      </w:r>
    </w:p>
  </w:footnote>
  <w:footnote w:id="1">
    <w:p w14:paraId="00000604" w14:textId="4CDD19DF" w:rsidR="001F4844" w:rsidRDefault="001F4844">
      <w:pPr>
        <w:pBdr>
          <w:top w:val="nil"/>
          <w:left w:val="nil"/>
          <w:bottom w:val="nil"/>
          <w:right w:val="nil"/>
          <w:between w:val="nil"/>
        </w:pBdr>
        <w:spacing w:after="0"/>
        <w:rPr>
          <w:color w:val="000000"/>
          <w:sz w:val="18"/>
          <w:szCs w:val="18"/>
        </w:rPr>
      </w:pPr>
      <w:r w:rsidRPr="00835B56">
        <w:rPr>
          <w:rStyle w:val="FootnoteReference"/>
          <w:sz w:val="18"/>
          <w:szCs w:val="18"/>
        </w:rPr>
        <w:footnoteRef/>
      </w:r>
      <w:r>
        <w:rPr>
          <w:color w:val="000000"/>
          <w:sz w:val="18"/>
          <w:szCs w:val="18"/>
        </w:rPr>
        <w:t xml:space="preserve"> </w:t>
      </w:r>
      <w:r w:rsidRPr="0023322A">
        <w:rPr>
          <w:color w:val="000000"/>
          <w:sz w:val="18"/>
          <w:szCs w:val="18"/>
        </w:rPr>
        <w:t>The seven national priority sectors are as follows: Sector 1: the Industrial Sector (Automotive, Clothing Textile Leather</w:t>
      </w:r>
      <w:r>
        <w:rPr>
          <w:color w:val="000000"/>
          <w:sz w:val="18"/>
          <w:szCs w:val="18"/>
        </w:rPr>
        <w:t xml:space="preserve"> and Footwear, Gas Chemicals and Plastics, Renewables/Green Economy, Steel and Metal Fabrication); Sector 2: Agriculture and Agro-processing; Sector 3: Mining (Minerals and Beneficiation); Sector 4: Tourism; Sector 5: High Tech Sectors/Knowledge based (Digital Economy, ICT and Software Production, Health Economy, Defence Economy); Sector 6: Creative Sector; Sector 7: Oceans Economy (</w:t>
      </w:r>
      <w:r>
        <w:rPr>
          <w:sz w:val="22"/>
          <w:szCs w:val="22"/>
        </w:rPr>
        <w:t>the dtic</w:t>
      </w:r>
      <w:r>
        <w:rPr>
          <w:color w:val="000000"/>
          <w:sz w:val="18"/>
          <w:szCs w:val="18"/>
        </w:rPr>
        <w:t>, 2019: 23).</w:t>
      </w:r>
    </w:p>
  </w:footnote>
  <w:footnote w:id="2">
    <w:p w14:paraId="00000605" w14:textId="2D25E19A" w:rsidR="001F4844" w:rsidRDefault="001F4844">
      <w:pPr>
        <w:rPr>
          <w:sz w:val="18"/>
          <w:szCs w:val="18"/>
        </w:rPr>
      </w:pPr>
      <w:r>
        <w:rPr>
          <w:rStyle w:val="FootnoteReference"/>
        </w:rPr>
        <w:footnoteRef/>
      </w:r>
      <w:r>
        <w:rPr>
          <w:sz w:val="18"/>
          <w:szCs w:val="18"/>
        </w:rPr>
        <w:t xml:space="preserve">The UNCTAD classification of creative services includes: Advertising, market research and public opinion polling services; Architectural, engineering and other technical services; Audio-visual and related services; Personal, cultural, and recreational services; Other personal, cultural, and recreational </w:t>
      </w:r>
      <w:sdt>
        <w:sdtPr>
          <w:tag w:val="goog_rdk_1"/>
          <w:id w:val="697973469"/>
        </w:sdtPr>
        <w:sdtEndPr/>
        <w:sdtContent/>
      </w:sdt>
      <w:r>
        <w:rPr>
          <w:sz w:val="18"/>
          <w:szCs w:val="18"/>
        </w:rPr>
        <w:t>service; and Research and development services.</w:t>
      </w:r>
    </w:p>
  </w:footnote>
  <w:footnote w:id="3">
    <w:p w14:paraId="00000606" w14:textId="7AD03E08" w:rsidR="001F4844" w:rsidRDefault="001F4844">
      <w:pPr>
        <w:pBdr>
          <w:top w:val="nil"/>
          <w:left w:val="nil"/>
          <w:bottom w:val="nil"/>
          <w:right w:val="nil"/>
          <w:between w:val="nil"/>
        </w:pBdr>
        <w:spacing w:after="0"/>
        <w:rPr>
          <w:color w:val="000000"/>
          <w:sz w:val="18"/>
          <w:szCs w:val="18"/>
        </w:rPr>
      </w:pPr>
      <w:r w:rsidRPr="00835B56">
        <w:rPr>
          <w:rStyle w:val="FootnoteReference"/>
          <w:sz w:val="18"/>
          <w:szCs w:val="18"/>
        </w:rPr>
        <w:footnoteRef/>
      </w:r>
      <w:r w:rsidRPr="0027640C">
        <w:rPr>
          <w:color w:val="000000"/>
          <w:sz w:val="18"/>
          <w:szCs w:val="18"/>
        </w:rPr>
        <w:t xml:space="preserve"> </w:t>
      </w:r>
      <w:r>
        <w:rPr>
          <w:color w:val="000000"/>
          <w:sz w:val="18"/>
          <w:szCs w:val="18"/>
        </w:rPr>
        <w:t>South Africa has highlighted the electronic games sub-sector as a focus area to support in Sector 6 (the Creative Sector) of the Re-imagined Industrial Strategy (</w:t>
      </w:r>
      <w:r w:rsidRPr="00BE3E59">
        <w:rPr>
          <w:color w:val="000000"/>
          <w:sz w:val="18"/>
          <w:szCs w:val="18"/>
        </w:rPr>
        <w:t>the dtic</w:t>
      </w:r>
      <w:r>
        <w:rPr>
          <w:color w:val="000000"/>
          <w:sz w:val="18"/>
          <w:szCs w:val="18"/>
        </w:rPr>
        <w:t>, 2019: 41). This suggests that, in future, it may be useful to use a weighting to estimate the video games component of HS code 950450. This is an area that warrants further research.</w:t>
      </w:r>
    </w:p>
  </w:footnote>
  <w:footnote w:id="4">
    <w:p w14:paraId="00000607" w14:textId="77777777" w:rsidR="001F4844" w:rsidRPr="0027640C" w:rsidRDefault="001F4844">
      <w:pPr>
        <w:pBdr>
          <w:top w:val="nil"/>
          <w:left w:val="nil"/>
          <w:bottom w:val="nil"/>
          <w:right w:val="nil"/>
          <w:between w:val="nil"/>
        </w:pBdr>
        <w:spacing w:after="0"/>
        <w:rPr>
          <w:color w:val="000000"/>
          <w:sz w:val="18"/>
          <w:szCs w:val="18"/>
        </w:rPr>
      </w:pPr>
      <w:r w:rsidRPr="00835B56">
        <w:rPr>
          <w:rStyle w:val="FootnoteReference"/>
          <w:sz w:val="18"/>
          <w:szCs w:val="18"/>
        </w:rPr>
        <w:footnoteRef/>
      </w:r>
      <w:r w:rsidRPr="0027640C">
        <w:rPr>
          <w:color w:val="000000"/>
          <w:sz w:val="18"/>
          <w:szCs w:val="18"/>
        </w:rPr>
        <w:t xml:space="preserve"> EBOPS 2002 is based on the fifth edition of the IMF’s Balance of Payments Manual (BPM), while EBOPS 2010 is based on the sixth edition of the BPM which South Africa and most other countries have now adopted.</w:t>
      </w:r>
    </w:p>
  </w:footnote>
  <w:footnote w:id="5">
    <w:p w14:paraId="00000608" w14:textId="77777777" w:rsidR="001F4844" w:rsidRDefault="001F4844">
      <w:pPr>
        <w:pBdr>
          <w:top w:val="nil"/>
          <w:left w:val="nil"/>
          <w:bottom w:val="nil"/>
          <w:right w:val="nil"/>
          <w:between w:val="nil"/>
        </w:pBdr>
        <w:spacing w:after="0"/>
        <w:rPr>
          <w:color w:val="000000"/>
          <w:sz w:val="18"/>
          <w:szCs w:val="18"/>
        </w:rPr>
      </w:pPr>
      <w:r w:rsidRPr="00835B56">
        <w:rPr>
          <w:rStyle w:val="FootnoteReference"/>
          <w:sz w:val="18"/>
          <w:szCs w:val="18"/>
        </w:rPr>
        <w:footnoteRef/>
      </w:r>
      <w:r w:rsidRPr="0027640C">
        <w:rPr>
          <w:color w:val="000000"/>
          <w:sz w:val="18"/>
          <w:szCs w:val="18"/>
        </w:rPr>
        <w:t xml:space="preserve"> An example of Mode 1 could be a legal practitioner in Mauritius giving advice to a South African client; Mode 2 includes, for example, consumption of services by South African tourists travelling abroad; Mode 3 would take place when a South African establishes a branch of a bank or other service company abroad. Finally, an example of Mode 4 supply of services would be an Iranian contractor working on a project in South Africa for a six-month period.</w:t>
      </w:r>
    </w:p>
  </w:footnote>
  <w:footnote w:id="6">
    <w:p w14:paraId="00000609" w14:textId="77777777" w:rsidR="001F4844" w:rsidRPr="0027640C" w:rsidRDefault="001F4844">
      <w:pPr>
        <w:pBdr>
          <w:top w:val="nil"/>
          <w:left w:val="nil"/>
          <w:bottom w:val="nil"/>
          <w:right w:val="nil"/>
          <w:between w:val="nil"/>
        </w:pBdr>
        <w:spacing w:after="0"/>
        <w:rPr>
          <w:color w:val="000000"/>
          <w:sz w:val="18"/>
          <w:szCs w:val="18"/>
        </w:rPr>
      </w:pPr>
      <w:r>
        <w:rPr>
          <w:rStyle w:val="FootnoteReference"/>
        </w:rPr>
        <w:footnoteRef/>
      </w:r>
      <w:r>
        <w:rPr>
          <w:color w:val="000000"/>
          <w:sz w:val="18"/>
          <w:szCs w:val="18"/>
        </w:rPr>
        <w:t xml:space="preserve"> </w:t>
      </w:r>
      <w:r w:rsidRPr="0027640C">
        <w:rPr>
          <w:color w:val="000000"/>
          <w:sz w:val="18"/>
          <w:szCs w:val="18"/>
        </w:rPr>
        <w:t>For example, the exchange of string musical instruments for jewellery would count as inter-industry trade, while the exchange of guitars for violins would be counted as intra-industry trade.</w:t>
      </w:r>
    </w:p>
  </w:footnote>
  <w:footnote w:id="7">
    <w:p w14:paraId="0000060A" w14:textId="77777777" w:rsidR="001F4844" w:rsidRPr="0027640C" w:rsidRDefault="001F4844">
      <w:pPr>
        <w:pBdr>
          <w:top w:val="nil"/>
          <w:left w:val="nil"/>
          <w:bottom w:val="nil"/>
          <w:right w:val="nil"/>
          <w:between w:val="nil"/>
        </w:pBdr>
        <w:spacing w:after="0"/>
        <w:rPr>
          <w:color w:val="000000"/>
          <w:sz w:val="18"/>
          <w:szCs w:val="18"/>
        </w:rPr>
      </w:pPr>
      <w:r w:rsidRPr="00835B56">
        <w:rPr>
          <w:rStyle w:val="FootnoteReference"/>
          <w:sz w:val="18"/>
          <w:szCs w:val="18"/>
        </w:rPr>
        <w:footnoteRef/>
      </w:r>
      <w:r w:rsidRPr="0027640C">
        <w:rPr>
          <w:color w:val="000000"/>
          <w:sz w:val="18"/>
          <w:szCs w:val="18"/>
        </w:rPr>
        <w:t xml:space="preserve"> The IIT formula for Domain j comprising i sub-sectors is as follows</w:t>
      </w:r>
      <w:r>
        <w:rPr>
          <w:color w:val="000000"/>
          <w:sz w:val="18"/>
          <w:szCs w:val="18"/>
        </w:rPr>
        <w:t>: C</w:t>
      </w:r>
      <w:r>
        <w:rPr>
          <w:color w:val="000000"/>
          <w:sz w:val="18"/>
          <w:szCs w:val="18"/>
          <w:vertAlign w:val="subscript"/>
        </w:rPr>
        <w:t>j</w:t>
      </w:r>
      <w:sdt>
        <w:sdtPr>
          <w:rPr>
            <w:sz w:val="18"/>
            <w:szCs w:val="18"/>
          </w:rPr>
          <w:tag w:val="goog_rdk_2"/>
          <w:id w:val="1875109159"/>
        </w:sdtPr>
        <w:sdtEndPr/>
        <w:sdtContent>
          <w:r w:rsidRPr="00835B56">
            <w:rPr>
              <w:rFonts w:eastAsia="Arial Unicode MS"/>
              <w:color w:val="000000"/>
              <w:sz w:val="18"/>
              <w:szCs w:val="18"/>
            </w:rPr>
            <w:t xml:space="preserve"> = (1 - (∑│Xij - Mij│) / (Xj + Mj))) x 100 (Greenaway and Milner, 1983: 905).</w:t>
          </w:r>
        </w:sdtContent>
      </w:sdt>
    </w:p>
  </w:footnote>
  <w:footnote w:id="8">
    <w:p w14:paraId="0000060B" w14:textId="4D23831F" w:rsidR="001F4844" w:rsidRDefault="001F4844">
      <w:pPr>
        <w:pBdr>
          <w:top w:val="nil"/>
          <w:left w:val="nil"/>
          <w:bottom w:val="nil"/>
          <w:right w:val="nil"/>
          <w:between w:val="nil"/>
        </w:pBdr>
        <w:spacing w:after="0"/>
        <w:rPr>
          <w:color w:val="000000"/>
          <w:sz w:val="18"/>
          <w:szCs w:val="18"/>
        </w:rPr>
      </w:pPr>
      <w:r w:rsidRPr="00835B56">
        <w:rPr>
          <w:rStyle w:val="FootnoteReference"/>
          <w:sz w:val="18"/>
          <w:szCs w:val="18"/>
        </w:rPr>
        <w:footnoteRef/>
      </w:r>
      <w:r w:rsidRPr="0027640C">
        <w:rPr>
          <w:color w:val="000000"/>
          <w:sz w:val="18"/>
          <w:szCs w:val="18"/>
        </w:rPr>
        <w:t xml:space="preserve"> See Cattaneo and Snowball (2020: 29–32). The IIT indices for 2019 rather than 2020 are computed in this report because of the trade-distorting impact of the pandemic, particularly in the second quarter of 2020. A different measure, namely </w:t>
      </w:r>
      <w:r w:rsidRPr="0027640C">
        <w:rPr>
          <w:i/>
          <w:color w:val="000000"/>
          <w:sz w:val="18"/>
          <w:szCs w:val="18"/>
        </w:rPr>
        <w:t>marginal</w:t>
      </w:r>
      <w:r w:rsidRPr="0027640C">
        <w:rPr>
          <w:color w:val="000000"/>
          <w:sz w:val="18"/>
          <w:szCs w:val="18"/>
        </w:rPr>
        <w:t xml:space="preserve"> IIT, is better suited to the study of trends in intra-industry specialisation and could be</w:t>
      </w:r>
      <w:r>
        <w:rPr>
          <w:color w:val="000000"/>
          <w:sz w:val="18"/>
          <w:szCs w:val="18"/>
        </w:rPr>
        <w:t xml:space="preserve"> calculated for the periods before and during the pandemic. This would be an interesting area of future research.</w:t>
      </w:r>
    </w:p>
  </w:footnote>
  <w:footnote w:id="9">
    <w:p w14:paraId="0000060C" w14:textId="77777777" w:rsidR="001F4844" w:rsidRPr="0027640C" w:rsidRDefault="001F4844">
      <w:pPr>
        <w:pBdr>
          <w:top w:val="nil"/>
          <w:left w:val="nil"/>
          <w:bottom w:val="nil"/>
          <w:right w:val="nil"/>
          <w:between w:val="nil"/>
        </w:pBdr>
        <w:spacing w:after="0"/>
        <w:rPr>
          <w:color w:val="000000"/>
          <w:sz w:val="18"/>
          <w:szCs w:val="18"/>
        </w:rPr>
      </w:pPr>
      <w:r w:rsidRPr="00835B56">
        <w:rPr>
          <w:rStyle w:val="FootnoteReference"/>
          <w:sz w:val="18"/>
          <w:szCs w:val="18"/>
        </w:rPr>
        <w:footnoteRef/>
      </w:r>
      <w:r w:rsidRPr="0027640C">
        <w:rPr>
          <w:color w:val="000000"/>
          <w:sz w:val="18"/>
          <w:szCs w:val="18"/>
        </w:rPr>
        <w:t xml:space="preserve"> The formulae for each are as follows:</w:t>
      </w:r>
    </w:p>
    <w:p w14:paraId="0000060D" w14:textId="77777777" w:rsidR="001F4844" w:rsidRDefault="001F4844">
      <w:pPr>
        <w:pBdr>
          <w:top w:val="nil"/>
          <w:left w:val="nil"/>
          <w:bottom w:val="nil"/>
          <w:right w:val="nil"/>
          <w:between w:val="nil"/>
        </w:pBdr>
        <w:spacing w:after="0"/>
        <w:rPr>
          <w:color w:val="000000"/>
          <w:sz w:val="18"/>
          <w:szCs w:val="18"/>
        </w:rPr>
      </w:pPr>
    </w:p>
    <w:p w14:paraId="0000060E" w14:textId="77777777" w:rsidR="001F4844" w:rsidRDefault="001D6EEC" w:rsidP="00835B56">
      <w:pPr>
        <w:pBdr>
          <w:top w:val="nil"/>
          <w:left w:val="nil"/>
          <w:bottom w:val="nil"/>
          <w:right w:val="nil"/>
          <w:between w:val="nil"/>
        </w:pBdr>
        <w:spacing w:after="0"/>
        <w:ind w:firstLine="720"/>
        <w:rPr>
          <w:color w:val="000000"/>
          <w:sz w:val="18"/>
          <w:szCs w:val="18"/>
        </w:rPr>
      </w:pPr>
      <w:sdt>
        <w:sdtPr>
          <w:tag w:val="goog_rdk_3"/>
          <w:id w:val="-2105491865"/>
        </w:sdtPr>
        <w:sdtEndPr/>
        <w:sdtContent>
          <w:r w:rsidR="001F4844">
            <w:rPr>
              <w:rFonts w:ascii="Arial Unicode MS" w:eastAsia="Arial Unicode MS" w:hAnsi="Arial Unicode MS" w:cs="Arial Unicode MS"/>
              <w:color w:val="000000"/>
              <w:sz w:val="18"/>
              <w:szCs w:val="18"/>
            </w:rPr>
            <w:t>SAEXPTCI = 100 [ 1 - ∑ │saexp</w:t>
          </w:r>
        </w:sdtContent>
      </w:sdt>
      <w:r w:rsidR="001F4844">
        <w:rPr>
          <w:color w:val="000000"/>
          <w:sz w:val="18"/>
          <w:szCs w:val="18"/>
          <w:vertAlign w:val="subscript"/>
        </w:rPr>
        <w:t>i</w:t>
      </w:r>
      <w:r w:rsidR="001F4844">
        <w:rPr>
          <w:color w:val="000000"/>
          <w:sz w:val="18"/>
          <w:szCs w:val="18"/>
        </w:rPr>
        <w:t xml:space="preserve"> – partimp</w:t>
      </w:r>
      <w:r w:rsidR="001F4844">
        <w:rPr>
          <w:color w:val="000000"/>
          <w:sz w:val="18"/>
          <w:szCs w:val="18"/>
          <w:vertAlign w:val="subscript"/>
        </w:rPr>
        <w:t>i</w:t>
      </w:r>
      <w:r w:rsidR="001F4844">
        <w:rPr>
          <w:color w:val="000000"/>
          <w:sz w:val="18"/>
          <w:szCs w:val="18"/>
        </w:rPr>
        <w:t xml:space="preserve">│/2 ] </w:t>
      </w:r>
    </w:p>
    <w:p w14:paraId="0000060F" w14:textId="68B82AF1" w:rsidR="001F4844" w:rsidRDefault="001D6EEC">
      <w:pPr>
        <w:pBdr>
          <w:top w:val="nil"/>
          <w:left w:val="nil"/>
          <w:bottom w:val="nil"/>
          <w:right w:val="nil"/>
          <w:between w:val="nil"/>
        </w:pBdr>
        <w:spacing w:after="0"/>
        <w:rPr>
          <w:color w:val="000000"/>
          <w:sz w:val="18"/>
          <w:szCs w:val="18"/>
        </w:rPr>
      </w:pPr>
      <w:sdt>
        <w:sdtPr>
          <w:tag w:val="goog_rdk_4"/>
          <w:id w:val="-329683439"/>
        </w:sdtPr>
        <w:sdtEndPr/>
        <w:sdtContent>
          <w:r w:rsidR="001F4844">
            <w:rPr>
              <w:rFonts w:ascii="Arial Unicode MS" w:eastAsia="Arial Unicode MS" w:hAnsi="Arial Unicode MS" w:cs="Arial Unicode MS"/>
              <w:color w:val="000000"/>
              <w:sz w:val="18"/>
              <w:szCs w:val="18"/>
            </w:rPr>
            <w:t>where ∑ is the sum across all relevant sub-sectors,</w:t>
          </w:r>
        </w:sdtContent>
      </w:sdt>
    </w:p>
    <w:p w14:paraId="00000610" w14:textId="58F2E73A" w:rsidR="001F4844" w:rsidRDefault="001F4844">
      <w:pPr>
        <w:pBdr>
          <w:top w:val="nil"/>
          <w:left w:val="nil"/>
          <w:bottom w:val="nil"/>
          <w:right w:val="nil"/>
          <w:between w:val="nil"/>
        </w:pBdr>
        <w:spacing w:after="0"/>
        <w:rPr>
          <w:color w:val="000000"/>
          <w:sz w:val="18"/>
          <w:szCs w:val="18"/>
        </w:rPr>
      </w:pPr>
      <w:r>
        <w:rPr>
          <w:color w:val="000000"/>
          <w:sz w:val="18"/>
          <w:szCs w:val="18"/>
        </w:rPr>
        <w:t>saexp</w:t>
      </w:r>
      <w:r>
        <w:rPr>
          <w:color w:val="000000"/>
          <w:sz w:val="18"/>
          <w:szCs w:val="18"/>
          <w:vertAlign w:val="subscript"/>
        </w:rPr>
        <w:t>i</w:t>
      </w:r>
      <w:r>
        <w:rPr>
          <w:color w:val="000000"/>
          <w:sz w:val="18"/>
          <w:szCs w:val="18"/>
        </w:rPr>
        <w:t xml:space="preserve"> is the share of sub-sector i in South Africa’s total cultural good exports to the world, and</w:t>
      </w:r>
    </w:p>
    <w:p w14:paraId="00000611" w14:textId="77777777" w:rsidR="001F4844" w:rsidRDefault="001F4844">
      <w:pPr>
        <w:pBdr>
          <w:top w:val="nil"/>
          <w:left w:val="nil"/>
          <w:bottom w:val="nil"/>
          <w:right w:val="nil"/>
          <w:between w:val="nil"/>
        </w:pBdr>
        <w:spacing w:after="0"/>
        <w:rPr>
          <w:color w:val="000000"/>
          <w:sz w:val="18"/>
          <w:szCs w:val="18"/>
        </w:rPr>
      </w:pPr>
      <w:r>
        <w:rPr>
          <w:color w:val="000000"/>
          <w:sz w:val="18"/>
          <w:szCs w:val="18"/>
        </w:rPr>
        <w:t>partimp</w:t>
      </w:r>
      <w:r>
        <w:rPr>
          <w:color w:val="000000"/>
          <w:sz w:val="18"/>
          <w:szCs w:val="18"/>
          <w:vertAlign w:val="subscript"/>
        </w:rPr>
        <w:t>i</w:t>
      </w:r>
      <w:r>
        <w:rPr>
          <w:color w:val="000000"/>
          <w:sz w:val="18"/>
          <w:szCs w:val="18"/>
        </w:rPr>
        <w:t xml:space="preserve"> is the share of sub-sector i in the partner country’s total cultural good imports from the world.</w:t>
      </w:r>
    </w:p>
    <w:p w14:paraId="00000612" w14:textId="77777777" w:rsidR="001F4844" w:rsidRDefault="001F4844">
      <w:pPr>
        <w:pBdr>
          <w:top w:val="nil"/>
          <w:left w:val="nil"/>
          <w:bottom w:val="nil"/>
          <w:right w:val="nil"/>
          <w:between w:val="nil"/>
        </w:pBdr>
        <w:spacing w:after="0"/>
        <w:rPr>
          <w:color w:val="000000"/>
          <w:sz w:val="18"/>
          <w:szCs w:val="18"/>
        </w:rPr>
      </w:pPr>
    </w:p>
    <w:p w14:paraId="00000613" w14:textId="77777777" w:rsidR="001F4844" w:rsidRDefault="001D6EEC" w:rsidP="00835B56">
      <w:pPr>
        <w:pBdr>
          <w:top w:val="nil"/>
          <w:left w:val="nil"/>
          <w:bottom w:val="nil"/>
          <w:right w:val="nil"/>
          <w:between w:val="nil"/>
        </w:pBdr>
        <w:spacing w:after="0"/>
        <w:ind w:firstLine="720"/>
        <w:rPr>
          <w:color w:val="000000"/>
          <w:sz w:val="18"/>
          <w:szCs w:val="18"/>
        </w:rPr>
      </w:pPr>
      <w:sdt>
        <w:sdtPr>
          <w:tag w:val="goog_rdk_5"/>
          <w:id w:val="-454093919"/>
        </w:sdtPr>
        <w:sdtEndPr/>
        <w:sdtContent>
          <w:r w:rsidR="001F4844">
            <w:rPr>
              <w:rFonts w:ascii="Arial Unicode MS" w:eastAsia="Arial Unicode MS" w:hAnsi="Arial Unicode MS" w:cs="Arial Unicode MS"/>
              <w:color w:val="000000"/>
              <w:sz w:val="18"/>
              <w:szCs w:val="18"/>
            </w:rPr>
            <w:t>SAIMPTCI = 100 [ 1 - ∑ │saimp</w:t>
          </w:r>
        </w:sdtContent>
      </w:sdt>
      <w:r w:rsidR="001F4844">
        <w:rPr>
          <w:color w:val="000000"/>
          <w:sz w:val="18"/>
          <w:szCs w:val="18"/>
          <w:vertAlign w:val="subscript"/>
        </w:rPr>
        <w:t>i</w:t>
      </w:r>
      <w:r w:rsidR="001F4844">
        <w:rPr>
          <w:color w:val="000000"/>
          <w:sz w:val="18"/>
          <w:szCs w:val="18"/>
        </w:rPr>
        <w:t xml:space="preserve"> – partexp</w:t>
      </w:r>
      <w:r w:rsidR="001F4844">
        <w:rPr>
          <w:color w:val="000000"/>
          <w:sz w:val="18"/>
          <w:szCs w:val="18"/>
          <w:vertAlign w:val="subscript"/>
        </w:rPr>
        <w:t>i</w:t>
      </w:r>
      <w:r w:rsidR="001F4844">
        <w:rPr>
          <w:color w:val="000000"/>
          <w:sz w:val="18"/>
          <w:szCs w:val="18"/>
        </w:rPr>
        <w:t xml:space="preserve">│/2 ] </w:t>
      </w:r>
    </w:p>
    <w:p w14:paraId="00000614" w14:textId="0830BE04" w:rsidR="001F4844" w:rsidRDefault="001D6EEC">
      <w:pPr>
        <w:pBdr>
          <w:top w:val="nil"/>
          <w:left w:val="nil"/>
          <w:bottom w:val="nil"/>
          <w:right w:val="nil"/>
          <w:between w:val="nil"/>
        </w:pBdr>
        <w:spacing w:after="0"/>
        <w:rPr>
          <w:color w:val="000000"/>
          <w:sz w:val="18"/>
          <w:szCs w:val="18"/>
        </w:rPr>
      </w:pPr>
      <w:sdt>
        <w:sdtPr>
          <w:tag w:val="goog_rdk_6"/>
          <w:id w:val="1416974824"/>
        </w:sdtPr>
        <w:sdtEndPr/>
        <w:sdtContent>
          <w:r w:rsidR="001F4844">
            <w:rPr>
              <w:rFonts w:ascii="Arial Unicode MS" w:eastAsia="Arial Unicode MS" w:hAnsi="Arial Unicode MS" w:cs="Arial Unicode MS"/>
              <w:color w:val="000000"/>
              <w:sz w:val="18"/>
              <w:szCs w:val="18"/>
            </w:rPr>
            <w:t>where ∑ is the sum across all relevant sub-sectors,</w:t>
          </w:r>
        </w:sdtContent>
      </w:sdt>
    </w:p>
    <w:p w14:paraId="00000615" w14:textId="21B153C4" w:rsidR="001F4844" w:rsidRDefault="001F4844">
      <w:pPr>
        <w:pBdr>
          <w:top w:val="nil"/>
          <w:left w:val="nil"/>
          <w:bottom w:val="nil"/>
          <w:right w:val="nil"/>
          <w:between w:val="nil"/>
        </w:pBdr>
        <w:spacing w:after="0"/>
        <w:rPr>
          <w:color w:val="000000"/>
          <w:sz w:val="18"/>
          <w:szCs w:val="18"/>
        </w:rPr>
      </w:pPr>
      <w:r>
        <w:rPr>
          <w:color w:val="000000"/>
          <w:sz w:val="18"/>
          <w:szCs w:val="18"/>
        </w:rPr>
        <w:t>saimp</w:t>
      </w:r>
      <w:r>
        <w:rPr>
          <w:color w:val="000000"/>
          <w:sz w:val="18"/>
          <w:szCs w:val="18"/>
          <w:vertAlign w:val="subscript"/>
        </w:rPr>
        <w:t>i</w:t>
      </w:r>
      <w:r>
        <w:rPr>
          <w:color w:val="000000"/>
          <w:sz w:val="18"/>
          <w:szCs w:val="18"/>
        </w:rPr>
        <w:t xml:space="preserve"> is the share of sub-sector i in South Africa’s total cultural good imports from the world, and</w:t>
      </w:r>
    </w:p>
    <w:p w14:paraId="00000616" w14:textId="77777777" w:rsidR="001F4844" w:rsidRDefault="001F4844">
      <w:pPr>
        <w:pBdr>
          <w:top w:val="nil"/>
          <w:left w:val="nil"/>
          <w:bottom w:val="nil"/>
          <w:right w:val="nil"/>
          <w:between w:val="nil"/>
        </w:pBdr>
        <w:spacing w:after="0"/>
        <w:rPr>
          <w:color w:val="000000"/>
          <w:sz w:val="18"/>
          <w:szCs w:val="18"/>
        </w:rPr>
      </w:pPr>
      <w:r>
        <w:rPr>
          <w:color w:val="000000"/>
          <w:sz w:val="18"/>
          <w:szCs w:val="18"/>
        </w:rPr>
        <w:t>partexp</w:t>
      </w:r>
      <w:r>
        <w:rPr>
          <w:color w:val="000000"/>
          <w:sz w:val="18"/>
          <w:szCs w:val="18"/>
          <w:vertAlign w:val="subscript"/>
        </w:rPr>
        <w:t>i</w:t>
      </w:r>
      <w:r>
        <w:rPr>
          <w:color w:val="000000"/>
          <w:sz w:val="18"/>
          <w:szCs w:val="18"/>
        </w:rPr>
        <w:t xml:space="preserve"> is the share of sub-sector i in the partner country’s total cultural </w:t>
      </w:r>
      <w:sdt>
        <w:sdtPr>
          <w:tag w:val="goog_rdk_7"/>
          <w:id w:val="2095352580"/>
        </w:sdtPr>
        <w:sdtEndPr/>
        <w:sdtContent/>
      </w:sdt>
      <w:r>
        <w:rPr>
          <w:color w:val="000000"/>
          <w:sz w:val="18"/>
          <w:szCs w:val="18"/>
        </w:rPr>
        <w:t>good exports to the world.</w:t>
      </w:r>
    </w:p>
  </w:footnote>
  <w:footnote w:id="10">
    <w:p w14:paraId="00000617" w14:textId="77777777" w:rsidR="001F4844" w:rsidRDefault="001F4844">
      <w:pPr>
        <w:pBdr>
          <w:top w:val="nil"/>
          <w:left w:val="nil"/>
          <w:bottom w:val="nil"/>
          <w:right w:val="nil"/>
          <w:between w:val="nil"/>
        </w:pBdr>
        <w:spacing w:after="0"/>
        <w:rPr>
          <w:color w:val="000000"/>
          <w:sz w:val="18"/>
          <w:szCs w:val="18"/>
        </w:rPr>
      </w:pPr>
      <w:r w:rsidRPr="00835B56">
        <w:rPr>
          <w:rStyle w:val="FootnoteReference"/>
          <w:sz w:val="18"/>
          <w:szCs w:val="18"/>
        </w:rPr>
        <w:footnoteRef/>
      </w:r>
      <w:r w:rsidRPr="0027640C">
        <w:rPr>
          <w:color w:val="000000"/>
          <w:sz w:val="18"/>
          <w:szCs w:val="18"/>
        </w:rPr>
        <w:t xml:space="preserve"> Note</w:t>
      </w:r>
      <w:r>
        <w:rPr>
          <w:color w:val="000000"/>
          <w:sz w:val="18"/>
          <w:szCs w:val="18"/>
        </w:rPr>
        <w:t xml:space="preserve"> that a longer time series and share analysis covering all the years from 2001 to 2020 is provided in Chapter 5 of the mapping study on the South African Creative Economy in Historical Context.</w:t>
      </w:r>
    </w:p>
  </w:footnote>
  <w:footnote w:id="11">
    <w:p w14:paraId="00000618" w14:textId="1F27CFD3" w:rsidR="001F4844" w:rsidRPr="0027640C" w:rsidRDefault="001F4844">
      <w:pPr>
        <w:pBdr>
          <w:top w:val="nil"/>
          <w:left w:val="nil"/>
          <w:bottom w:val="nil"/>
          <w:right w:val="nil"/>
          <w:between w:val="nil"/>
        </w:pBdr>
        <w:spacing w:after="0"/>
        <w:rPr>
          <w:color w:val="000000"/>
          <w:sz w:val="18"/>
          <w:szCs w:val="18"/>
        </w:rPr>
      </w:pPr>
      <w:r w:rsidRPr="00835B56">
        <w:rPr>
          <w:rStyle w:val="FootnoteReference"/>
          <w:sz w:val="18"/>
          <w:szCs w:val="18"/>
        </w:rPr>
        <w:footnoteRef/>
      </w:r>
      <w:r w:rsidRPr="0027640C">
        <w:rPr>
          <w:color w:val="000000"/>
          <w:sz w:val="18"/>
          <w:szCs w:val="18"/>
        </w:rPr>
        <w:t xml:space="preserve"> As noted earlier, a small part of the decrease in imports from 2016 onwards was due to the reallocation of the video games out of cultural goods trade. However, the import trend remains the same even without this aspect.</w:t>
      </w:r>
    </w:p>
  </w:footnote>
  <w:footnote w:id="12">
    <w:p w14:paraId="00000619" w14:textId="77777777" w:rsidR="001F4844" w:rsidRPr="0027640C" w:rsidRDefault="001F4844">
      <w:pPr>
        <w:pBdr>
          <w:top w:val="nil"/>
          <w:left w:val="nil"/>
          <w:bottom w:val="nil"/>
          <w:right w:val="nil"/>
          <w:between w:val="nil"/>
        </w:pBdr>
        <w:spacing w:after="0"/>
        <w:rPr>
          <w:color w:val="000000"/>
          <w:sz w:val="18"/>
          <w:szCs w:val="18"/>
        </w:rPr>
      </w:pPr>
      <w:r w:rsidRPr="00835B56">
        <w:rPr>
          <w:rStyle w:val="FootnoteReference"/>
          <w:sz w:val="18"/>
          <w:szCs w:val="18"/>
        </w:rPr>
        <w:footnoteRef/>
      </w:r>
      <w:r w:rsidRPr="0027640C">
        <w:rPr>
          <w:color w:val="000000"/>
          <w:sz w:val="18"/>
          <w:szCs w:val="18"/>
        </w:rPr>
        <w:t xml:space="preserve"> As noted in Section 3.2, a more detailed share analysis for the whole period from 2001 to 2020 is presented in Chapter 5 of the mapping study on South Africa’s creative economy in historical perspective.</w:t>
      </w:r>
    </w:p>
  </w:footnote>
  <w:footnote w:id="13">
    <w:p w14:paraId="0000061A" w14:textId="555C99A8" w:rsidR="001F4844" w:rsidRPr="0027640C" w:rsidRDefault="001F4844">
      <w:pPr>
        <w:pBdr>
          <w:top w:val="nil"/>
          <w:left w:val="nil"/>
          <w:bottom w:val="nil"/>
          <w:right w:val="nil"/>
          <w:between w:val="nil"/>
        </w:pBdr>
        <w:spacing w:after="0"/>
        <w:rPr>
          <w:color w:val="000000"/>
          <w:sz w:val="18"/>
          <w:szCs w:val="18"/>
        </w:rPr>
      </w:pPr>
      <w:r w:rsidRPr="00835B56">
        <w:rPr>
          <w:rStyle w:val="FootnoteReference"/>
          <w:sz w:val="18"/>
          <w:szCs w:val="18"/>
        </w:rPr>
        <w:footnoteRef/>
      </w:r>
      <w:r w:rsidRPr="0027640C">
        <w:rPr>
          <w:color w:val="000000"/>
          <w:sz w:val="18"/>
          <w:szCs w:val="18"/>
        </w:rPr>
        <w:t xml:space="preserve"> A more detailed analysis of the evolving composition of South Africa’s cultural goods trade by domain for the period 2001–2020, as well as the trade balance by domain, is provided in Chapter 5 of the mapping study on the country’s creative economy in historical perspective.</w:t>
      </w:r>
    </w:p>
  </w:footnote>
  <w:footnote w:id="14">
    <w:p w14:paraId="0000061B" w14:textId="77777777" w:rsidR="001F4844" w:rsidRPr="0027640C" w:rsidRDefault="001F4844">
      <w:pPr>
        <w:pBdr>
          <w:top w:val="nil"/>
          <w:left w:val="nil"/>
          <w:bottom w:val="nil"/>
          <w:right w:val="nil"/>
          <w:between w:val="nil"/>
        </w:pBdr>
        <w:spacing w:after="0"/>
        <w:rPr>
          <w:color w:val="000000"/>
          <w:sz w:val="18"/>
          <w:szCs w:val="18"/>
        </w:rPr>
      </w:pPr>
      <w:r w:rsidRPr="00835B56">
        <w:rPr>
          <w:rStyle w:val="FootnoteReference"/>
          <w:sz w:val="18"/>
          <w:szCs w:val="18"/>
        </w:rPr>
        <w:footnoteRef/>
      </w:r>
      <w:r w:rsidRPr="0027640C">
        <w:rPr>
          <w:color w:val="000000"/>
          <w:sz w:val="18"/>
          <w:szCs w:val="18"/>
        </w:rPr>
        <w:t xml:space="preserve"> As noted in Section 3.2, the regional analysis in this section complements the share analysis in Chapter 5 of changes in the composition of South Africa’s top twenty individual cultural good trading partners over time.</w:t>
      </w:r>
    </w:p>
  </w:footnote>
  <w:footnote w:id="15">
    <w:p w14:paraId="0000061C" w14:textId="77777777" w:rsidR="001F4844" w:rsidRPr="0027640C" w:rsidRDefault="001F4844">
      <w:pPr>
        <w:pBdr>
          <w:top w:val="nil"/>
          <w:left w:val="nil"/>
          <w:bottom w:val="nil"/>
          <w:right w:val="nil"/>
          <w:between w:val="nil"/>
        </w:pBdr>
        <w:spacing w:after="0"/>
        <w:rPr>
          <w:color w:val="000000"/>
          <w:sz w:val="18"/>
          <w:szCs w:val="18"/>
        </w:rPr>
      </w:pPr>
      <w:r w:rsidRPr="00835B56">
        <w:rPr>
          <w:rStyle w:val="FootnoteReference"/>
          <w:sz w:val="18"/>
          <w:szCs w:val="18"/>
        </w:rPr>
        <w:footnoteRef/>
      </w:r>
      <w:r w:rsidRPr="0027640C">
        <w:rPr>
          <w:color w:val="000000"/>
          <w:sz w:val="18"/>
          <w:szCs w:val="18"/>
        </w:rPr>
        <w:t xml:space="preserve"> Since Brazil and China are part of BRICS, they are excluded from Latin America and East Asia respectively to avoid double-counting. Also note that not all regions are included in Table 5 and hence the regional shares do not add up to 100.</w:t>
      </w:r>
    </w:p>
  </w:footnote>
  <w:footnote w:id="16">
    <w:p w14:paraId="0000061D" w14:textId="77777777" w:rsidR="001F4844" w:rsidRPr="0027640C" w:rsidRDefault="001F4844">
      <w:pPr>
        <w:pBdr>
          <w:top w:val="nil"/>
          <w:left w:val="nil"/>
          <w:bottom w:val="nil"/>
          <w:right w:val="nil"/>
          <w:between w:val="nil"/>
        </w:pBdr>
        <w:spacing w:after="0"/>
        <w:rPr>
          <w:color w:val="000000"/>
          <w:sz w:val="18"/>
          <w:szCs w:val="18"/>
        </w:rPr>
      </w:pPr>
      <w:r w:rsidRPr="00835B56">
        <w:rPr>
          <w:rStyle w:val="FootnoteReference"/>
          <w:sz w:val="18"/>
          <w:szCs w:val="18"/>
        </w:rPr>
        <w:footnoteRef/>
      </w:r>
      <w:r w:rsidRPr="0027640C">
        <w:rPr>
          <w:color w:val="000000"/>
          <w:sz w:val="18"/>
          <w:szCs w:val="18"/>
        </w:rPr>
        <w:t xml:space="preserve"> Including the UK since the table is for 2019.</w:t>
      </w:r>
    </w:p>
  </w:footnote>
  <w:footnote w:id="17">
    <w:p w14:paraId="0000061E" w14:textId="77777777" w:rsidR="001F4844" w:rsidRPr="0027640C" w:rsidRDefault="001F4844">
      <w:pPr>
        <w:pBdr>
          <w:top w:val="nil"/>
          <w:left w:val="nil"/>
          <w:bottom w:val="nil"/>
          <w:right w:val="nil"/>
          <w:between w:val="nil"/>
        </w:pBdr>
        <w:spacing w:after="0"/>
        <w:rPr>
          <w:color w:val="000000"/>
          <w:sz w:val="18"/>
          <w:szCs w:val="18"/>
        </w:rPr>
      </w:pPr>
      <w:r w:rsidRPr="00835B56">
        <w:rPr>
          <w:rStyle w:val="FootnoteReference"/>
          <w:sz w:val="18"/>
          <w:szCs w:val="18"/>
        </w:rPr>
        <w:footnoteRef/>
      </w:r>
      <w:r w:rsidRPr="0027640C">
        <w:rPr>
          <w:color w:val="000000"/>
          <w:sz w:val="18"/>
          <w:szCs w:val="18"/>
        </w:rPr>
        <w:t xml:space="preserve"> South Africa and its SACU partners are all members of SADC.</w:t>
      </w:r>
    </w:p>
  </w:footnote>
  <w:footnote w:id="18">
    <w:p w14:paraId="0000061F" w14:textId="77777777" w:rsidR="001F4844" w:rsidRPr="0027640C" w:rsidRDefault="001F4844">
      <w:pPr>
        <w:pBdr>
          <w:top w:val="nil"/>
          <w:left w:val="nil"/>
          <w:bottom w:val="nil"/>
          <w:right w:val="nil"/>
          <w:between w:val="nil"/>
        </w:pBdr>
        <w:spacing w:after="0"/>
        <w:rPr>
          <w:color w:val="000000"/>
          <w:sz w:val="18"/>
          <w:szCs w:val="18"/>
        </w:rPr>
      </w:pPr>
      <w:r w:rsidRPr="00835B56">
        <w:rPr>
          <w:rStyle w:val="FootnoteReference"/>
          <w:sz w:val="18"/>
          <w:szCs w:val="18"/>
        </w:rPr>
        <w:footnoteRef/>
      </w:r>
      <w:r w:rsidRPr="0027640C">
        <w:rPr>
          <w:color w:val="000000"/>
          <w:sz w:val="18"/>
          <w:szCs w:val="18"/>
        </w:rPr>
        <w:t xml:space="preserve"> The specific categories of importance within each domain were noted earlier.</w:t>
      </w:r>
    </w:p>
  </w:footnote>
  <w:footnote w:id="19">
    <w:p w14:paraId="00000620" w14:textId="77777777" w:rsidR="001F4844" w:rsidRPr="0027640C" w:rsidRDefault="001F4844">
      <w:pPr>
        <w:pBdr>
          <w:top w:val="nil"/>
          <w:left w:val="nil"/>
          <w:bottom w:val="nil"/>
          <w:right w:val="nil"/>
          <w:between w:val="nil"/>
        </w:pBdr>
        <w:spacing w:after="0"/>
        <w:rPr>
          <w:color w:val="000000"/>
          <w:sz w:val="18"/>
          <w:szCs w:val="18"/>
        </w:rPr>
      </w:pPr>
      <w:r w:rsidRPr="00835B56">
        <w:rPr>
          <w:rStyle w:val="FootnoteReference"/>
          <w:sz w:val="18"/>
          <w:szCs w:val="18"/>
        </w:rPr>
        <w:footnoteRef/>
      </w:r>
      <w:r w:rsidRPr="0027640C">
        <w:rPr>
          <w:color w:val="000000"/>
          <w:sz w:val="18"/>
          <w:szCs w:val="18"/>
        </w:rPr>
        <w:t xml:space="preserve"> IIT at the domain level is calculated using the trade shares of products within that domain as the weights. IIT for total cultural goods trade uses the domain trade shares as weights (Cattaneo and Snowball, 2020: 29).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FC20B2"/>
    <w:multiLevelType w:val="hybridMultilevel"/>
    <w:tmpl w:val="2BFE315C"/>
    <w:lvl w:ilvl="0" w:tplc="1C09000B">
      <w:start w:val="1"/>
      <w:numFmt w:val="bullet"/>
      <w:lvlText w:val=""/>
      <w:lvlJc w:val="left"/>
      <w:pPr>
        <w:ind w:left="360" w:hanging="360"/>
      </w:pPr>
      <w:rPr>
        <w:rFonts w:ascii="Wingdings" w:hAnsi="Wingdings"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 w15:restartNumberingAfterBreak="0">
    <w:nsid w:val="3D3716DE"/>
    <w:multiLevelType w:val="multilevel"/>
    <w:tmpl w:val="FB160EC6"/>
    <w:lvl w:ilvl="0">
      <w:start w:val="1"/>
      <w:numFmt w:val="decimal"/>
      <w:pStyle w:val="ListParagrap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6F927860"/>
    <w:multiLevelType w:val="multilevel"/>
    <w:tmpl w:val="ADA2C148"/>
    <w:lvl w:ilvl="0">
      <w:start w:val="1"/>
      <w:numFmt w:val="decimal"/>
      <w:pStyle w:val="Heading1"/>
      <w:lvlText w:val="%1"/>
      <w:lvlJc w:val="left"/>
      <w:pPr>
        <w:ind w:left="432" w:hanging="432"/>
      </w:pPr>
    </w:lvl>
    <w:lvl w:ilvl="1">
      <w:start w:val="1"/>
      <w:numFmt w:val="decimal"/>
      <w:pStyle w:val="Heading2"/>
      <w:lvlText w:val="%1.%2"/>
      <w:lvlJc w:val="left"/>
      <w:pPr>
        <w:ind w:left="936" w:hanging="576"/>
      </w:pPr>
    </w:lvl>
    <w:lvl w:ilvl="2">
      <w:start w:val="1"/>
      <w:numFmt w:val="decimal"/>
      <w:pStyle w:val="Heading3"/>
      <w:lvlText w:val="%1.%2.%3"/>
      <w:lvlJc w:val="left"/>
      <w:pPr>
        <w:ind w:left="1004"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70292E95"/>
    <w:multiLevelType w:val="multilevel"/>
    <w:tmpl w:val="A3322716"/>
    <w:lvl w:ilvl="0">
      <w:start w:val="5"/>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7BEB3F30"/>
    <w:multiLevelType w:val="multilevel"/>
    <w:tmpl w:val="AAACFF90"/>
    <w:lvl w:ilvl="0">
      <w:start w:val="4"/>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4"/>
  </w:num>
  <w:num w:numId="3">
    <w:abstractNumId w:val="2"/>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ABB"/>
    <w:rsid w:val="00024C0F"/>
    <w:rsid w:val="00056BA2"/>
    <w:rsid w:val="00063987"/>
    <w:rsid w:val="0008232B"/>
    <w:rsid w:val="00090122"/>
    <w:rsid w:val="0009369F"/>
    <w:rsid w:val="00094E80"/>
    <w:rsid w:val="000B2885"/>
    <w:rsid w:val="000B60AD"/>
    <w:rsid w:val="000B7B6B"/>
    <w:rsid w:val="000D4C96"/>
    <w:rsid w:val="000D6A96"/>
    <w:rsid w:val="001574A0"/>
    <w:rsid w:val="00176E6C"/>
    <w:rsid w:val="00181B39"/>
    <w:rsid w:val="001921E5"/>
    <w:rsid w:val="001B10E6"/>
    <w:rsid w:val="001D6EEC"/>
    <w:rsid w:val="001E0796"/>
    <w:rsid w:val="001F4844"/>
    <w:rsid w:val="00214C7A"/>
    <w:rsid w:val="0023322A"/>
    <w:rsid w:val="0024387C"/>
    <w:rsid w:val="00243BFF"/>
    <w:rsid w:val="00245940"/>
    <w:rsid w:val="0027640C"/>
    <w:rsid w:val="00276729"/>
    <w:rsid w:val="0028010D"/>
    <w:rsid w:val="002861AA"/>
    <w:rsid w:val="00294ABB"/>
    <w:rsid w:val="002B1D79"/>
    <w:rsid w:val="002F1F1B"/>
    <w:rsid w:val="00331A64"/>
    <w:rsid w:val="0033259A"/>
    <w:rsid w:val="0035676F"/>
    <w:rsid w:val="00383A1A"/>
    <w:rsid w:val="003D194D"/>
    <w:rsid w:val="003E432B"/>
    <w:rsid w:val="00420BFB"/>
    <w:rsid w:val="00446384"/>
    <w:rsid w:val="004516D2"/>
    <w:rsid w:val="0046093C"/>
    <w:rsid w:val="004B123F"/>
    <w:rsid w:val="004D1E3C"/>
    <w:rsid w:val="004F239A"/>
    <w:rsid w:val="0052401C"/>
    <w:rsid w:val="0055663D"/>
    <w:rsid w:val="0055760C"/>
    <w:rsid w:val="005604B5"/>
    <w:rsid w:val="005625DA"/>
    <w:rsid w:val="0058364B"/>
    <w:rsid w:val="005A3849"/>
    <w:rsid w:val="005C1BB7"/>
    <w:rsid w:val="005F6869"/>
    <w:rsid w:val="005F6FA6"/>
    <w:rsid w:val="00607A50"/>
    <w:rsid w:val="00626E89"/>
    <w:rsid w:val="00631E07"/>
    <w:rsid w:val="00641407"/>
    <w:rsid w:val="00664831"/>
    <w:rsid w:val="00682412"/>
    <w:rsid w:val="006B6995"/>
    <w:rsid w:val="006D2D7B"/>
    <w:rsid w:val="006F2ABF"/>
    <w:rsid w:val="007000C3"/>
    <w:rsid w:val="007165FB"/>
    <w:rsid w:val="0075194A"/>
    <w:rsid w:val="0075592F"/>
    <w:rsid w:val="007E5D03"/>
    <w:rsid w:val="007F212E"/>
    <w:rsid w:val="00835B56"/>
    <w:rsid w:val="00844B61"/>
    <w:rsid w:val="00855C33"/>
    <w:rsid w:val="00877BFC"/>
    <w:rsid w:val="00895993"/>
    <w:rsid w:val="008B6A61"/>
    <w:rsid w:val="009236C0"/>
    <w:rsid w:val="00950DA5"/>
    <w:rsid w:val="0098391D"/>
    <w:rsid w:val="00984E87"/>
    <w:rsid w:val="009916D2"/>
    <w:rsid w:val="00A15A75"/>
    <w:rsid w:val="00A43DCA"/>
    <w:rsid w:val="00A75DC7"/>
    <w:rsid w:val="00A9258B"/>
    <w:rsid w:val="00A949B0"/>
    <w:rsid w:val="00A96B33"/>
    <w:rsid w:val="00AA4049"/>
    <w:rsid w:val="00AB4A47"/>
    <w:rsid w:val="00AC7438"/>
    <w:rsid w:val="00AD50E8"/>
    <w:rsid w:val="00B37956"/>
    <w:rsid w:val="00B6300F"/>
    <w:rsid w:val="00B92B76"/>
    <w:rsid w:val="00B950A4"/>
    <w:rsid w:val="00BE3E59"/>
    <w:rsid w:val="00BF296C"/>
    <w:rsid w:val="00C119C6"/>
    <w:rsid w:val="00C3519D"/>
    <w:rsid w:val="00C35489"/>
    <w:rsid w:val="00C7002D"/>
    <w:rsid w:val="00C83AE0"/>
    <w:rsid w:val="00C90C68"/>
    <w:rsid w:val="00C93471"/>
    <w:rsid w:val="00CC6ED8"/>
    <w:rsid w:val="00CD7A5B"/>
    <w:rsid w:val="00CE53B1"/>
    <w:rsid w:val="00CF1402"/>
    <w:rsid w:val="00CF529A"/>
    <w:rsid w:val="00D144E2"/>
    <w:rsid w:val="00D51B4B"/>
    <w:rsid w:val="00D67B91"/>
    <w:rsid w:val="00D7775D"/>
    <w:rsid w:val="00D859D0"/>
    <w:rsid w:val="00E02734"/>
    <w:rsid w:val="00E132B9"/>
    <w:rsid w:val="00E21B4C"/>
    <w:rsid w:val="00E33F13"/>
    <w:rsid w:val="00E341A9"/>
    <w:rsid w:val="00E40EB7"/>
    <w:rsid w:val="00E52C33"/>
    <w:rsid w:val="00EC7F68"/>
    <w:rsid w:val="00EE3F52"/>
    <w:rsid w:val="00EF6A6B"/>
    <w:rsid w:val="00F3268B"/>
    <w:rsid w:val="00F35BB8"/>
    <w:rsid w:val="00F65E0F"/>
    <w:rsid w:val="00F725C3"/>
    <w:rsid w:val="00F83326"/>
    <w:rsid w:val="00FB48CE"/>
    <w:rsid w:val="00FD3B45"/>
    <w:rsid w:val="00FE04AF"/>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210F1B"/>
  <w15:docId w15:val="{5C462873-08AB-4B75-8FB6-4908021F0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GB" w:eastAsia="en-ZA" w:bidi="ar-SA"/>
      </w:rPr>
    </w:rPrDefault>
    <w:pPrDefault>
      <w:pPr>
        <w:spacing w:after="1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5640"/>
  </w:style>
  <w:style w:type="paragraph" w:styleId="Heading1">
    <w:name w:val="heading 1"/>
    <w:basedOn w:val="Normal"/>
    <w:next w:val="Normal"/>
    <w:link w:val="Heading1Char"/>
    <w:uiPriority w:val="9"/>
    <w:qFormat/>
    <w:rsid w:val="00445640"/>
    <w:pPr>
      <w:keepNext/>
      <w:keepLines/>
      <w:numPr>
        <w:numId w:val="3"/>
      </w:numPr>
      <w:spacing w:before="240" w:after="0" w:line="360" w:lineRule="auto"/>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445640"/>
    <w:pPr>
      <w:keepNext/>
      <w:keepLines/>
      <w:numPr>
        <w:ilvl w:val="1"/>
        <w:numId w:val="3"/>
      </w:numPr>
      <w:spacing w:before="40" w:after="0" w:line="360" w:lineRule="auto"/>
      <w:ind w:left="1001"/>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445640"/>
    <w:pPr>
      <w:keepNext/>
      <w:keepLines/>
      <w:numPr>
        <w:ilvl w:val="2"/>
        <w:numId w:val="3"/>
      </w:numPr>
      <w:spacing w:before="40" w:after="0" w:line="360" w:lineRule="auto"/>
      <w:outlineLvl w:val="2"/>
    </w:pPr>
    <w:rPr>
      <w:rFonts w:eastAsiaTheme="majorEastAsia" w:cstheme="majorBidi"/>
      <w:color w:val="1F4D78" w:themeColor="accent1" w:themeShade="7F"/>
      <w:sz w:val="26"/>
      <w:szCs w:val="24"/>
    </w:rPr>
  </w:style>
  <w:style w:type="paragraph" w:styleId="Heading4">
    <w:name w:val="heading 4"/>
    <w:basedOn w:val="Normal"/>
    <w:next w:val="Normal"/>
    <w:link w:val="Heading4Char"/>
    <w:uiPriority w:val="9"/>
    <w:semiHidden/>
    <w:unhideWhenUsed/>
    <w:qFormat/>
    <w:rsid w:val="00445640"/>
    <w:pPr>
      <w:keepNext/>
      <w:keepLines/>
      <w:numPr>
        <w:ilvl w:val="3"/>
        <w:numId w:val="3"/>
      </w:numPr>
      <w:spacing w:before="40" w:after="0" w:line="360" w:lineRule="auto"/>
      <w:outlineLvl w:val="3"/>
    </w:pPr>
    <w:rPr>
      <w:rFonts w:eastAsiaTheme="majorEastAsia" w:cstheme="majorBidi"/>
      <w:iCs/>
      <w:color w:val="2E74B5" w:themeColor="accent1" w:themeShade="BF"/>
      <w:sz w:val="24"/>
    </w:rPr>
  </w:style>
  <w:style w:type="paragraph" w:styleId="Heading5">
    <w:name w:val="heading 5"/>
    <w:basedOn w:val="Normal"/>
    <w:next w:val="Normal"/>
    <w:link w:val="Heading5Char"/>
    <w:uiPriority w:val="9"/>
    <w:semiHidden/>
    <w:unhideWhenUsed/>
    <w:qFormat/>
    <w:rsid w:val="00445640"/>
    <w:pPr>
      <w:keepNext/>
      <w:keepLines/>
      <w:numPr>
        <w:ilvl w:val="4"/>
        <w:numId w:val="3"/>
      </w:numPr>
      <w:spacing w:before="40" w:after="0" w:line="360" w:lineRule="auto"/>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445640"/>
    <w:pPr>
      <w:keepNext/>
      <w:keepLines/>
      <w:numPr>
        <w:ilvl w:val="5"/>
        <w:numId w:val="3"/>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445640"/>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445640"/>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45640"/>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45640"/>
    <w:pPr>
      <w:spacing w:after="0"/>
      <w:contextualSpacing/>
      <w:jc w:val="center"/>
    </w:pPr>
    <w:rPr>
      <w:rFonts w:eastAsiaTheme="majorEastAsia" w:cstheme="majorBidi"/>
      <w:b/>
      <w:spacing w:val="-10"/>
      <w:kern w:val="28"/>
      <w:sz w:val="48"/>
      <w:szCs w:val="56"/>
    </w:rPr>
  </w:style>
  <w:style w:type="character" w:customStyle="1" w:styleId="Heading1Char">
    <w:name w:val="Heading 1 Char"/>
    <w:basedOn w:val="DefaultParagraphFont"/>
    <w:link w:val="Heading1"/>
    <w:uiPriority w:val="9"/>
    <w:rsid w:val="00445640"/>
    <w:rPr>
      <w:rFonts w:ascii="Arial" w:eastAsiaTheme="majorEastAsia" w:hAnsi="Arial" w:cstheme="majorBidi"/>
      <w:b/>
      <w:color w:val="2E74B5" w:themeColor="accent1" w:themeShade="BF"/>
      <w:sz w:val="28"/>
      <w:szCs w:val="32"/>
    </w:rPr>
  </w:style>
  <w:style w:type="character" w:customStyle="1" w:styleId="Heading2Char">
    <w:name w:val="Heading 2 Char"/>
    <w:basedOn w:val="DefaultParagraphFont"/>
    <w:link w:val="Heading2"/>
    <w:uiPriority w:val="9"/>
    <w:rsid w:val="00445640"/>
    <w:rPr>
      <w:rFonts w:ascii="Arial" w:eastAsiaTheme="majorEastAsia" w:hAnsi="Arial" w:cstheme="majorBidi"/>
      <w:b/>
      <w:color w:val="2E74B5" w:themeColor="accent1" w:themeShade="BF"/>
      <w:sz w:val="26"/>
      <w:szCs w:val="26"/>
    </w:rPr>
  </w:style>
  <w:style w:type="character" w:customStyle="1" w:styleId="Heading3Char">
    <w:name w:val="Heading 3 Char"/>
    <w:basedOn w:val="DefaultParagraphFont"/>
    <w:link w:val="Heading3"/>
    <w:uiPriority w:val="9"/>
    <w:rsid w:val="00445640"/>
    <w:rPr>
      <w:rFonts w:ascii="Arial" w:eastAsiaTheme="majorEastAsia" w:hAnsi="Arial" w:cstheme="majorBidi"/>
      <w:color w:val="1F4D78" w:themeColor="accent1" w:themeShade="7F"/>
      <w:sz w:val="26"/>
      <w:szCs w:val="24"/>
    </w:rPr>
  </w:style>
  <w:style w:type="character" w:customStyle="1" w:styleId="Heading4Char">
    <w:name w:val="Heading 4 Char"/>
    <w:basedOn w:val="DefaultParagraphFont"/>
    <w:link w:val="Heading4"/>
    <w:uiPriority w:val="9"/>
    <w:rsid w:val="00445640"/>
    <w:rPr>
      <w:rFonts w:ascii="Arial" w:eastAsiaTheme="majorEastAsia" w:hAnsi="Arial" w:cstheme="majorBidi"/>
      <w:iCs/>
      <w:color w:val="2E74B5" w:themeColor="accent1" w:themeShade="BF"/>
      <w:sz w:val="24"/>
    </w:rPr>
  </w:style>
  <w:style w:type="paragraph" w:styleId="Caption">
    <w:name w:val="caption"/>
    <w:basedOn w:val="Normal"/>
    <w:next w:val="Normal"/>
    <w:uiPriority w:val="35"/>
    <w:unhideWhenUsed/>
    <w:qFormat/>
    <w:rsid w:val="00445640"/>
    <w:pPr>
      <w:spacing w:after="200"/>
      <w:contextualSpacing/>
    </w:pPr>
    <w:rPr>
      <w:i/>
      <w:iCs/>
      <w:color w:val="44546A" w:themeColor="text2"/>
      <w:sz w:val="18"/>
      <w:szCs w:val="18"/>
    </w:rPr>
  </w:style>
  <w:style w:type="table" w:customStyle="1" w:styleId="GridTable2-Accent51">
    <w:name w:val="Grid Table 2 - Accent 51"/>
    <w:basedOn w:val="TableNormal"/>
    <w:uiPriority w:val="47"/>
    <w:rsid w:val="000A568F"/>
    <w:pPr>
      <w:spacing w:after="0"/>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2-Accent11">
    <w:name w:val="Grid Table 2 - Accent 11"/>
    <w:basedOn w:val="TableNormal"/>
    <w:uiPriority w:val="47"/>
    <w:rsid w:val="000A568F"/>
    <w:pPr>
      <w:spacing w:after="0"/>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Header">
    <w:name w:val="header"/>
    <w:basedOn w:val="Normal"/>
    <w:link w:val="HeaderChar"/>
    <w:uiPriority w:val="99"/>
    <w:unhideWhenUsed/>
    <w:rsid w:val="00BF0D0A"/>
    <w:pPr>
      <w:tabs>
        <w:tab w:val="center" w:pos="4513"/>
        <w:tab w:val="right" w:pos="9026"/>
      </w:tabs>
      <w:spacing w:after="0"/>
    </w:pPr>
  </w:style>
  <w:style w:type="character" w:customStyle="1" w:styleId="HeaderChar">
    <w:name w:val="Header Char"/>
    <w:basedOn w:val="DefaultParagraphFont"/>
    <w:link w:val="Header"/>
    <w:uiPriority w:val="99"/>
    <w:rsid w:val="00BF0D0A"/>
  </w:style>
  <w:style w:type="paragraph" w:styleId="Footer">
    <w:name w:val="footer"/>
    <w:basedOn w:val="Normal"/>
    <w:link w:val="FooterChar"/>
    <w:uiPriority w:val="99"/>
    <w:unhideWhenUsed/>
    <w:rsid w:val="00BF0D0A"/>
    <w:pPr>
      <w:tabs>
        <w:tab w:val="center" w:pos="4513"/>
        <w:tab w:val="right" w:pos="9026"/>
      </w:tabs>
      <w:spacing w:after="0"/>
    </w:pPr>
  </w:style>
  <w:style w:type="character" w:customStyle="1" w:styleId="FooterChar">
    <w:name w:val="Footer Char"/>
    <w:basedOn w:val="DefaultParagraphFont"/>
    <w:link w:val="Footer"/>
    <w:uiPriority w:val="99"/>
    <w:rsid w:val="00BF0D0A"/>
  </w:style>
  <w:style w:type="paragraph" w:styleId="EndnoteText">
    <w:name w:val="endnote text"/>
    <w:basedOn w:val="Normal"/>
    <w:link w:val="EndnoteTextChar"/>
    <w:uiPriority w:val="99"/>
    <w:semiHidden/>
    <w:unhideWhenUsed/>
    <w:rsid w:val="00A15574"/>
    <w:pPr>
      <w:spacing w:after="0"/>
    </w:pPr>
  </w:style>
  <w:style w:type="character" w:customStyle="1" w:styleId="EndnoteTextChar">
    <w:name w:val="Endnote Text Char"/>
    <w:basedOn w:val="DefaultParagraphFont"/>
    <w:link w:val="EndnoteText"/>
    <w:uiPriority w:val="99"/>
    <w:semiHidden/>
    <w:rsid w:val="00A15574"/>
    <w:rPr>
      <w:sz w:val="20"/>
      <w:szCs w:val="20"/>
    </w:rPr>
  </w:style>
  <w:style w:type="character" w:styleId="EndnoteReference">
    <w:name w:val="endnote reference"/>
    <w:basedOn w:val="DefaultParagraphFont"/>
    <w:uiPriority w:val="99"/>
    <w:semiHidden/>
    <w:unhideWhenUsed/>
    <w:rsid w:val="00A15574"/>
    <w:rPr>
      <w:vertAlign w:val="superscript"/>
    </w:rPr>
  </w:style>
  <w:style w:type="paragraph" w:styleId="FootnoteText">
    <w:name w:val="footnote text"/>
    <w:basedOn w:val="Normal"/>
    <w:link w:val="FootnoteTextChar"/>
    <w:uiPriority w:val="99"/>
    <w:unhideWhenUsed/>
    <w:rsid w:val="00445640"/>
    <w:pPr>
      <w:spacing w:after="0"/>
    </w:pPr>
    <w:rPr>
      <w:sz w:val="18"/>
    </w:rPr>
  </w:style>
  <w:style w:type="character" w:customStyle="1" w:styleId="FootnoteTextChar">
    <w:name w:val="Footnote Text Char"/>
    <w:basedOn w:val="DefaultParagraphFont"/>
    <w:link w:val="FootnoteText"/>
    <w:uiPriority w:val="99"/>
    <w:rsid w:val="00445640"/>
    <w:rPr>
      <w:rFonts w:ascii="Arial" w:hAnsi="Arial"/>
      <w:sz w:val="18"/>
      <w:szCs w:val="20"/>
    </w:rPr>
  </w:style>
  <w:style w:type="character" w:styleId="FootnoteReference">
    <w:name w:val="footnote reference"/>
    <w:basedOn w:val="DefaultParagraphFont"/>
    <w:uiPriority w:val="99"/>
    <w:unhideWhenUsed/>
    <w:rsid w:val="00445640"/>
    <w:rPr>
      <w:vertAlign w:val="superscript"/>
    </w:rPr>
  </w:style>
  <w:style w:type="character" w:customStyle="1" w:styleId="Heading5Char">
    <w:name w:val="Heading 5 Char"/>
    <w:basedOn w:val="DefaultParagraphFont"/>
    <w:link w:val="Heading5"/>
    <w:uiPriority w:val="9"/>
    <w:rsid w:val="00445640"/>
    <w:rPr>
      <w:rFonts w:ascii="Arial" w:eastAsiaTheme="majorEastAsia" w:hAnsi="Arial" w:cstheme="majorBidi"/>
      <w:color w:val="2E74B5" w:themeColor="accent1" w:themeShade="BF"/>
      <w:sz w:val="20"/>
    </w:rPr>
  </w:style>
  <w:style w:type="character" w:customStyle="1" w:styleId="Heading6Char">
    <w:name w:val="Heading 6 Char"/>
    <w:basedOn w:val="DefaultParagraphFont"/>
    <w:link w:val="Heading6"/>
    <w:uiPriority w:val="9"/>
    <w:semiHidden/>
    <w:rsid w:val="00445640"/>
    <w:rPr>
      <w:rFonts w:asciiTheme="majorHAnsi" w:eastAsiaTheme="majorEastAsia" w:hAnsiTheme="majorHAnsi" w:cstheme="majorBidi"/>
      <w:color w:val="1F4D78" w:themeColor="accent1" w:themeShade="7F"/>
      <w:sz w:val="20"/>
    </w:rPr>
  </w:style>
  <w:style w:type="character" w:customStyle="1" w:styleId="Heading7Char">
    <w:name w:val="Heading 7 Char"/>
    <w:basedOn w:val="DefaultParagraphFont"/>
    <w:link w:val="Heading7"/>
    <w:uiPriority w:val="9"/>
    <w:semiHidden/>
    <w:rsid w:val="00445640"/>
    <w:rPr>
      <w:rFonts w:asciiTheme="majorHAnsi" w:eastAsiaTheme="majorEastAsia" w:hAnsiTheme="majorHAnsi" w:cstheme="majorBidi"/>
      <w:i/>
      <w:iCs/>
      <w:color w:val="1F4D78" w:themeColor="accent1" w:themeShade="7F"/>
      <w:sz w:val="20"/>
    </w:rPr>
  </w:style>
  <w:style w:type="character" w:customStyle="1" w:styleId="Heading8Char">
    <w:name w:val="Heading 8 Char"/>
    <w:basedOn w:val="DefaultParagraphFont"/>
    <w:link w:val="Heading8"/>
    <w:uiPriority w:val="9"/>
    <w:semiHidden/>
    <w:rsid w:val="0044564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45640"/>
    <w:rPr>
      <w:rFonts w:asciiTheme="majorHAnsi" w:eastAsiaTheme="majorEastAsia" w:hAnsiTheme="majorHAnsi" w:cstheme="majorBidi"/>
      <w:i/>
      <w:iCs/>
      <w:color w:val="272727" w:themeColor="text1" w:themeTint="D8"/>
      <w:sz w:val="21"/>
      <w:szCs w:val="21"/>
    </w:rPr>
  </w:style>
  <w:style w:type="character" w:customStyle="1" w:styleId="TitleChar">
    <w:name w:val="Title Char"/>
    <w:basedOn w:val="DefaultParagraphFont"/>
    <w:link w:val="Title"/>
    <w:uiPriority w:val="10"/>
    <w:rsid w:val="00445640"/>
    <w:rPr>
      <w:rFonts w:ascii="Arial" w:eastAsiaTheme="majorEastAsia" w:hAnsi="Arial" w:cstheme="majorBidi"/>
      <w:b/>
      <w:spacing w:val="-10"/>
      <w:kern w:val="28"/>
      <w:sz w:val="48"/>
      <w:szCs w:val="56"/>
    </w:rPr>
  </w:style>
  <w:style w:type="paragraph" w:styleId="Subtitle">
    <w:name w:val="Subtitle"/>
    <w:basedOn w:val="Normal"/>
    <w:next w:val="Normal"/>
    <w:link w:val="SubtitleChar"/>
    <w:uiPriority w:val="11"/>
    <w:qFormat/>
    <w:pPr>
      <w:jc w:val="center"/>
    </w:pPr>
    <w:rPr>
      <w:b/>
      <w:sz w:val="36"/>
      <w:szCs w:val="36"/>
    </w:rPr>
  </w:style>
  <w:style w:type="character" w:customStyle="1" w:styleId="SubtitleChar">
    <w:name w:val="Subtitle Char"/>
    <w:basedOn w:val="DefaultParagraphFont"/>
    <w:link w:val="Subtitle"/>
    <w:uiPriority w:val="11"/>
    <w:rsid w:val="00445640"/>
    <w:rPr>
      <w:rFonts w:ascii="Arial" w:hAnsi="Arial"/>
      <w:b/>
      <w:sz w:val="36"/>
    </w:rPr>
  </w:style>
  <w:style w:type="paragraph" w:styleId="NoSpacing">
    <w:name w:val="No Spacing"/>
    <w:link w:val="NoSpacingChar"/>
    <w:uiPriority w:val="1"/>
    <w:qFormat/>
    <w:rsid w:val="002A1488"/>
    <w:pPr>
      <w:spacing w:after="0"/>
    </w:pPr>
    <w:rPr>
      <w:rFonts w:ascii="Palatino Linotype" w:eastAsia="HGSMinchoE" w:hAnsi="Palatino Linotype" w:cs="Times New Roman"/>
      <w:lang w:val="en-US"/>
    </w:rPr>
  </w:style>
  <w:style w:type="character" w:customStyle="1" w:styleId="NoSpacingChar">
    <w:name w:val="No Spacing Char"/>
    <w:basedOn w:val="DefaultParagraphFont"/>
    <w:link w:val="NoSpacing"/>
    <w:uiPriority w:val="1"/>
    <w:rsid w:val="002A1488"/>
    <w:rPr>
      <w:rFonts w:ascii="Palatino Linotype" w:eastAsia="HGSMinchoE" w:hAnsi="Palatino Linotype" w:cs="Times New Roman"/>
      <w:lang w:val="en-US"/>
    </w:rPr>
  </w:style>
  <w:style w:type="character" w:customStyle="1" w:styleId="BalloonTextChar">
    <w:name w:val="Balloon Text Char"/>
    <w:basedOn w:val="DefaultParagraphFont"/>
    <w:link w:val="BalloonText"/>
    <w:uiPriority w:val="99"/>
    <w:semiHidden/>
    <w:rsid w:val="002A1488"/>
    <w:rPr>
      <w:rFonts w:ascii="Tahoma" w:eastAsia="HGSMinchoE" w:hAnsi="Tahoma" w:cs="Tahoma"/>
      <w:sz w:val="16"/>
      <w:szCs w:val="16"/>
      <w:lang w:val="en-US"/>
    </w:rPr>
  </w:style>
  <w:style w:type="paragraph" w:styleId="BalloonText">
    <w:name w:val="Balloon Text"/>
    <w:basedOn w:val="Normal"/>
    <w:link w:val="BalloonTextChar"/>
    <w:uiPriority w:val="99"/>
    <w:semiHidden/>
    <w:unhideWhenUsed/>
    <w:rsid w:val="002A1488"/>
    <w:pPr>
      <w:spacing w:after="0"/>
    </w:pPr>
    <w:rPr>
      <w:rFonts w:ascii="Tahoma" w:eastAsia="HGSMinchoE" w:hAnsi="Tahoma" w:cs="Tahoma"/>
      <w:sz w:val="16"/>
      <w:szCs w:val="16"/>
      <w:lang w:val="en-US"/>
    </w:rPr>
  </w:style>
  <w:style w:type="character" w:styleId="Strong">
    <w:name w:val="Strong"/>
    <w:uiPriority w:val="22"/>
    <w:qFormat/>
    <w:rsid w:val="002A1488"/>
    <w:rPr>
      <w:b/>
      <w:bCs/>
    </w:rPr>
  </w:style>
  <w:style w:type="character" w:styleId="Emphasis">
    <w:name w:val="Emphasis"/>
    <w:uiPriority w:val="20"/>
    <w:qFormat/>
    <w:rsid w:val="002A1488"/>
    <w:rPr>
      <w:i/>
      <w:iCs/>
      <w:color w:val="auto"/>
    </w:rPr>
  </w:style>
  <w:style w:type="paragraph" w:styleId="ListParagraph">
    <w:name w:val="List Paragraph"/>
    <w:basedOn w:val="Normal"/>
    <w:link w:val="ListParagraphChar"/>
    <w:uiPriority w:val="34"/>
    <w:qFormat/>
    <w:rsid w:val="00445640"/>
    <w:pPr>
      <w:numPr>
        <w:numId w:val="4"/>
      </w:numPr>
      <w:contextualSpacing/>
    </w:pPr>
  </w:style>
  <w:style w:type="paragraph" w:styleId="Quote">
    <w:name w:val="Quote"/>
    <w:basedOn w:val="Normal"/>
    <w:next w:val="Normal"/>
    <w:link w:val="QuoteChar"/>
    <w:uiPriority w:val="29"/>
    <w:qFormat/>
    <w:rsid w:val="002A1488"/>
    <w:pPr>
      <w:spacing w:before="160" w:line="300" w:lineRule="auto"/>
      <w:ind w:left="144" w:right="144"/>
      <w:jc w:val="center"/>
    </w:pPr>
    <w:rPr>
      <w:rFonts w:ascii="Century Gothic" w:eastAsia="HGSMinchoE" w:hAnsi="Century Gothic" w:cs="Times New Roman"/>
      <w:i/>
      <w:iCs/>
      <w:color w:val="6076B4"/>
      <w:sz w:val="24"/>
      <w:lang w:val="en-US" w:bidi="hi-IN"/>
    </w:rPr>
  </w:style>
  <w:style w:type="character" w:customStyle="1" w:styleId="QuoteChar">
    <w:name w:val="Quote Char"/>
    <w:basedOn w:val="DefaultParagraphFont"/>
    <w:link w:val="Quote"/>
    <w:uiPriority w:val="29"/>
    <w:rsid w:val="002A1488"/>
    <w:rPr>
      <w:rFonts w:ascii="Century Gothic" w:eastAsia="HGSMinchoE" w:hAnsi="Century Gothic" w:cs="Times New Roman"/>
      <w:i/>
      <w:iCs/>
      <w:color w:val="6076B4"/>
      <w:sz w:val="24"/>
      <w:lang w:val="en-US" w:bidi="hi-IN"/>
    </w:rPr>
  </w:style>
  <w:style w:type="paragraph" w:styleId="IntenseQuote">
    <w:name w:val="Intense Quote"/>
    <w:basedOn w:val="Normal"/>
    <w:next w:val="Normal"/>
    <w:link w:val="IntenseQuoteChar"/>
    <w:uiPriority w:val="30"/>
    <w:qFormat/>
    <w:rsid w:val="0044564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445640"/>
    <w:rPr>
      <w:rFonts w:ascii="Arial" w:hAnsi="Arial"/>
      <w:i/>
      <w:iCs/>
      <w:color w:val="5B9BD5" w:themeColor="accent1"/>
    </w:rPr>
  </w:style>
  <w:style w:type="character" w:styleId="SubtleEmphasis">
    <w:name w:val="Subtle Emphasis"/>
    <w:uiPriority w:val="19"/>
    <w:qFormat/>
    <w:rsid w:val="002A1488"/>
    <w:rPr>
      <w:i/>
      <w:iCs/>
      <w:color w:val="auto"/>
    </w:rPr>
  </w:style>
  <w:style w:type="character" w:styleId="IntenseEmphasis">
    <w:name w:val="Intense Emphasis"/>
    <w:basedOn w:val="DefaultParagraphFont"/>
    <w:uiPriority w:val="21"/>
    <w:qFormat/>
    <w:rsid w:val="00445640"/>
    <w:rPr>
      <w:rFonts w:ascii="Arial" w:hAnsi="Arial"/>
      <w:i/>
      <w:iCs/>
      <w:color w:val="5B9BD5" w:themeColor="accent1"/>
      <w:sz w:val="22"/>
    </w:rPr>
  </w:style>
  <w:style w:type="character" w:styleId="SubtleReference">
    <w:name w:val="Subtle Reference"/>
    <w:basedOn w:val="DefaultParagraphFont"/>
    <w:uiPriority w:val="31"/>
    <w:qFormat/>
    <w:rsid w:val="00445640"/>
    <w:rPr>
      <w:rFonts w:ascii="Arial" w:hAnsi="Arial"/>
      <w:smallCaps/>
      <w:color w:val="5A5A5A" w:themeColor="text1" w:themeTint="A5"/>
      <w:sz w:val="20"/>
    </w:rPr>
  </w:style>
  <w:style w:type="character" w:styleId="IntenseReference">
    <w:name w:val="Intense Reference"/>
    <w:basedOn w:val="DefaultParagraphFont"/>
    <w:uiPriority w:val="32"/>
    <w:qFormat/>
    <w:rsid w:val="00445640"/>
    <w:rPr>
      <w:rFonts w:ascii="Arial" w:hAnsi="Arial"/>
      <w:b/>
      <w:bCs/>
      <w:smallCaps/>
      <w:color w:val="5B9BD5" w:themeColor="accent1"/>
      <w:spacing w:val="5"/>
      <w:sz w:val="20"/>
    </w:rPr>
  </w:style>
  <w:style w:type="character" w:styleId="BookTitle">
    <w:name w:val="Book Title"/>
    <w:basedOn w:val="DefaultParagraphFont"/>
    <w:uiPriority w:val="33"/>
    <w:qFormat/>
    <w:rsid w:val="00445640"/>
    <w:rPr>
      <w:rFonts w:ascii="Arial" w:hAnsi="Arial"/>
      <w:b/>
      <w:bCs/>
      <w:i/>
      <w:iCs/>
      <w:spacing w:val="5"/>
    </w:rPr>
  </w:style>
  <w:style w:type="paragraph" w:styleId="TOCHeading">
    <w:name w:val="TOC Heading"/>
    <w:basedOn w:val="Heading1"/>
    <w:next w:val="Normal"/>
    <w:uiPriority w:val="39"/>
    <w:unhideWhenUsed/>
    <w:qFormat/>
    <w:rsid w:val="00445640"/>
    <w:pPr>
      <w:numPr>
        <w:numId w:val="0"/>
      </w:numPr>
      <w:spacing w:line="259" w:lineRule="auto"/>
      <w:jc w:val="left"/>
      <w:outlineLvl w:val="9"/>
    </w:pPr>
    <w:rPr>
      <w:rFonts w:asciiTheme="majorHAnsi" w:hAnsiTheme="majorHAnsi"/>
      <w:b w:val="0"/>
      <w:lang w:val="en-US"/>
    </w:rPr>
  </w:style>
  <w:style w:type="character" w:styleId="Hyperlink">
    <w:name w:val="Hyperlink"/>
    <w:basedOn w:val="DefaultParagraphFont"/>
    <w:uiPriority w:val="99"/>
    <w:unhideWhenUsed/>
    <w:rsid w:val="00445640"/>
    <w:rPr>
      <w:color w:val="0563C1" w:themeColor="hyperlink"/>
      <w:u w:val="single"/>
    </w:rPr>
  </w:style>
  <w:style w:type="character" w:customStyle="1" w:styleId="BodyTextIndent2Char">
    <w:name w:val="Body Text Indent 2 Char"/>
    <w:basedOn w:val="DefaultParagraphFont"/>
    <w:link w:val="BodyTextIndent2"/>
    <w:semiHidden/>
    <w:rsid w:val="002A1488"/>
    <w:rPr>
      <w:rFonts w:ascii="Times New Roman" w:eastAsia="Times New Roman" w:hAnsi="Times New Roman" w:cs="Times New Roman"/>
      <w:sz w:val="24"/>
      <w:szCs w:val="24"/>
      <w:lang w:val="en-US"/>
    </w:rPr>
  </w:style>
  <w:style w:type="paragraph" w:styleId="BodyTextIndent2">
    <w:name w:val="Body Text Indent 2"/>
    <w:basedOn w:val="Normal"/>
    <w:link w:val="BodyTextIndent2Char"/>
    <w:semiHidden/>
    <w:unhideWhenUsed/>
    <w:rsid w:val="002A1488"/>
    <w:pPr>
      <w:spacing w:after="0" w:line="360" w:lineRule="auto"/>
      <w:ind w:left="720"/>
    </w:pPr>
    <w:rPr>
      <w:rFonts w:ascii="Times New Roman" w:eastAsia="Times New Roman" w:hAnsi="Times New Roman" w:cs="Times New Roman"/>
      <w:sz w:val="24"/>
      <w:szCs w:val="24"/>
      <w:lang w:val="en-US"/>
    </w:rPr>
  </w:style>
  <w:style w:type="table" w:styleId="TableGrid">
    <w:name w:val="Table Grid"/>
    <w:basedOn w:val="TableNormal"/>
    <w:uiPriority w:val="39"/>
    <w:rsid w:val="00445640"/>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C90C68"/>
    <w:pPr>
      <w:tabs>
        <w:tab w:val="left" w:pos="440"/>
        <w:tab w:val="right" w:pos="9016"/>
      </w:tabs>
      <w:spacing w:after="100"/>
    </w:pPr>
  </w:style>
  <w:style w:type="paragraph" w:styleId="TOC2">
    <w:name w:val="toc 2"/>
    <w:basedOn w:val="Normal"/>
    <w:next w:val="Normal"/>
    <w:autoRedefine/>
    <w:uiPriority w:val="39"/>
    <w:unhideWhenUsed/>
    <w:rsid w:val="00664831"/>
    <w:pPr>
      <w:tabs>
        <w:tab w:val="left" w:pos="880"/>
        <w:tab w:val="right" w:pos="9016"/>
      </w:tabs>
      <w:spacing w:after="100"/>
      <w:ind w:left="221"/>
      <w:jc w:val="left"/>
    </w:pPr>
  </w:style>
  <w:style w:type="paragraph" w:styleId="BodyText">
    <w:name w:val="Body Text"/>
    <w:basedOn w:val="Normal"/>
    <w:link w:val="BodyTextChar"/>
    <w:uiPriority w:val="99"/>
    <w:semiHidden/>
    <w:unhideWhenUsed/>
    <w:rsid w:val="002A1488"/>
    <w:pPr>
      <w:spacing w:after="120" w:line="276" w:lineRule="auto"/>
    </w:pPr>
    <w:rPr>
      <w:rFonts w:ascii="Palatino Linotype" w:eastAsia="HGSMinchoE" w:hAnsi="Palatino Linotype" w:cs="Times New Roman"/>
      <w:lang w:val="en-US"/>
    </w:rPr>
  </w:style>
  <w:style w:type="character" w:customStyle="1" w:styleId="BodyTextChar">
    <w:name w:val="Body Text Char"/>
    <w:basedOn w:val="DefaultParagraphFont"/>
    <w:link w:val="BodyText"/>
    <w:uiPriority w:val="99"/>
    <w:semiHidden/>
    <w:rsid w:val="002A1488"/>
    <w:rPr>
      <w:rFonts w:ascii="Palatino Linotype" w:eastAsia="HGSMinchoE" w:hAnsi="Palatino Linotype" w:cs="Times New Roman"/>
      <w:lang w:val="en-US"/>
    </w:rPr>
  </w:style>
  <w:style w:type="character" w:customStyle="1" w:styleId="CommentTextChar">
    <w:name w:val="Comment Text Char"/>
    <w:basedOn w:val="DefaultParagraphFont"/>
    <w:link w:val="CommentText"/>
    <w:uiPriority w:val="99"/>
    <w:semiHidden/>
    <w:rsid w:val="002A1488"/>
    <w:rPr>
      <w:rFonts w:ascii="Palatino Linotype" w:eastAsia="HGSMinchoE" w:hAnsi="Palatino Linotype" w:cs="Times New Roman"/>
      <w:sz w:val="20"/>
      <w:szCs w:val="20"/>
      <w:lang w:val="en-US"/>
    </w:rPr>
  </w:style>
  <w:style w:type="paragraph" w:styleId="CommentText">
    <w:name w:val="annotation text"/>
    <w:basedOn w:val="Normal"/>
    <w:link w:val="CommentTextChar"/>
    <w:uiPriority w:val="99"/>
    <w:semiHidden/>
    <w:unhideWhenUsed/>
    <w:rsid w:val="002A1488"/>
    <w:pPr>
      <w:spacing w:after="200"/>
    </w:pPr>
    <w:rPr>
      <w:rFonts w:ascii="Palatino Linotype" w:eastAsia="HGSMinchoE" w:hAnsi="Palatino Linotype" w:cs="Times New Roman"/>
      <w:lang w:val="en-US"/>
    </w:rPr>
  </w:style>
  <w:style w:type="character" w:customStyle="1" w:styleId="CommentSubjectChar">
    <w:name w:val="Comment Subject Char"/>
    <w:basedOn w:val="CommentTextChar"/>
    <w:link w:val="CommentSubject"/>
    <w:uiPriority w:val="99"/>
    <w:semiHidden/>
    <w:rsid w:val="002A1488"/>
    <w:rPr>
      <w:rFonts w:ascii="Palatino Linotype" w:eastAsia="HGSMinchoE" w:hAnsi="Palatino Linotype" w:cs="Times New Roman"/>
      <w:b/>
      <w:bCs/>
      <w:sz w:val="20"/>
      <w:szCs w:val="20"/>
      <w:lang w:val="en-US"/>
    </w:rPr>
  </w:style>
  <w:style w:type="paragraph" w:styleId="CommentSubject">
    <w:name w:val="annotation subject"/>
    <w:basedOn w:val="CommentText"/>
    <w:next w:val="CommentText"/>
    <w:link w:val="CommentSubjectChar"/>
    <w:uiPriority w:val="99"/>
    <w:semiHidden/>
    <w:unhideWhenUsed/>
    <w:rsid w:val="002A1488"/>
    <w:rPr>
      <w:b/>
      <w:bCs/>
    </w:rPr>
  </w:style>
  <w:style w:type="paragraph" w:styleId="TOC3">
    <w:name w:val="toc 3"/>
    <w:basedOn w:val="Normal"/>
    <w:next w:val="Normal"/>
    <w:autoRedefine/>
    <w:uiPriority w:val="39"/>
    <w:unhideWhenUsed/>
    <w:rsid w:val="00445640"/>
    <w:pPr>
      <w:spacing w:after="100"/>
      <w:ind w:left="440"/>
    </w:pPr>
  </w:style>
  <w:style w:type="table" w:customStyle="1" w:styleId="GridTable4-Accent11">
    <w:name w:val="Grid Table 4 - Accent 11"/>
    <w:basedOn w:val="TableNormal"/>
    <w:uiPriority w:val="49"/>
    <w:rsid w:val="002A1488"/>
    <w:pPr>
      <w:spacing w:after="0"/>
    </w:pPr>
    <w:rPr>
      <w:rFonts w:ascii="Palatino Linotype" w:eastAsia="HGSMinchoE" w:hAnsi="Palatino Linotype"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ableofFigures">
    <w:name w:val="table of figures"/>
    <w:basedOn w:val="Normal"/>
    <w:next w:val="Normal"/>
    <w:uiPriority w:val="99"/>
    <w:unhideWhenUsed/>
    <w:rsid w:val="002A1488"/>
    <w:pPr>
      <w:spacing w:after="200" w:line="276" w:lineRule="auto"/>
    </w:pPr>
    <w:rPr>
      <w:rFonts w:ascii="Palatino Linotype" w:eastAsia="HGSMinchoE" w:hAnsi="Palatino Linotype" w:cs="Times New Roman"/>
      <w:lang w:val="en-US"/>
    </w:rPr>
  </w:style>
  <w:style w:type="character" w:styleId="HTMLCite">
    <w:name w:val="HTML Cite"/>
    <w:uiPriority w:val="99"/>
    <w:semiHidden/>
    <w:unhideWhenUsed/>
    <w:rsid w:val="002A1488"/>
    <w:rPr>
      <w:i/>
      <w:iCs/>
    </w:rPr>
  </w:style>
  <w:style w:type="character" w:styleId="CommentReference">
    <w:name w:val="annotation reference"/>
    <w:basedOn w:val="DefaultParagraphFont"/>
    <w:uiPriority w:val="99"/>
    <w:semiHidden/>
    <w:unhideWhenUsed/>
    <w:rsid w:val="00006690"/>
    <w:rPr>
      <w:sz w:val="18"/>
      <w:szCs w:val="18"/>
    </w:rPr>
  </w:style>
  <w:style w:type="paragraph" w:customStyle="1" w:styleId="Default">
    <w:name w:val="Default"/>
    <w:rsid w:val="00445640"/>
    <w:pPr>
      <w:autoSpaceDE w:val="0"/>
      <w:autoSpaceDN w:val="0"/>
      <w:adjustRightInd w:val="0"/>
      <w:spacing w:after="0"/>
    </w:pPr>
    <w:rPr>
      <w:rFonts w:ascii="Verdana" w:hAnsi="Verdana" w:cs="Verdana"/>
      <w:color w:val="000000"/>
      <w:sz w:val="24"/>
      <w:szCs w:val="24"/>
    </w:rPr>
  </w:style>
  <w:style w:type="table" w:customStyle="1" w:styleId="GridTable4-Accent51">
    <w:name w:val="Grid Table 4 - Accent 51"/>
    <w:basedOn w:val="TableNormal"/>
    <w:uiPriority w:val="49"/>
    <w:rsid w:val="00445640"/>
    <w:pPr>
      <w:spacing w:after="0"/>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Othertitlepage">
    <w:name w:val="Other title page"/>
    <w:basedOn w:val="Normal"/>
    <w:link w:val="OthertitlepageChar"/>
    <w:qFormat/>
    <w:rsid w:val="00445640"/>
    <w:rPr>
      <w:sz w:val="28"/>
    </w:rPr>
  </w:style>
  <w:style w:type="character" w:customStyle="1" w:styleId="OthertitlepageChar">
    <w:name w:val="Other title page Char"/>
    <w:basedOn w:val="DefaultParagraphFont"/>
    <w:link w:val="Othertitlepage"/>
    <w:rsid w:val="00445640"/>
    <w:rPr>
      <w:rFonts w:ascii="Arial" w:hAnsi="Arial"/>
      <w:sz w:val="28"/>
    </w:rPr>
  </w:style>
  <w:style w:type="numbering" w:customStyle="1" w:styleId="Style1">
    <w:name w:val="Style1"/>
    <w:uiPriority w:val="99"/>
    <w:rsid w:val="00445640"/>
  </w:style>
  <w:style w:type="table" w:customStyle="1" w:styleId="GridTable5Dark-Accent11">
    <w:name w:val="Grid Table 5 Dark - Accent 11"/>
    <w:basedOn w:val="TableNormal"/>
    <w:uiPriority w:val="50"/>
    <w:rsid w:val="001D46BD"/>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TableGrid1">
    <w:name w:val="Table Grid1"/>
    <w:basedOn w:val="TableNormal"/>
    <w:next w:val="TableGrid"/>
    <w:uiPriority w:val="39"/>
    <w:rsid w:val="001D46BD"/>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6Colorful-Accent51">
    <w:name w:val="Grid Table 6 Colorful - Accent 51"/>
    <w:basedOn w:val="TableNormal"/>
    <w:uiPriority w:val="51"/>
    <w:rsid w:val="001D46BD"/>
    <w:pPr>
      <w:spacing w:after="0"/>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ListTable4-Accent51">
    <w:name w:val="List Table 4 - Accent 51"/>
    <w:basedOn w:val="TableNormal"/>
    <w:uiPriority w:val="49"/>
    <w:rsid w:val="001D46BD"/>
    <w:pPr>
      <w:spacing w:after="0"/>
    </w:pPr>
    <w:rPr>
      <w:lang w:val="en-U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ListTable4-Accent510">
    <w:name w:val="List Table 4 - Accent 51"/>
    <w:basedOn w:val="TableNormal"/>
    <w:next w:val="ListTable4-Accent51"/>
    <w:uiPriority w:val="49"/>
    <w:rsid w:val="001D46BD"/>
    <w:pPr>
      <w:spacing w:after="0"/>
    </w:pPr>
    <w:rPr>
      <w:lang w:val="en-U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FollowedHyperlink">
    <w:name w:val="FollowedHyperlink"/>
    <w:basedOn w:val="DefaultParagraphFont"/>
    <w:uiPriority w:val="99"/>
    <w:semiHidden/>
    <w:unhideWhenUsed/>
    <w:rsid w:val="001D46BD"/>
    <w:rPr>
      <w:color w:val="954F72" w:themeColor="followedHyperlink"/>
      <w:u w:val="single"/>
    </w:rPr>
  </w:style>
  <w:style w:type="character" w:styleId="PageNumber">
    <w:name w:val="page number"/>
    <w:basedOn w:val="DefaultParagraphFont"/>
    <w:semiHidden/>
    <w:rsid w:val="001D46BD"/>
  </w:style>
  <w:style w:type="character" w:styleId="PlaceholderText">
    <w:name w:val="Placeholder Text"/>
    <w:basedOn w:val="DefaultParagraphFont"/>
    <w:uiPriority w:val="99"/>
    <w:semiHidden/>
    <w:rsid w:val="00027E33"/>
    <w:rPr>
      <w:color w:val="808080"/>
    </w:rPr>
  </w:style>
  <w:style w:type="table" w:customStyle="1" w:styleId="GridTable4-Accent110">
    <w:name w:val="Grid Table 4 - Accent 11"/>
    <w:basedOn w:val="TableNormal"/>
    <w:uiPriority w:val="49"/>
    <w:rsid w:val="00FA5234"/>
    <w:pPr>
      <w:spacing w:after="0"/>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Newparagraph">
    <w:name w:val="New paragraph"/>
    <w:basedOn w:val="Normal"/>
    <w:qFormat/>
    <w:rsid w:val="00163040"/>
    <w:pPr>
      <w:spacing w:after="0" w:line="480" w:lineRule="auto"/>
      <w:ind w:firstLine="720"/>
      <w:jc w:val="left"/>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6111F2"/>
    <w:rPr>
      <w:color w:val="605E5C"/>
      <w:shd w:val="clear" w:color="auto" w:fill="E1DFDD"/>
    </w:rPr>
  </w:style>
  <w:style w:type="character" w:customStyle="1" w:styleId="UnresolvedMention2">
    <w:name w:val="Unresolved Mention2"/>
    <w:basedOn w:val="DefaultParagraphFont"/>
    <w:uiPriority w:val="99"/>
    <w:semiHidden/>
    <w:unhideWhenUsed/>
    <w:rsid w:val="001F33E8"/>
    <w:rPr>
      <w:color w:val="605E5C"/>
      <w:shd w:val="clear" w:color="auto" w:fill="E1DFDD"/>
    </w:rPr>
  </w:style>
  <w:style w:type="table" w:customStyle="1" w:styleId="TableGridLight1">
    <w:name w:val="Table Grid Light1"/>
    <w:basedOn w:val="TableNormal"/>
    <w:uiPriority w:val="40"/>
    <w:rsid w:val="00407416"/>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ListParagraphChar">
    <w:name w:val="List Paragraph Char"/>
    <w:basedOn w:val="DefaultParagraphFont"/>
    <w:link w:val="ListParagraph"/>
    <w:uiPriority w:val="34"/>
    <w:locked/>
    <w:rsid w:val="004407A2"/>
    <w:rPr>
      <w:rFonts w:ascii="Arial" w:hAnsi="Arial"/>
      <w:sz w:val="20"/>
      <w:lang w:val="en-GB"/>
    </w:rPr>
  </w:style>
  <w:style w:type="table" w:customStyle="1" w:styleId="a">
    <w:basedOn w:val="TableNormal"/>
    <w:pPr>
      <w:spacing w:after="0"/>
    </w:pPr>
    <w:rPr>
      <w:color w:val="2F5496"/>
    </w:rPr>
    <w:tblPr>
      <w:tblStyleRowBandSize w:val="1"/>
      <w:tblStyleColBandSize w:val="1"/>
      <w:tblCellMar>
        <w:left w:w="115" w:type="dxa"/>
        <w:right w:w="115" w:type="dxa"/>
      </w:tblCellMar>
    </w:tblPr>
    <w:tcPr>
      <w:shd w:val="clear" w:color="auto" w:fill="DEEBF6"/>
    </w:tc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paragraph" w:styleId="Revision">
    <w:name w:val="Revision"/>
    <w:hidden/>
    <w:uiPriority w:val="99"/>
    <w:semiHidden/>
    <w:rsid w:val="009916D2"/>
    <w:pPr>
      <w:spacing w:after="0"/>
      <w:jc w:val="left"/>
    </w:pPr>
  </w:style>
  <w:style w:type="character" w:customStyle="1" w:styleId="UnresolvedMention3">
    <w:name w:val="Unresolved Mention3"/>
    <w:basedOn w:val="DefaultParagraphFont"/>
    <w:uiPriority w:val="99"/>
    <w:semiHidden/>
    <w:unhideWhenUsed/>
    <w:rsid w:val="000D6A96"/>
    <w:rPr>
      <w:color w:val="605E5C"/>
      <w:shd w:val="clear" w:color="auto" w:fill="E1DFDD"/>
    </w:rPr>
  </w:style>
  <w:style w:type="character" w:customStyle="1" w:styleId="UnresolvedMention">
    <w:name w:val="Unresolved Mention"/>
    <w:basedOn w:val="DefaultParagraphFont"/>
    <w:uiPriority w:val="99"/>
    <w:semiHidden/>
    <w:unhideWhenUsed/>
    <w:rsid w:val="004463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hyperlink" Target="http://www.thedtic.gov.za/wp-content/uploads/SA_Trade_Policy.pdf" TargetMode="External"/><Relationship Id="rId26" Type="http://schemas.openxmlformats.org/officeDocument/2006/relationships/hyperlink" Target="https://comtrade.un.org/" TargetMode="External"/><Relationship Id="rId3" Type="http://schemas.openxmlformats.org/officeDocument/2006/relationships/numbering" Target="numbering.xml"/><Relationship Id="rId21" Type="http://schemas.openxmlformats.org/officeDocument/2006/relationships/hyperlink" Target="http://www.trademap.org/Index.aspx" TargetMode="Externa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hyperlink" Target="http://www.thedtic.gov.za/wp-content/uploads/Re-imagining-Industrial-Strategy-FINAL-13-June-2019.pdf" TargetMode="External"/><Relationship Id="rId25" Type="http://schemas.openxmlformats.org/officeDocument/2006/relationships/hyperlink" Target="https://www.sadc.int/files/3213/5292/8362/Protocol_on_Culture_Information_and_Sport2001.pdf" TargetMode="External"/><Relationship Id="rId2" Type="http://schemas.openxmlformats.org/officeDocument/2006/relationships/customXml" Target="../customXml/item2.xml"/><Relationship Id="rId16" Type="http://schemas.openxmlformats.org/officeDocument/2006/relationships/hyperlink" Target="https://econpapers.repec.org/paper/cuewpaper/awp-05-2014.htm" TargetMode="External"/><Relationship Id="rId20" Type="http://schemas.openxmlformats.org/officeDocument/2006/relationships/hyperlink" Target="https://trademap.org/Index.asp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hyperlink" Target="https://www.sadc.int/files/4613/5292/8370/Protocol_on_Trade1996.pdf" TargetMode="External"/><Relationship Id="rId5" Type="http://schemas.openxmlformats.org/officeDocument/2006/relationships/settings" Target="settings.xml"/><Relationship Id="rId15" Type="http://schemas.openxmlformats.org/officeDocument/2006/relationships/chart" Target="charts/chart4.xml"/><Relationship Id="rId23" Type="http://schemas.openxmlformats.org/officeDocument/2006/relationships/hyperlink" Target="https://www.resbank.co.za"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tips.org.za/events/aporde/item/3679-aporde-2019-public-lectures"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chart" Target="charts/chart3.xml"/><Relationship Id="rId22" Type="http://schemas.openxmlformats.org/officeDocument/2006/relationships/hyperlink" Target="https://www.southafricanculturalobservatory.org.za/cultural-and-creative-industries-masterplan-survey" TargetMode="External"/><Relationship Id="rId27" Type="http://schemas.openxmlformats.org/officeDocument/2006/relationships/hyperlink" Target="https://www.wto.org/english/news_e/pres21_e/pr876_e.h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E:\3%20SACO%20paper\0%20SACO%202021\Data%20work%202021\Quarterly%20SACO\SA%20cultural%20goods%20exports%202017Q1%20to%202021Q3%20new.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3%20SACO%20paper\0%20SACO%202021\Data%20work%202021\Quarterly%20SACO\SA%20cultural%20goods%20exports%202017Q1%20to%202021Q3%20new.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3%20SACO%20paper\0%20SACO%202021\Data%20work%202021\By%20region\SA%20cultural%20goods%20exports%20to%20USMCA%20with%20Tables%203%20and%204%20new.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3%20SACO%20paper\0%20SACO%202021\Data%20work%202021\By%20region\SA%20cultural%20goods%20exports%20to%20the%20rest%20of%20SADC.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Sheet1!$B$111</c:f>
              <c:strCache>
                <c:ptCount val="1"/>
                <c:pt idx="0">
                  <c:v>Cultural goods exports</c:v>
                </c:pt>
              </c:strCache>
            </c:strRef>
          </c:tx>
          <c:spPr>
            <a:ln w="28575" cap="rnd">
              <a:solidFill>
                <a:schemeClr val="accent1"/>
              </a:solidFill>
              <a:round/>
            </a:ln>
            <a:effectLst/>
          </c:spPr>
          <c:marker>
            <c:symbol val="none"/>
          </c:marker>
          <c:cat>
            <c:strRef>
              <c:f>Sheet1!$C$110:$U$110</c:f>
              <c:strCache>
                <c:ptCount val="19"/>
                <c:pt idx="0">
                  <c:v>2017Q1</c:v>
                </c:pt>
                <c:pt idx="1">
                  <c:v>2017Q2</c:v>
                </c:pt>
                <c:pt idx="2">
                  <c:v>2017Q3</c:v>
                </c:pt>
                <c:pt idx="3">
                  <c:v>2017Q4</c:v>
                </c:pt>
                <c:pt idx="4">
                  <c:v>2018Q1</c:v>
                </c:pt>
                <c:pt idx="5">
                  <c:v>2018Q2</c:v>
                </c:pt>
                <c:pt idx="6">
                  <c:v>2018Q3</c:v>
                </c:pt>
                <c:pt idx="7">
                  <c:v>2018Q4</c:v>
                </c:pt>
                <c:pt idx="8">
                  <c:v>2019Q1</c:v>
                </c:pt>
                <c:pt idx="9">
                  <c:v>2019Q2</c:v>
                </c:pt>
                <c:pt idx="10">
                  <c:v>2019Q3</c:v>
                </c:pt>
                <c:pt idx="11">
                  <c:v>2019Q4</c:v>
                </c:pt>
                <c:pt idx="12">
                  <c:v>2020Q1</c:v>
                </c:pt>
                <c:pt idx="13">
                  <c:v>2020Q2</c:v>
                </c:pt>
                <c:pt idx="14">
                  <c:v>2020Q3</c:v>
                </c:pt>
                <c:pt idx="15">
                  <c:v>2020Q4</c:v>
                </c:pt>
                <c:pt idx="16">
                  <c:v>2021Q1</c:v>
                </c:pt>
                <c:pt idx="17">
                  <c:v>2021Q2</c:v>
                </c:pt>
                <c:pt idx="18">
                  <c:v>2021Q3</c:v>
                </c:pt>
              </c:strCache>
            </c:strRef>
          </c:cat>
          <c:val>
            <c:numRef>
              <c:f>Sheet1!$C$111:$U$111</c:f>
              <c:numCache>
                <c:formatCode>0</c:formatCode>
                <c:ptCount val="19"/>
                <c:pt idx="0">
                  <c:v>108.259</c:v>
                </c:pt>
                <c:pt idx="1">
                  <c:v>74.831999999999994</c:v>
                </c:pt>
                <c:pt idx="2">
                  <c:v>69.314999999999998</c:v>
                </c:pt>
                <c:pt idx="3">
                  <c:v>108.88200000000001</c:v>
                </c:pt>
                <c:pt idx="4">
                  <c:v>115.732</c:v>
                </c:pt>
                <c:pt idx="5">
                  <c:v>106.548</c:v>
                </c:pt>
                <c:pt idx="6">
                  <c:v>108.40900000000001</c:v>
                </c:pt>
                <c:pt idx="7">
                  <c:v>115.81699999999999</c:v>
                </c:pt>
                <c:pt idx="8">
                  <c:v>106.07899999999999</c:v>
                </c:pt>
                <c:pt idx="9">
                  <c:v>87.602999999999994</c:v>
                </c:pt>
                <c:pt idx="10">
                  <c:v>80.444000000000003</c:v>
                </c:pt>
                <c:pt idx="11">
                  <c:v>107.58</c:v>
                </c:pt>
                <c:pt idx="12">
                  <c:v>107.852</c:v>
                </c:pt>
                <c:pt idx="13">
                  <c:v>31.251000000000001</c:v>
                </c:pt>
                <c:pt idx="14">
                  <c:v>82.382000000000005</c:v>
                </c:pt>
                <c:pt idx="15">
                  <c:v>102.67400000000001</c:v>
                </c:pt>
                <c:pt idx="16">
                  <c:v>69.043999999999997</c:v>
                </c:pt>
                <c:pt idx="17">
                  <c:v>93.820999999999998</c:v>
                </c:pt>
                <c:pt idx="18">
                  <c:v>89.62</c:v>
                </c:pt>
              </c:numCache>
            </c:numRef>
          </c:val>
          <c:smooth val="0"/>
          <c:extLst>
            <c:ext xmlns:c16="http://schemas.microsoft.com/office/drawing/2014/chart" uri="{C3380CC4-5D6E-409C-BE32-E72D297353CC}">
              <c16:uniqueId val="{00000000-AB9B-4089-969F-1C162C1DAF58}"/>
            </c:ext>
          </c:extLst>
        </c:ser>
        <c:ser>
          <c:idx val="1"/>
          <c:order val="1"/>
          <c:tx>
            <c:strRef>
              <c:f>Sheet1!$B$112</c:f>
              <c:strCache>
                <c:ptCount val="1"/>
                <c:pt idx="0">
                  <c:v>Cultural goods imports</c:v>
                </c:pt>
              </c:strCache>
            </c:strRef>
          </c:tx>
          <c:spPr>
            <a:ln w="28575" cap="rnd">
              <a:solidFill>
                <a:schemeClr val="accent2"/>
              </a:solidFill>
              <a:round/>
            </a:ln>
            <a:effectLst/>
          </c:spPr>
          <c:marker>
            <c:symbol val="none"/>
          </c:marker>
          <c:cat>
            <c:strRef>
              <c:f>Sheet1!$C$110:$U$110</c:f>
              <c:strCache>
                <c:ptCount val="19"/>
                <c:pt idx="0">
                  <c:v>2017Q1</c:v>
                </c:pt>
                <c:pt idx="1">
                  <c:v>2017Q2</c:v>
                </c:pt>
                <c:pt idx="2">
                  <c:v>2017Q3</c:v>
                </c:pt>
                <c:pt idx="3">
                  <c:v>2017Q4</c:v>
                </c:pt>
                <c:pt idx="4">
                  <c:v>2018Q1</c:v>
                </c:pt>
                <c:pt idx="5">
                  <c:v>2018Q2</c:v>
                </c:pt>
                <c:pt idx="6">
                  <c:v>2018Q3</c:v>
                </c:pt>
                <c:pt idx="7">
                  <c:v>2018Q4</c:v>
                </c:pt>
                <c:pt idx="8">
                  <c:v>2019Q1</c:v>
                </c:pt>
                <c:pt idx="9">
                  <c:v>2019Q2</c:v>
                </c:pt>
                <c:pt idx="10">
                  <c:v>2019Q3</c:v>
                </c:pt>
                <c:pt idx="11">
                  <c:v>2019Q4</c:v>
                </c:pt>
                <c:pt idx="12">
                  <c:v>2020Q1</c:v>
                </c:pt>
                <c:pt idx="13">
                  <c:v>2020Q2</c:v>
                </c:pt>
                <c:pt idx="14">
                  <c:v>2020Q3</c:v>
                </c:pt>
                <c:pt idx="15">
                  <c:v>2020Q4</c:v>
                </c:pt>
                <c:pt idx="16">
                  <c:v>2021Q1</c:v>
                </c:pt>
                <c:pt idx="17">
                  <c:v>2021Q2</c:v>
                </c:pt>
                <c:pt idx="18">
                  <c:v>2021Q3</c:v>
                </c:pt>
              </c:strCache>
            </c:strRef>
          </c:cat>
          <c:val>
            <c:numRef>
              <c:f>Sheet1!$C$112:$U$112</c:f>
              <c:numCache>
                <c:formatCode>0</c:formatCode>
                <c:ptCount val="19"/>
                <c:pt idx="0">
                  <c:v>112.91200000000001</c:v>
                </c:pt>
                <c:pt idx="1">
                  <c:v>98.611999999999995</c:v>
                </c:pt>
                <c:pt idx="2">
                  <c:v>115.495</c:v>
                </c:pt>
                <c:pt idx="3">
                  <c:v>121.232</c:v>
                </c:pt>
                <c:pt idx="4">
                  <c:v>111.29900000000001</c:v>
                </c:pt>
                <c:pt idx="5">
                  <c:v>121.752</c:v>
                </c:pt>
                <c:pt idx="6">
                  <c:v>128.21700000000001</c:v>
                </c:pt>
                <c:pt idx="7">
                  <c:v>108.48399999999999</c:v>
                </c:pt>
                <c:pt idx="8">
                  <c:v>102.627</c:v>
                </c:pt>
                <c:pt idx="9">
                  <c:v>82.245000000000005</c:v>
                </c:pt>
                <c:pt idx="10">
                  <c:v>99.090999999999994</c:v>
                </c:pt>
                <c:pt idx="11">
                  <c:v>110.059</c:v>
                </c:pt>
                <c:pt idx="12">
                  <c:v>81.245000000000005</c:v>
                </c:pt>
                <c:pt idx="13">
                  <c:v>32.500999999999998</c:v>
                </c:pt>
                <c:pt idx="14">
                  <c:v>63.23</c:v>
                </c:pt>
                <c:pt idx="15">
                  <c:v>85.78</c:v>
                </c:pt>
                <c:pt idx="16">
                  <c:v>92.870999999999995</c:v>
                </c:pt>
                <c:pt idx="17">
                  <c:v>82.096000000000004</c:v>
                </c:pt>
                <c:pt idx="18">
                  <c:v>110.786</c:v>
                </c:pt>
              </c:numCache>
            </c:numRef>
          </c:val>
          <c:smooth val="0"/>
          <c:extLst>
            <c:ext xmlns:c16="http://schemas.microsoft.com/office/drawing/2014/chart" uri="{C3380CC4-5D6E-409C-BE32-E72D297353CC}">
              <c16:uniqueId val="{00000001-AB9B-4089-969F-1C162C1DAF58}"/>
            </c:ext>
          </c:extLst>
        </c:ser>
        <c:dLbls>
          <c:showLegendKey val="0"/>
          <c:showVal val="0"/>
          <c:showCatName val="0"/>
          <c:showSerName val="0"/>
          <c:showPercent val="0"/>
          <c:showBubbleSize val="0"/>
        </c:dLbls>
        <c:smooth val="0"/>
        <c:axId val="378251136"/>
        <c:axId val="378252672"/>
      </c:lineChart>
      <c:catAx>
        <c:axId val="378251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8252672"/>
        <c:crosses val="autoZero"/>
        <c:auto val="1"/>
        <c:lblAlgn val="ctr"/>
        <c:lblOffset val="100"/>
        <c:noMultiLvlLbl val="0"/>
      </c:catAx>
      <c:valAx>
        <c:axId val="3782526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8251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Sheet1!$B$115</c:f>
              <c:strCache>
                <c:ptCount val="1"/>
                <c:pt idx="0">
                  <c:v>Total commodity exports</c:v>
                </c:pt>
              </c:strCache>
            </c:strRef>
          </c:tx>
          <c:spPr>
            <a:ln w="28575" cap="rnd">
              <a:solidFill>
                <a:schemeClr val="accent1"/>
              </a:solidFill>
              <a:round/>
            </a:ln>
            <a:effectLst/>
          </c:spPr>
          <c:marker>
            <c:symbol val="none"/>
          </c:marker>
          <c:cat>
            <c:strRef>
              <c:f>Sheet1!$C$114:$U$114</c:f>
              <c:strCache>
                <c:ptCount val="19"/>
                <c:pt idx="0">
                  <c:v>2017Q1</c:v>
                </c:pt>
                <c:pt idx="1">
                  <c:v>2017Q2</c:v>
                </c:pt>
                <c:pt idx="2">
                  <c:v>2017Q3</c:v>
                </c:pt>
                <c:pt idx="3">
                  <c:v>2017Q4</c:v>
                </c:pt>
                <c:pt idx="4">
                  <c:v>2018Q1</c:v>
                </c:pt>
                <c:pt idx="5">
                  <c:v>2018Q2</c:v>
                </c:pt>
                <c:pt idx="6">
                  <c:v>2018Q3</c:v>
                </c:pt>
                <c:pt idx="7">
                  <c:v>2018Q4</c:v>
                </c:pt>
                <c:pt idx="8">
                  <c:v>2019Q1</c:v>
                </c:pt>
                <c:pt idx="9">
                  <c:v>2019Q2</c:v>
                </c:pt>
                <c:pt idx="10">
                  <c:v>2019Q3</c:v>
                </c:pt>
                <c:pt idx="11">
                  <c:v>2019Q4</c:v>
                </c:pt>
                <c:pt idx="12">
                  <c:v>2020Q1</c:v>
                </c:pt>
                <c:pt idx="13">
                  <c:v>2020Q2</c:v>
                </c:pt>
                <c:pt idx="14">
                  <c:v>2020Q3</c:v>
                </c:pt>
                <c:pt idx="15">
                  <c:v>2020Q4</c:v>
                </c:pt>
                <c:pt idx="16">
                  <c:v>2021Q1</c:v>
                </c:pt>
                <c:pt idx="17">
                  <c:v>2021Q2</c:v>
                </c:pt>
                <c:pt idx="18">
                  <c:v>2021Q3</c:v>
                </c:pt>
              </c:strCache>
            </c:strRef>
          </c:cat>
          <c:val>
            <c:numRef>
              <c:f>Sheet1!$C$115:$U$115</c:f>
              <c:numCache>
                <c:formatCode>0</c:formatCode>
                <c:ptCount val="19"/>
                <c:pt idx="0">
                  <c:v>20429.687000000002</c:v>
                </c:pt>
                <c:pt idx="1">
                  <c:v>22646.016</c:v>
                </c:pt>
                <c:pt idx="2">
                  <c:v>22624.766</c:v>
                </c:pt>
                <c:pt idx="3">
                  <c:v>23815.723999999998</c:v>
                </c:pt>
                <c:pt idx="4">
                  <c:v>22550.298999999999</c:v>
                </c:pt>
                <c:pt idx="5">
                  <c:v>23776.014999999999</c:v>
                </c:pt>
                <c:pt idx="6">
                  <c:v>23990.554</c:v>
                </c:pt>
                <c:pt idx="7">
                  <c:v>24104.663</c:v>
                </c:pt>
                <c:pt idx="8">
                  <c:v>20837.871999999999</c:v>
                </c:pt>
                <c:pt idx="9">
                  <c:v>22521.234</c:v>
                </c:pt>
                <c:pt idx="10">
                  <c:v>23549.487000000001</c:v>
                </c:pt>
                <c:pt idx="11">
                  <c:v>23327.083999999999</c:v>
                </c:pt>
                <c:pt idx="12">
                  <c:v>21466.546999999999</c:v>
                </c:pt>
                <c:pt idx="13">
                  <c:v>15221.112999999999</c:v>
                </c:pt>
                <c:pt idx="14">
                  <c:v>22978.992999999999</c:v>
                </c:pt>
                <c:pt idx="15">
                  <c:v>26448.205999999998</c:v>
                </c:pt>
                <c:pt idx="16">
                  <c:v>27170.330999999998</c:v>
                </c:pt>
                <c:pt idx="17">
                  <c:v>34823.055</c:v>
                </c:pt>
                <c:pt idx="18">
                  <c:v>31543.406999999999</c:v>
                </c:pt>
              </c:numCache>
            </c:numRef>
          </c:val>
          <c:smooth val="0"/>
          <c:extLst>
            <c:ext xmlns:c16="http://schemas.microsoft.com/office/drawing/2014/chart" uri="{C3380CC4-5D6E-409C-BE32-E72D297353CC}">
              <c16:uniqueId val="{00000000-5D06-4868-84AD-4DC047292FF7}"/>
            </c:ext>
          </c:extLst>
        </c:ser>
        <c:ser>
          <c:idx val="1"/>
          <c:order val="1"/>
          <c:tx>
            <c:strRef>
              <c:f>Sheet1!$B$116</c:f>
              <c:strCache>
                <c:ptCount val="1"/>
                <c:pt idx="0">
                  <c:v>Total commodity imports</c:v>
                </c:pt>
              </c:strCache>
            </c:strRef>
          </c:tx>
          <c:spPr>
            <a:ln w="28575" cap="rnd">
              <a:solidFill>
                <a:schemeClr val="accent2"/>
              </a:solidFill>
              <a:round/>
            </a:ln>
            <a:effectLst/>
          </c:spPr>
          <c:marker>
            <c:symbol val="none"/>
          </c:marker>
          <c:cat>
            <c:strRef>
              <c:f>Sheet1!$C$114:$U$114</c:f>
              <c:strCache>
                <c:ptCount val="19"/>
                <c:pt idx="0">
                  <c:v>2017Q1</c:v>
                </c:pt>
                <c:pt idx="1">
                  <c:v>2017Q2</c:v>
                </c:pt>
                <c:pt idx="2">
                  <c:v>2017Q3</c:v>
                </c:pt>
                <c:pt idx="3">
                  <c:v>2017Q4</c:v>
                </c:pt>
                <c:pt idx="4">
                  <c:v>2018Q1</c:v>
                </c:pt>
                <c:pt idx="5">
                  <c:v>2018Q2</c:v>
                </c:pt>
                <c:pt idx="6">
                  <c:v>2018Q3</c:v>
                </c:pt>
                <c:pt idx="7">
                  <c:v>2018Q4</c:v>
                </c:pt>
                <c:pt idx="8">
                  <c:v>2019Q1</c:v>
                </c:pt>
                <c:pt idx="9">
                  <c:v>2019Q2</c:v>
                </c:pt>
                <c:pt idx="10">
                  <c:v>2019Q3</c:v>
                </c:pt>
                <c:pt idx="11">
                  <c:v>2019Q4</c:v>
                </c:pt>
                <c:pt idx="12">
                  <c:v>2020Q1</c:v>
                </c:pt>
                <c:pt idx="13">
                  <c:v>2020Q2</c:v>
                </c:pt>
                <c:pt idx="14">
                  <c:v>2020Q3</c:v>
                </c:pt>
                <c:pt idx="15">
                  <c:v>2020Q4</c:v>
                </c:pt>
                <c:pt idx="16">
                  <c:v>2021Q1</c:v>
                </c:pt>
                <c:pt idx="17">
                  <c:v>2021Q2</c:v>
                </c:pt>
                <c:pt idx="18">
                  <c:v>2021Q3</c:v>
                </c:pt>
              </c:strCache>
            </c:strRef>
          </c:cat>
          <c:val>
            <c:numRef>
              <c:f>Sheet1!$C$116:$U$116</c:f>
              <c:numCache>
                <c:formatCode>0</c:formatCode>
                <c:ptCount val="19"/>
                <c:pt idx="0">
                  <c:v>19946.240000000002</c:v>
                </c:pt>
                <c:pt idx="1">
                  <c:v>20725.727999999999</c:v>
                </c:pt>
                <c:pt idx="2">
                  <c:v>21188.376</c:v>
                </c:pt>
                <c:pt idx="3">
                  <c:v>21361.353999999999</c:v>
                </c:pt>
                <c:pt idx="4">
                  <c:v>23980.856</c:v>
                </c:pt>
                <c:pt idx="5">
                  <c:v>22498.166000000001</c:v>
                </c:pt>
                <c:pt idx="6">
                  <c:v>23913.425999999999</c:v>
                </c:pt>
                <c:pt idx="7">
                  <c:v>23031.456999999999</c:v>
                </c:pt>
                <c:pt idx="8">
                  <c:v>21145.589</c:v>
                </c:pt>
                <c:pt idx="9">
                  <c:v>22340.117999999999</c:v>
                </c:pt>
                <c:pt idx="10">
                  <c:v>22954.968000000001</c:v>
                </c:pt>
                <c:pt idx="11">
                  <c:v>21679.282999999999</c:v>
                </c:pt>
                <c:pt idx="12">
                  <c:v>19193.343000000001</c:v>
                </c:pt>
                <c:pt idx="13">
                  <c:v>13554.692999999999</c:v>
                </c:pt>
                <c:pt idx="14">
                  <c:v>16487.378000000001</c:v>
                </c:pt>
                <c:pt idx="15">
                  <c:v>19739.942999999999</c:v>
                </c:pt>
                <c:pt idx="16">
                  <c:v>20904.859</c:v>
                </c:pt>
                <c:pt idx="17">
                  <c:v>23231.573</c:v>
                </c:pt>
                <c:pt idx="18">
                  <c:v>24597.260999999999</c:v>
                </c:pt>
              </c:numCache>
            </c:numRef>
          </c:val>
          <c:smooth val="0"/>
          <c:extLst>
            <c:ext xmlns:c16="http://schemas.microsoft.com/office/drawing/2014/chart" uri="{C3380CC4-5D6E-409C-BE32-E72D297353CC}">
              <c16:uniqueId val="{00000001-5D06-4868-84AD-4DC047292FF7}"/>
            </c:ext>
          </c:extLst>
        </c:ser>
        <c:dLbls>
          <c:showLegendKey val="0"/>
          <c:showVal val="0"/>
          <c:showCatName val="0"/>
          <c:showSerName val="0"/>
          <c:showPercent val="0"/>
          <c:showBubbleSize val="0"/>
        </c:dLbls>
        <c:smooth val="0"/>
        <c:axId val="376919168"/>
        <c:axId val="376920704"/>
      </c:lineChart>
      <c:catAx>
        <c:axId val="376919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6920704"/>
        <c:crosses val="autoZero"/>
        <c:auto val="1"/>
        <c:lblAlgn val="ctr"/>
        <c:lblOffset val="100"/>
        <c:noMultiLvlLbl val="0"/>
      </c:catAx>
      <c:valAx>
        <c:axId val="37692070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6919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'Table 3 and graphs'!$A$12</c:f>
              <c:strCache>
                <c:ptCount val="1"/>
                <c:pt idx="0">
                  <c:v>Cultural exports to USMCA</c:v>
                </c:pt>
              </c:strCache>
            </c:strRef>
          </c:tx>
          <c:spPr>
            <a:ln w="28575" cap="rnd">
              <a:solidFill>
                <a:schemeClr val="accent1"/>
              </a:solidFill>
              <a:round/>
            </a:ln>
            <a:effectLst/>
          </c:spPr>
          <c:marker>
            <c:symbol val="none"/>
          </c:marker>
          <c:cat>
            <c:numRef>
              <c:f>'Table 3 and graphs'!$B$11:$U$11</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'Table 3 and graphs'!$B$12:$U$12</c:f>
              <c:numCache>
                <c:formatCode>0</c:formatCode>
                <c:ptCount val="20"/>
                <c:pt idx="0">
                  <c:v>38.706000000000003</c:v>
                </c:pt>
                <c:pt idx="1">
                  <c:v>51.808999999999997</c:v>
                </c:pt>
                <c:pt idx="2">
                  <c:v>67.192999999999998</c:v>
                </c:pt>
                <c:pt idx="3">
                  <c:v>70.721000000000004</c:v>
                </c:pt>
                <c:pt idx="4">
                  <c:v>70.793999999999997</c:v>
                </c:pt>
                <c:pt idx="5">
                  <c:v>71.366</c:v>
                </c:pt>
                <c:pt idx="6">
                  <c:v>71.676000000000002</c:v>
                </c:pt>
                <c:pt idx="7">
                  <c:v>68.010999999999996</c:v>
                </c:pt>
                <c:pt idx="8">
                  <c:v>53.218000000000004</c:v>
                </c:pt>
                <c:pt idx="9">
                  <c:v>43.753999999999998</c:v>
                </c:pt>
                <c:pt idx="10">
                  <c:v>39.469000000000001</c:v>
                </c:pt>
                <c:pt idx="11">
                  <c:v>52.152999999999999</c:v>
                </c:pt>
                <c:pt idx="12">
                  <c:v>57.231000000000002</c:v>
                </c:pt>
                <c:pt idx="13">
                  <c:v>68.290999999999997</c:v>
                </c:pt>
                <c:pt idx="14">
                  <c:v>107.83</c:v>
                </c:pt>
                <c:pt idx="15">
                  <c:v>150.934</c:v>
                </c:pt>
                <c:pt idx="16">
                  <c:v>131.262</c:v>
                </c:pt>
                <c:pt idx="17">
                  <c:v>148.46899999999999</c:v>
                </c:pt>
                <c:pt idx="18">
                  <c:v>149.44</c:v>
                </c:pt>
                <c:pt idx="19">
                  <c:v>146.542</c:v>
                </c:pt>
              </c:numCache>
            </c:numRef>
          </c:val>
          <c:smooth val="0"/>
          <c:extLst>
            <c:ext xmlns:c16="http://schemas.microsoft.com/office/drawing/2014/chart" uri="{C3380CC4-5D6E-409C-BE32-E72D297353CC}">
              <c16:uniqueId val="{00000000-509E-4671-B407-A7CD61843CF7}"/>
            </c:ext>
          </c:extLst>
        </c:ser>
        <c:ser>
          <c:idx val="1"/>
          <c:order val="1"/>
          <c:tx>
            <c:strRef>
              <c:f>'Table 3 and graphs'!$A$13</c:f>
              <c:strCache>
                <c:ptCount val="1"/>
                <c:pt idx="0">
                  <c:v>Cultural imports from USMCA</c:v>
                </c:pt>
              </c:strCache>
            </c:strRef>
          </c:tx>
          <c:spPr>
            <a:ln w="28575" cap="rnd">
              <a:solidFill>
                <a:schemeClr val="accent2"/>
              </a:solidFill>
              <a:round/>
            </a:ln>
            <a:effectLst/>
          </c:spPr>
          <c:marker>
            <c:symbol val="none"/>
          </c:marker>
          <c:cat>
            <c:numRef>
              <c:f>'Table 3 and graphs'!$B$11:$U$11</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'Table 3 and graphs'!$B$13:$U$13</c:f>
              <c:numCache>
                <c:formatCode>0</c:formatCode>
                <c:ptCount val="20"/>
                <c:pt idx="0">
                  <c:v>37.698999999999998</c:v>
                </c:pt>
                <c:pt idx="1">
                  <c:v>33.432000000000002</c:v>
                </c:pt>
                <c:pt idx="2">
                  <c:v>35.081000000000003</c:v>
                </c:pt>
                <c:pt idx="3">
                  <c:v>50.936</c:v>
                </c:pt>
                <c:pt idx="4">
                  <c:v>54.155000000000001</c:v>
                </c:pt>
                <c:pt idx="5">
                  <c:v>53.435000000000002</c:v>
                </c:pt>
                <c:pt idx="6">
                  <c:v>83.284000000000006</c:v>
                </c:pt>
                <c:pt idx="7">
                  <c:v>87.043000000000006</c:v>
                </c:pt>
                <c:pt idx="8">
                  <c:v>69.183000000000007</c:v>
                </c:pt>
                <c:pt idx="9">
                  <c:v>71.19</c:v>
                </c:pt>
                <c:pt idx="10">
                  <c:v>67.637</c:v>
                </c:pt>
                <c:pt idx="11">
                  <c:v>63.581000000000003</c:v>
                </c:pt>
                <c:pt idx="12">
                  <c:v>62.405999999999999</c:v>
                </c:pt>
                <c:pt idx="13">
                  <c:v>51.365000000000002</c:v>
                </c:pt>
                <c:pt idx="14">
                  <c:v>56.518000000000001</c:v>
                </c:pt>
                <c:pt idx="15">
                  <c:v>40.128</c:v>
                </c:pt>
                <c:pt idx="16">
                  <c:v>39.494</c:v>
                </c:pt>
                <c:pt idx="17">
                  <c:v>42.082999999999998</c:v>
                </c:pt>
                <c:pt idx="18">
                  <c:v>37.798000000000002</c:v>
                </c:pt>
                <c:pt idx="19">
                  <c:v>25.068000000000001</c:v>
                </c:pt>
              </c:numCache>
            </c:numRef>
          </c:val>
          <c:smooth val="0"/>
          <c:extLst>
            <c:ext xmlns:c16="http://schemas.microsoft.com/office/drawing/2014/chart" uri="{C3380CC4-5D6E-409C-BE32-E72D297353CC}">
              <c16:uniqueId val="{00000001-509E-4671-B407-A7CD61843CF7}"/>
            </c:ext>
          </c:extLst>
        </c:ser>
        <c:dLbls>
          <c:showLegendKey val="0"/>
          <c:showVal val="0"/>
          <c:showCatName val="0"/>
          <c:showSerName val="0"/>
          <c:showPercent val="0"/>
          <c:showBubbleSize val="0"/>
        </c:dLbls>
        <c:smooth val="0"/>
        <c:axId val="376939648"/>
        <c:axId val="376941184"/>
      </c:lineChart>
      <c:catAx>
        <c:axId val="376939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6941184"/>
        <c:crosses val="autoZero"/>
        <c:auto val="1"/>
        <c:lblAlgn val="ctr"/>
        <c:lblOffset val="100"/>
        <c:noMultiLvlLbl val="0"/>
      </c:catAx>
      <c:valAx>
        <c:axId val="37694118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6939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Sheet2!$A$12</c:f>
              <c:strCache>
                <c:ptCount val="1"/>
                <c:pt idx="0">
                  <c:v>Cultural exports to SADC</c:v>
                </c:pt>
              </c:strCache>
            </c:strRef>
          </c:tx>
          <c:spPr>
            <a:ln w="28575" cap="rnd">
              <a:solidFill>
                <a:schemeClr val="accent1"/>
              </a:solidFill>
              <a:round/>
            </a:ln>
            <a:effectLst/>
          </c:spPr>
          <c:marker>
            <c:symbol val="none"/>
          </c:marker>
          <c:cat>
            <c:numRef>
              <c:f>Sheet2!$B$11:$U$11</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Sheet2!$B$12:$U$12</c:f>
              <c:numCache>
                <c:formatCode>0.00</c:formatCode>
                <c:ptCount val="20"/>
                <c:pt idx="0">
                  <c:v>12.010999999999999</c:v>
                </c:pt>
                <c:pt idx="1">
                  <c:v>13.679</c:v>
                </c:pt>
                <c:pt idx="2">
                  <c:v>21.722999999999999</c:v>
                </c:pt>
                <c:pt idx="3">
                  <c:v>20.266999999999999</c:v>
                </c:pt>
                <c:pt idx="4">
                  <c:v>26.93</c:v>
                </c:pt>
                <c:pt idx="5">
                  <c:v>35.75</c:v>
                </c:pt>
                <c:pt idx="6">
                  <c:v>34.075000000000003</c:v>
                </c:pt>
                <c:pt idx="7">
                  <c:v>38.322000000000003</c:v>
                </c:pt>
                <c:pt idx="8">
                  <c:v>33.335999999999999</c:v>
                </c:pt>
                <c:pt idx="9">
                  <c:v>141.92699999999999</c:v>
                </c:pt>
                <c:pt idx="10">
                  <c:v>139.17500000000001</c:v>
                </c:pt>
                <c:pt idx="11">
                  <c:v>113.971</c:v>
                </c:pt>
                <c:pt idx="12">
                  <c:v>106.614</c:v>
                </c:pt>
                <c:pt idx="13">
                  <c:v>97.656000000000006</c:v>
                </c:pt>
                <c:pt idx="14">
                  <c:v>94.638999999999996</c:v>
                </c:pt>
                <c:pt idx="15">
                  <c:v>79.512</c:v>
                </c:pt>
                <c:pt idx="16">
                  <c:v>80.201999999999998</c:v>
                </c:pt>
                <c:pt idx="17">
                  <c:v>94.064999999999998</c:v>
                </c:pt>
                <c:pt idx="18">
                  <c:v>75.927999999999997</c:v>
                </c:pt>
                <c:pt idx="19">
                  <c:v>89.355000000000004</c:v>
                </c:pt>
              </c:numCache>
            </c:numRef>
          </c:val>
          <c:smooth val="0"/>
          <c:extLst>
            <c:ext xmlns:c16="http://schemas.microsoft.com/office/drawing/2014/chart" uri="{C3380CC4-5D6E-409C-BE32-E72D297353CC}">
              <c16:uniqueId val="{00000000-F4A8-4A7C-96E9-0BB69AB50AB1}"/>
            </c:ext>
          </c:extLst>
        </c:ser>
        <c:ser>
          <c:idx val="1"/>
          <c:order val="1"/>
          <c:tx>
            <c:strRef>
              <c:f>Sheet2!$A$13</c:f>
              <c:strCache>
                <c:ptCount val="1"/>
                <c:pt idx="0">
                  <c:v>Cultural imports from SADC</c:v>
                </c:pt>
              </c:strCache>
            </c:strRef>
          </c:tx>
          <c:spPr>
            <a:ln w="28575" cap="rnd">
              <a:solidFill>
                <a:schemeClr val="accent2"/>
              </a:solidFill>
              <a:round/>
            </a:ln>
            <a:effectLst/>
          </c:spPr>
          <c:marker>
            <c:symbol val="none"/>
          </c:marker>
          <c:cat>
            <c:numRef>
              <c:f>Sheet2!$B$11:$U$11</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Sheet2!$B$13:$U$13</c:f>
              <c:numCache>
                <c:formatCode>0.00</c:formatCode>
                <c:ptCount val="20"/>
                <c:pt idx="0">
                  <c:v>0.83599999999999997</c:v>
                </c:pt>
                <c:pt idx="1">
                  <c:v>0.69899999999999995</c:v>
                </c:pt>
                <c:pt idx="2">
                  <c:v>0.82099999999999995</c:v>
                </c:pt>
                <c:pt idx="3">
                  <c:v>1</c:v>
                </c:pt>
                <c:pt idx="4">
                  <c:v>1.4119999999999999</c:v>
                </c:pt>
                <c:pt idx="5">
                  <c:v>1.821</c:v>
                </c:pt>
                <c:pt idx="6">
                  <c:v>1.8819999999999999</c:v>
                </c:pt>
                <c:pt idx="7">
                  <c:v>2.2029999999999998</c:v>
                </c:pt>
                <c:pt idx="8">
                  <c:v>3.1859999999999999</c:v>
                </c:pt>
                <c:pt idx="9">
                  <c:v>30.041</c:v>
                </c:pt>
                <c:pt idx="10">
                  <c:v>44.31</c:v>
                </c:pt>
                <c:pt idx="11">
                  <c:v>50.776000000000003</c:v>
                </c:pt>
                <c:pt idx="12">
                  <c:v>43.234999999999999</c:v>
                </c:pt>
                <c:pt idx="13">
                  <c:v>29.538</c:v>
                </c:pt>
                <c:pt idx="14">
                  <c:v>24.911000000000001</c:v>
                </c:pt>
                <c:pt idx="15">
                  <c:v>20.363</c:v>
                </c:pt>
                <c:pt idx="16">
                  <c:v>20.204000000000001</c:v>
                </c:pt>
                <c:pt idx="17">
                  <c:v>19.154</c:v>
                </c:pt>
                <c:pt idx="18">
                  <c:v>13.586</c:v>
                </c:pt>
                <c:pt idx="19">
                  <c:v>8.4770000000000003</c:v>
                </c:pt>
              </c:numCache>
            </c:numRef>
          </c:val>
          <c:smooth val="0"/>
          <c:extLst>
            <c:ext xmlns:c16="http://schemas.microsoft.com/office/drawing/2014/chart" uri="{C3380CC4-5D6E-409C-BE32-E72D297353CC}">
              <c16:uniqueId val="{00000001-F4A8-4A7C-96E9-0BB69AB50AB1}"/>
            </c:ext>
          </c:extLst>
        </c:ser>
        <c:dLbls>
          <c:showLegendKey val="0"/>
          <c:showVal val="0"/>
          <c:showCatName val="0"/>
          <c:showSerName val="0"/>
          <c:showPercent val="0"/>
          <c:showBubbleSize val="0"/>
        </c:dLbls>
        <c:smooth val="0"/>
        <c:axId val="383066112"/>
        <c:axId val="383067648"/>
      </c:lineChart>
      <c:catAx>
        <c:axId val="383066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3067648"/>
        <c:crosses val="autoZero"/>
        <c:auto val="1"/>
        <c:lblAlgn val="ctr"/>
        <c:lblOffset val="100"/>
        <c:noMultiLvlLbl val="0"/>
      </c:catAx>
      <c:valAx>
        <c:axId val="38306764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30661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iD7gyvbXXX2T7xT3WiVKMLxQFuQ==">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</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DDA26C3-17CE-4CB1-86FC-AED1CC97A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18698</Words>
  <Characters>106581</Characters>
  <Application>Microsoft Office Word</Application>
  <DocSecurity>0</DocSecurity>
  <Lines>888</Lines>
  <Paragraphs>250</Paragraphs>
  <ScaleCrop>false</ScaleCrop>
  <HeadingPairs>
    <vt:vector size="2" baseType="variant">
      <vt:variant>
        <vt:lpstr>Title</vt:lpstr>
      </vt:variant>
      <vt:variant>
        <vt:i4>1</vt:i4>
      </vt:variant>
    </vt:vector>
  </HeadingPairs>
  <TitlesOfParts>
    <vt:vector size="1" baseType="lpstr">
      <vt:lpstr/>
    </vt:vector>
  </TitlesOfParts>
  <Company>Rhodes University</Company>
  <LinksUpToDate>false</LinksUpToDate>
  <CharactersWithSpaces>125029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June 2017</dc:creator>
  <cp:lastModifiedBy>Derrocks, René (Ms) (Bird Street Campus )</cp:lastModifiedBy>
  <cp:revision>2</cp:revision>
  <cp:lastPrinted>2022-01-10T16:08:00Z</cp:lastPrinted>
  <dcterms:created xsi:type="dcterms:W3CDTF">2022-02-09T06:52:00Z</dcterms:created>
  <dcterms:modified xsi:type="dcterms:W3CDTF">2022-02-09T06:52:00Z</dcterms:modified>
</cp:coreProperties>
</file>