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39297D" w:rsidRDefault="004273CA">
      <w:pPr>
        <w:rPr>
          <w:sz w:val="22"/>
          <w:szCs w:val="22"/>
        </w:rPr>
      </w:pPr>
      <w:bookmarkStart w:id="0" w:name="_heading=h.gjdgxs" w:colFirst="0" w:colLast="0"/>
      <w:bookmarkStart w:id="1" w:name="_GoBack"/>
      <w:bookmarkEnd w:id="0"/>
      <w:r>
        <w:rPr>
          <w:noProof/>
          <w:lang w:val="en-ZA"/>
        </w:rPr>
        <w:drawing>
          <wp:anchor distT="0" distB="0" distL="114300" distR="114300" simplePos="0" relativeHeight="251658240" behindDoc="0" locked="0" layoutInCell="1" hidden="0" allowOverlap="1" wp14:anchorId="468598FB" wp14:editId="0E4AA61C">
            <wp:simplePos x="0" y="0"/>
            <wp:positionH relativeFrom="page">
              <wp:posOffset>19050</wp:posOffset>
            </wp:positionH>
            <wp:positionV relativeFrom="page">
              <wp:align>top</wp:align>
            </wp:positionV>
            <wp:extent cx="7559387" cy="10692875"/>
            <wp:effectExtent l="0" t="0" r="0" b="0"/>
            <wp:wrapNone/>
            <wp:docPr id="7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7559387" cy="10692875"/>
                    </a:xfrm>
                    <a:prstGeom prst="rect">
                      <a:avLst/>
                    </a:prstGeom>
                    <a:ln/>
                  </pic:spPr>
                </pic:pic>
              </a:graphicData>
            </a:graphic>
          </wp:anchor>
        </w:drawing>
      </w:r>
    </w:p>
    <w:bookmarkEnd w:id="1"/>
    <w:p w14:paraId="00000002" w14:textId="77777777" w:rsidR="0039297D" w:rsidRDefault="0039297D">
      <w:pPr>
        <w:rPr>
          <w:sz w:val="22"/>
          <w:szCs w:val="22"/>
        </w:rPr>
      </w:pPr>
    </w:p>
    <w:p w14:paraId="00000003" w14:textId="77777777" w:rsidR="0039297D" w:rsidRDefault="004273CA">
      <w:pPr>
        <w:rPr>
          <w:color w:val="2E75B5"/>
          <w:sz w:val="22"/>
          <w:szCs w:val="22"/>
        </w:rPr>
      </w:pPr>
      <w:r>
        <w:br w:type="page"/>
      </w:r>
      <w:r>
        <w:rPr>
          <w:noProof/>
          <w:lang w:val="en-ZA"/>
        </w:rPr>
        <mc:AlternateContent>
          <mc:Choice Requires="wps">
            <w:drawing>
              <wp:anchor distT="45720" distB="45720" distL="114300" distR="114300" simplePos="0" relativeHeight="251659264" behindDoc="0" locked="0" layoutInCell="1" hidden="0" allowOverlap="1" wp14:anchorId="60D33A3D" wp14:editId="226E2D99">
                <wp:simplePos x="0" y="0"/>
                <wp:positionH relativeFrom="column">
                  <wp:posOffset>342900</wp:posOffset>
                </wp:positionH>
                <wp:positionV relativeFrom="paragraph">
                  <wp:posOffset>4122420</wp:posOffset>
                </wp:positionV>
                <wp:extent cx="5026025" cy="1752600"/>
                <wp:effectExtent l="0" t="0" r="0" b="0"/>
                <wp:wrapSquare wrapText="bothSides" distT="45720" distB="45720" distL="114300" distR="114300"/>
                <wp:docPr id="65" name="Rectangle 65"/>
                <wp:cNvGraphicFramePr/>
                <a:graphic xmlns:a="http://schemas.openxmlformats.org/drawingml/2006/main">
                  <a:graphicData uri="http://schemas.microsoft.com/office/word/2010/wordprocessingShape">
                    <wps:wsp>
                      <wps:cNvSpPr/>
                      <wps:spPr>
                        <a:xfrm>
                          <a:off x="2837750" y="2908463"/>
                          <a:ext cx="5016500" cy="1743075"/>
                        </a:xfrm>
                        <a:prstGeom prst="rect">
                          <a:avLst/>
                        </a:prstGeom>
                        <a:noFill/>
                        <a:ln>
                          <a:noFill/>
                        </a:ln>
                      </wps:spPr>
                      <wps:txbx>
                        <w:txbxContent>
                          <w:p w14:paraId="748F4F08" w14:textId="77777777" w:rsidR="003A0522" w:rsidRDefault="003A0522">
                            <w:pPr>
                              <w:jc w:val="center"/>
                              <w:textDirection w:val="btLr"/>
                            </w:pPr>
                            <w:r>
                              <w:rPr>
                                <w:b/>
                                <w:color w:val="FFFFFF"/>
                                <w:sz w:val="36"/>
                              </w:rPr>
                              <w:t>The South African Creative Economy in Historical Context</w:t>
                            </w:r>
                          </w:p>
                          <w:p w14:paraId="38D7EE5A" w14:textId="77777777" w:rsidR="003A0522" w:rsidRDefault="003A0522">
                            <w:pPr>
                              <w:jc w:val="center"/>
                              <w:textDirection w:val="btLr"/>
                            </w:pPr>
                            <w:r>
                              <w:rPr>
                                <w:color w:val="FFFFFF"/>
                                <w:sz w:val="36"/>
                              </w:rPr>
                              <w:t>2022</w:t>
                            </w:r>
                          </w:p>
                          <w:p w14:paraId="4EDFC3B1" w14:textId="77777777" w:rsidR="003A0522" w:rsidRDefault="003A0522">
                            <w:pPr>
                              <w:textDirection w:val="btLr"/>
                            </w:pPr>
                          </w:p>
                          <w:p w14:paraId="796344B3" w14:textId="77777777" w:rsidR="003A0522" w:rsidRDefault="003A0522">
                            <w:pPr>
                              <w:textDirection w:val="btLr"/>
                            </w:pPr>
                            <w:r>
                              <w:rPr>
                                <w:color w:val="FFFFFF"/>
                                <w:sz w:val="56"/>
                              </w:rPr>
                              <w:tab/>
                            </w:r>
                            <w:r>
                              <w:rPr>
                                <w:color w:val="FFFFFF"/>
                                <w:sz w:val="56"/>
                              </w:rPr>
                              <w:tab/>
                            </w:r>
                          </w:p>
                          <w:p w14:paraId="704F7A57" w14:textId="77777777" w:rsidR="003A0522" w:rsidRDefault="003A0522">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0D33A3D" id="Rectangle 65" o:spid="_x0000_s1026" style="position:absolute;left:0;text-align:left;margin-left:27pt;margin-top:324.6pt;width:395.75pt;height:138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" filled="f" stroked="f">
                <v:textbox inset="2.53958mm,1.2694mm,2.53958mm,1.2694mm">
                  <w:txbxContent>
                    <w:p w14:paraId="748F4F08" w14:textId="77777777" w:rsidR="003A0522" w:rsidRDefault="003A0522">
                      <w:pPr>
                        <w:jc w:val="center"/>
                        <w:textDirection w:val="btLr"/>
                      </w:pPr>
                      <w:r>
                        <w:rPr>
                          <w:b/>
                          <w:color w:val="FFFFFF"/>
                          <w:sz w:val="36"/>
                        </w:rPr>
                        <w:t>The South African Creative Economy in Historical Context</w:t>
                      </w:r>
                    </w:p>
                    <w:p w14:paraId="38D7EE5A" w14:textId="77777777" w:rsidR="003A0522" w:rsidRDefault="003A0522">
                      <w:pPr>
                        <w:jc w:val="center"/>
                        <w:textDirection w:val="btLr"/>
                      </w:pPr>
                      <w:r>
                        <w:rPr>
                          <w:color w:val="FFFFFF"/>
                          <w:sz w:val="36"/>
                        </w:rPr>
                        <w:t>2022</w:t>
                      </w:r>
                    </w:p>
                    <w:p w14:paraId="4EDFC3B1" w14:textId="77777777" w:rsidR="003A0522" w:rsidRDefault="003A0522">
                      <w:pPr>
                        <w:textDirection w:val="btLr"/>
                      </w:pPr>
                    </w:p>
                    <w:p w14:paraId="796344B3" w14:textId="77777777" w:rsidR="003A0522" w:rsidRDefault="003A0522">
                      <w:pPr>
                        <w:textDirection w:val="btLr"/>
                      </w:pPr>
                      <w:r>
                        <w:rPr>
                          <w:color w:val="FFFFFF"/>
                          <w:sz w:val="56"/>
                        </w:rPr>
                        <w:tab/>
                      </w:r>
                      <w:r>
                        <w:rPr>
                          <w:color w:val="FFFFFF"/>
                          <w:sz w:val="56"/>
                        </w:rPr>
                        <w:tab/>
                      </w:r>
                    </w:p>
                    <w:p w14:paraId="704F7A57" w14:textId="77777777" w:rsidR="003A0522" w:rsidRDefault="003A0522">
                      <w:pPr>
                        <w:textDirection w:val="btLr"/>
                      </w:pPr>
                    </w:p>
                  </w:txbxContent>
                </v:textbox>
                <w10:wrap type="square"/>
              </v:rect>
            </w:pict>
          </mc:Fallback>
        </mc:AlternateContent>
      </w:r>
      <w:r>
        <w:rPr>
          <w:noProof/>
          <w:lang w:val="en-ZA"/>
        </w:rPr>
        <mc:AlternateContent>
          <mc:Choice Requires="wps">
            <w:drawing>
              <wp:anchor distT="45720" distB="45720" distL="114300" distR="114300" simplePos="0" relativeHeight="251660288" behindDoc="0" locked="0" layoutInCell="1" hidden="0" allowOverlap="1" wp14:anchorId="77D80E96" wp14:editId="36B47FB0">
                <wp:simplePos x="0" y="0"/>
                <wp:positionH relativeFrom="column">
                  <wp:posOffset>673100</wp:posOffset>
                </wp:positionH>
                <wp:positionV relativeFrom="paragraph">
                  <wp:posOffset>3754120</wp:posOffset>
                </wp:positionV>
                <wp:extent cx="4381500" cy="1752600"/>
                <wp:effectExtent l="0" t="0" r="0" b="0"/>
                <wp:wrapSquare wrapText="bothSides" distT="45720" distB="45720" distL="114300" distR="114300"/>
                <wp:docPr id="69" name="Rectangle 69"/>
                <wp:cNvGraphicFramePr/>
                <a:graphic xmlns:a="http://schemas.openxmlformats.org/drawingml/2006/main">
                  <a:graphicData uri="http://schemas.microsoft.com/office/word/2010/wordprocessingShape">
                    <wps:wsp>
                      <wps:cNvSpPr/>
                      <wps:spPr>
                        <a:xfrm>
                          <a:off x="3160013" y="2908463"/>
                          <a:ext cx="4371975" cy="1743075"/>
                        </a:xfrm>
                        <a:prstGeom prst="rect">
                          <a:avLst/>
                        </a:prstGeom>
                        <a:noFill/>
                        <a:ln>
                          <a:noFill/>
                        </a:ln>
                      </wps:spPr>
                      <wps:txbx>
                        <w:txbxContent>
                          <w:p w14:paraId="1A055EA4" w14:textId="77777777" w:rsidR="003A0522" w:rsidRDefault="003A0522">
                            <w:pPr>
                              <w:jc w:val="center"/>
                              <w:textDirection w:val="btLr"/>
                            </w:pPr>
                            <w:r>
                              <w:rPr>
                                <w:b/>
                                <w:color w:val="000000"/>
                                <w:sz w:val="36"/>
                              </w:rPr>
                              <w:t>The South African Creative Economy in Historical Context</w:t>
                            </w:r>
                          </w:p>
                          <w:p w14:paraId="5B0C797E" w14:textId="77777777" w:rsidR="003A0522" w:rsidRDefault="003A0522">
                            <w:pPr>
                              <w:jc w:val="center"/>
                              <w:textDirection w:val="btLr"/>
                            </w:pPr>
                            <w:r>
                              <w:rPr>
                                <w:color w:val="000000"/>
                                <w:sz w:val="36"/>
                              </w:rPr>
                              <w:t>2022</w:t>
                            </w:r>
                          </w:p>
                          <w:p w14:paraId="089DAE4B" w14:textId="77777777" w:rsidR="003A0522" w:rsidRDefault="003A0522">
                            <w:pPr>
                              <w:textDirection w:val="btLr"/>
                            </w:pPr>
                          </w:p>
                          <w:p w14:paraId="24342CB8" w14:textId="77777777" w:rsidR="003A0522" w:rsidRDefault="003A0522">
                            <w:pPr>
                              <w:textDirection w:val="btLr"/>
                            </w:pPr>
                            <w:r>
                              <w:rPr>
                                <w:color w:val="FFFFFF"/>
                                <w:sz w:val="56"/>
                              </w:rPr>
                              <w:tab/>
                            </w:r>
                            <w:r>
                              <w:rPr>
                                <w:color w:val="FFFFFF"/>
                                <w:sz w:val="56"/>
                              </w:rPr>
                              <w:tab/>
                            </w:r>
                          </w:p>
                          <w:p w14:paraId="00A44E89" w14:textId="77777777" w:rsidR="003A0522" w:rsidRDefault="003A0522">
                            <w:pPr>
                              <w:textDirection w:val="btLr"/>
                            </w:pP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7D80E96" id="Rectangle 69" o:spid="_x0000_s1027" style="position:absolute;left:0;text-align:left;margin-left:53pt;margin-top:295.6pt;width:345pt;height:138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" filled="f" stroked="f">
                <v:textbox inset="2.53958mm,1.2694mm,2.53958mm,1.2694mm">
                  <w:txbxContent>
                    <w:p w14:paraId="1A055EA4" w14:textId="77777777" w:rsidR="003A0522" w:rsidRDefault="003A0522">
                      <w:pPr>
                        <w:jc w:val="center"/>
                        <w:textDirection w:val="btLr"/>
                      </w:pPr>
                      <w:r>
                        <w:rPr>
                          <w:b/>
                          <w:color w:val="000000"/>
                          <w:sz w:val="36"/>
                        </w:rPr>
                        <w:t>The South African Creative Economy in Historical Context</w:t>
                      </w:r>
                    </w:p>
                    <w:p w14:paraId="5B0C797E" w14:textId="77777777" w:rsidR="003A0522" w:rsidRDefault="003A0522">
                      <w:pPr>
                        <w:jc w:val="center"/>
                        <w:textDirection w:val="btLr"/>
                      </w:pPr>
                      <w:r>
                        <w:rPr>
                          <w:color w:val="000000"/>
                          <w:sz w:val="36"/>
                        </w:rPr>
                        <w:t>2022</w:t>
                      </w:r>
                    </w:p>
                    <w:p w14:paraId="089DAE4B" w14:textId="77777777" w:rsidR="003A0522" w:rsidRDefault="003A0522">
                      <w:pPr>
                        <w:textDirection w:val="btLr"/>
                      </w:pPr>
                    </w:p>
                    <w:p w14:paraId="24342CB8" w14:textId="77777777" w:rsidR="003A0522" w:rsidRDefault="003A0522">
                      <w:pPr>
                        <w:textDirection w:val="btLr"/>
                      </w:pPr>
                      <w:r>
                        <w:rPr>
                          <w:color w:val="FFFFFF"/>
                          <w:sz w:val="56"/>
                        </w:rPr>
                        <w:tab/>
                      </w:r>
                      <w:r>
                        <w:rPr>
                          <w:color w:val="FFFFFF"/>
                          <w:sz w:val="56"/>
                        </w:rPr>
                        <w:tab/>
                      </w:r>
                    </w:p>
                    <w:p w14:paraId="00A44E89" w14:textId="77777777" w:rsidR="003A0522" w:rsidRDefault="003A0522">
                      <w:pPr>
                        <w:textDirection w:val="btLr"/>
                      </w:pPr>
                    </w:p>
                  </w:txbxContent>
                </v:textbox>
                <w10:wrap type="square"/>
              </v:rect>
            </w:pict>
          </mc:Fallback>
        </mc:AlternateContent>
      </w:r>
    </w:p>
    <w:bookmarkStart w:id="2" w:name="_heading=h.30j0zll" w:colFirst="0" w:colLast="0"/>
    <w:bookmarkEnd w:id="2"/>
    <w:p w14:paraId="00000004" w14:textId="77777777" w:rsidR="0039297D" w:rsidRDefault="004273CA">
      <w:pPr>
        <w:pStyle w:val="Subtitle"/>
        <w:jc w:val="left"/>
        <w:rPr>
          <w:color w:val="4472C4"/>
          <w:sz w:val="22"/>
          <w:szCs w:val="22"/>
        </w:rPr>
      </w:pPr>
      <w:r>
        <w:rPr>
          <w:noProof/>
          <w:color w:val="4472C4"/>
          <w:sz w:val="22"/>
          <w:szCs w:val="22"/>
          <w:lang w:val="en-ZA"/>
        </w:rPr>
        <w:lastRenderedPageBreak/>
        <mc:AlternateContent>
          <mc:Choice Requires="wps">
            <w:drawing>
              <wp:anchor distT="0" distB="0" distL="274320" distR="114300" simplePos="0" relativeHeight="251661312" behindDoc="0" locked="0" layoutInCell="1" hidden="0" allowOverlap="1" wp14:anchorId="45934BB1" wp14:editId="50D2E8B2">
                <wp:simplePos x="0" y="0"/>
                <wp:positionH relativeFrom="margin">
                  <wp:posOffset>4464050</wp:posOffset>
                </wp:positionH>
                <wp:positionV relativeFrom="margin">
                  <wp:posOffset>-233045</wp:posOffset>
                </wp:positionV>
                <wp:extent cx="1912620" cy="9260205"/>
                <wp:effectExtent l="0" t="0" r="0" b="0"/>
                <wp:wrapSquare wrapText="bothSides" distT="0" distB="0" distL="274320" distR="114300"/>
                <wp:docPr id="62" name="Rectangle 62"/>
                <wp:cNvGraphicFramePr/>
                <a:graphic xmlns:a="http://schemas.openxmlformats.org/drawingml/2006/main">
                  <a:graphicData uri="http://schemas.microsoft.com/office/word/2010/wordprocessingShape">
                    <wps:wsp>
                      <wps:cNvSpPr/>
                      <wps:spPr>
                        <a:xfrm>
                          <a:off x="0" y="0"/>
                          <a:ext cx="1912620" cy="9260205"/>
                        </a:xfrm>
                        <a:prstGeom prst="rect">
                          <a:avLst/>
                        </a:prstGeom>
                        <a:solidFill>
                          <a:srgbClr val="E4E9EF">
                            <a:alpha val="84705"/>
                          </a:srgbClr>
                        </a:solidFill>
                        <a:ln>
                          <a:noFill/>
                        </a:ln>
                      </wps:spPr>
                      <wps:txbx>
                        <w:txbxContent>
                          <w:p w14:paraId="485FB3B7" w14:textId="77777777" w:rsidR="003A0522" w:rsidRDefault="003A0522">
                            <w:pPr>
                              <w:spacing w:after="0"/>
                              <w:jc w:val="center"/>
                              <w:textDirection w:val="btLr"/>
                            </w:pPr>
                            <w:r>
                              <w:rPr>
                                <w:b/>
                                <w:color w:val="4472C4"/>
                                <w:sz w:val="36"/>
                              </w:rPr>
                              <w:t>Key Findings</w:t>
                            </w:r>
                          </w:p>
                          <w:p w14:paraId="1A7E5F01" w14:textId="7695ACBF" w:rsidR="003A0522" w:rsidRDefault="003A0522">
                            <w:pPr>
                              <w:spacing w:after="100"/>
                              <w:jc w:val="center"/>
                              <w:textDirection w:val="btLr"/>
                            </w:pPr>
                            <w:r>
                              <w:rPr>
                                <w:color w:val="6076B4"/>
                              </w:rPr>
                              <w:t xml:space="preserve"> </w:t>
                            </w:r>
                          </w:p>
                          <w:p w14:paraId="7D0F75F0"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output of the CCIs is dependent on SA’s overall GDP.</w:t>
                            </w:r>
                          </w:p>
                          <w:p w14:paraId="552C6A74"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From 1996 to the 2008/9 crisis, the CCIs grew steadily.</w:t>
                            </w:r>
                          </w:p>
                          <w:p w14:paraId="23FCBE22"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sector grew (but at a slower rate) from 2010, but showed signs of struggling from 2018, even before the COVID-19 crisis.</w:t>
                            </w:r>
                          </w:p>
                          <w:p w14:paraId="3216D799"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 xml:space="preserve">The largest and fastest growing domains in terms of GDP contribution are Audi-visual and Interactive Media and Design and Creative Services. </w:t>
                            </w:r>
                          </w:p>
                          <w:p w14:paraId="3159D9BB"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 xml:space="preserve">The largest domains in terms of employment creation are Visual Arts and Crafts and Books and Press. However, both these domains are declining in terms of both GDP contribution and jobs. </w:t>
                            </w:r>
                          </w:p>
                          <w:p w14:paraId="5F02A9E8"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Real wages in Book and Press have also fallen over time, while they remain lowest in Visual Arts and Crafts.</w:t>
                            </w:r>
                          </w:p>
                          <w:p w14:paraId="043D145C" w14:textId="7708287E"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percentage of Black people in cultural occupations has increased from an average of 81.5% in the 2005</w:t>
                            </w:r>
                            <w:r>
                              <w:rPr>
                                <w:color w:val="2F5897"/>
                                <w:sz w:val="19"/>
                                <w:szCs w:val="19"/>
                              </w:rPr>
                              <w:t>–</w:t>
                            </w:r>
                            <w:r w:rsidRPr="00F75B6D">
                              <w:rPr>
                                <w:color w:val="2F5897"/>
                                <w:sz w:val="19"/>
                                <w:szCs w:val="19"/>
                              </w:rPr>
                              <w:t>2009 period to 84.3% in 2015–2018.</w:t>
                            </w:r>
                          </w:p>
                          <w:p w14:paraId="3642B031"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In 2020 South Africa had a cultural goods trade surplus of US$58 million in 2020, as imports fell more quickly than exports.</w:t>
                            </w:r>
                          </w:p>
                          <w:p w14:paraId="376E0611"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South Africa’s top 3 cultural goods trading partners are</w:t>
                            </w:r>
                            <w:r w:rsidRPr="00F75B6D">
                              <w:rPr>
                                <w:color w:val="2F5897"/>
                              </w:rPr>
                              <w:t xml:space="preserve"> </w:t>
                            </w:r>
                            <w:r w:rsidRPr="00F75B6D">
                              <w:rPr>
                                <w:color w:val="2F5897"/>
                                <w:sz w:val="19"/>
                                <w:szCs w:val="19"/>
                              </w:rPr>
                              <w:t xml:space="preserve">the US, UK and China, although the rest of Africa is rising in importance. </w:t>
                            </w:r>
                          </w:p>
                          <w:p w14:paraId="12EB91D8" w14:textId="77777777" w:rsidR="003A0522" w:rsidRDefault="003A0522">
                            <w:pPr>
                              <w:jc w:val="left"/>
                              <w:textDirection w:val="btLr"/>
                            </w:pPr>
                          </w:p>
                        </w:txbxContent>
                      </wps:txbx>
                      <wps:bodyPr spcFirstLastPara="1" wrap="square" lIns="182875" tIns="457200" rIns="182875" bIns="13715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5934BB1" id="Rectangle 62" o:spid="_x0000_s1028" style="position:absolute;margin-left:351.5pt;margin-top:-18.35pt;width:150.6pt;height:729.15pt;z-index:251661312;visibility:visible;mso-wrap-style:square;mso-width-percent:0;mso-height-percent:0;mso-wrap-distance-left:21.6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" fillcolor="#e4e9ef" stroked="f">
                <v:fill opacity="55512f"/>
                <v:textbox inset="5.07986mm,36pt,5.07986mm,3.80972mm">
                  <w:txbxContent>
                    <w:p w14:paraId="485FB3B7" w14:textId="77777777" w:rsidR="003A0522" w:rsidRDefault="003A0522">
                      <w:pPr>
                        <w:spacing w:after="0"/>
                        <w:jc w:val="center"/>
                        <w:textDirection w:val="btLr"/>
                      </w:pPr>
                      <w:r>
                        <w:rPr>
                          <w:b/>
                          <w:color w:val="4472C4"/>
                          <w:sz w:val="36"/>
                        </w:rPr>
                        <w:t>Key Findings</w:t>
                      </w:r>
                    </w:p>
                    <w:p w14:paraId="1A7E5F01" w14:textId="7695ACBF" w:rsidR="003A0522" w:rsidRDefault="003A0522">
                      <w:pPr>
                        <w:spacing w:after="100"/>
                        <w:jc w:val="center"/>
                        <w:textDirection w:val="btLr"/>
                      </w:pPr>
                      <w:r>
                        <w:rPr>
                          <w:color w:val="6076B4"/>
                        </w:rPr>
                        <w:t xml:space="preserve"> </w:t>
                      </w:r>
                    </w:p>
                    <w:p w14:paraId="7D0F75F0"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output of the CCIs is dependent on SA’s overall GDP.</w:t>
                      </w:r>
                    </w:p>
                    <w:p w14:paraId="552C6A74"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From 1996 to the 2008/9 crisis, the CCIs grew steadily.</w:t>
                      </w:r>
                    </w:p>
                    <w:p w14:paraId="23FCBE22"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sector grew (but at a slower rate) from 2010, but showed signs of struggling from 2018, even before the COVID-19 crisis.</w:t>
                      </w:r>
                    </w:p>
                    <w:p w14:paraId="3216D799"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 xml:space="preserve">The largest and fastest growing domains in terms of GDP contribution are Audi-visual and Interactive Media and Design and Creative Services. </w:t>
                      </w:r>
                    </w:p>
                    <w:p w14:paraId="3159D9BB"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 xml:space="preserve">The largest domains in terms of employment creation are Visual Arts and Crafts and Books and Press. However, both these domains are declining in terms of both GDP contribution and jobs. </w:t>
                      </w:r>
                    </w:p>
                    <w:p w14:paraId="5F02A9E8"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Real wages in Book and Press have also fallen over time, while they remain lowest in Visual Arts and Crafts.</w:t>
                      </w:r>
                    </w:p>
                    <w:p w14:paraId="043D145C" w14:textId="7708287E"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The percentage of Black people in cultural occupations has increased from an average of 81.5% in the 2005</w:t>
                      </w:r>
                      <w:r>
                        <w:rPr>
                          <w:color w:val="2F5897"/>
                          <w:sz w:val="19"/>
                          <w:szCs w:val="19"/>
                        </w:rPr>
                        <w:t>–</w:t>
                      </w:r>
                      <w:r w:rsidRPr="00F75B6D">
                        <w:rPr>
                          <w:color w:val="2F5897"/>
                          <w:sz w:val="19"/>
                          <w:szCs w:val="19"/>
                        </w:rPr>
                        <w:t>2009 period to 84.3% in 2015–2018.</w:t>
                      </w:r>
                    </w:p>
                    <w:p w14:paraId="3642B031"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In 2020 South Africa had a cultural goods trade surplus of US$58 million in 2020, as imports fell more quickly than exports.</w:t>
                      </w:r>
                    </w:p>
                    <w:p w14:paraId="376E0611" w14:textId="77777777" w:rsidR="003A0522" w:rsidRPr="00F75B6D" w:rsidRDefault="003A0522" w:rsidP="000F15C3">
                      <w:pPr>
                        <w:pStyle w:val="ListParagraph"/>
                        <w:numPr>
                          <w:ilvl w:val="0"/>
                          <w:numId w:val="7"/>
                        </w:numPr>
                        <w:spacing w:after="0" w:line="259" w:lineRule="auto"/>
                        <w:ind w:left="397"/>
                        <w:jc w:val="left"/>
                        <w:textDirection w:val="btLr"/>
                        <w:rPr>
                          <w:sz w:val="19"/>
                          <w:szCs w:val="19"/>
                        </w:rPr>
                      </w:pPr>
                      <w:r w:rsidRPr="00F75B6D">
                        <w:rPr>
                          <w:color w:val="2F5897"/>
                          <w:sz w:val="19"/>
                          <w:szCs w:val="19"/>
                        </w:rPr>
                        <w:t>South Africa’s top 3 cultural goods trading partners are</w:t>
                      </w:r>
                      <w:r w:rsidRPr="00F75B6D">
                        <w:rPr>
                          <w:color w:val="2F5897"/>
                        </w:rPr>
                        <w:t xml:space="preserve"> </w:t>
                      </w:r>
                      <w:r w:rsidRPr="00F75B6D">
                        <w:rPr>
                          <w:color w:val="2F5897"/>
                          <w:sz w:val="19"/>
                          <w:szCs w:val="19"/>
                        </w:rPr>
                        <w:t xml:space="preserve">the US, </w:t>
                      </w:r>
                      <w:proofErr w:type="gramStart"/>
                      <w:r w:rsidRPr="00F75B6D">
                        <w:rPr>
                          <w:color w:val="2F5897"/>
                          <w:sz w:val="19"/>
                          <w:szCs w:val="19"/>
                        </w:rPr>
                        <w:t>UK</w:t>
                      </w:r>
                      <w:proofErr w:type="gramEnd"/>
                      <w:r w:rsidRPr="00F75B6D">
                        <w:rPr>
                          <w:color w:val="2F5897"/>
                          <w:sz w:val="19"/>
                          <w:szCs w:val="19"/>
                        </w:rPr>
                        <w:t xml:space="preserve"> and China, although the rest of Africa is rising in importance. </w:t>
                      </w:r>
                    </w:p>
                    <w:p w14:paraId="12EB91D8" w14:textId="77777777" w:rsidR="003A0522" w:rsidRDefault="003A0522">
                      <w:pPr>
                        <w:jc w:val="left"/>
                        <w:textDirection w:val="btLr"/>
                      </w:pPr>
                    </w:p>
                  </w:txbxContent>
                </v:textbox>
                <w10:wrap type="square" anchorx="margin" anchory="margin"/>
              </v:rect>
            </w:pict>
          </mc:Fallback>
        </mc:AlternateContent>
      </w:r>
      <w:r>
        <w:rPr>
          <w:color w:val="4472C4"/>
          <w:sz w:val="22"/>
          <w:szCs w:val="22"/>
        </w:rPr>
        <w:t>Summary</w:t>
      </w:r>
    </w:p>
    <w:p w14:paraId="00000005" w14:textId="77777777" w:rsidR="0039297D" w:rsidRDefault="004273CA" w:rsidP="00C972BA">
      <w:pPr>
        <w:spacing w:line="259" w:lineRule="auto"/>
      </w:pPr>
      <w:bookmarkStart w:id="3" w:name="_heading=h.1fob9te" w:colFirst="0" w:colLast="0"/>
      <w:bookmarkEnd w:id="3"/>
      <w:r>
        <w:t>An important part of understanding the creative economy is the ability to track developments over longer time periods. Chapter 5 of the Mapping Study provides longer-term analysis of the contribution of the Cultural and Creative Industries (CCIs) to South Africa’s GDP, employment and transformation, and international trade in cultural goods. Data is from a variety of national and international databases that provide reliable national data over time (further described in Chapters 1, 2, and 3 of the Mapping Study).</w:t>
      </w:r>
    </w:p>
    <w:p w14:paraId="00000006" w14:textId="77777777" w:rsidR="0039297D" w:rsidRDefault="004273CA" w:rsidP="00C972BA">
      <w:pPr>
        <w:spacing w:line="259" w:lineRule="auto"/>
      </w:pPr>
      <w:r>
        <w:t xml:space="preserve">The direct contribution of the CCIs to the GDP of South Africa increased steadily from 1996 (2%) to a high of nearly 3% in 2010. The financial crisis of 2008/9 and the slowing growth rate of the overall economy have also resulted in a decline in CCI growth rate. In terms of GDP contribution, the largest and fastest growing domains are Audio-visual and Interactive Media, and Design and Creative Services. As expected from domains with higher levels of cultural and intrinsic value, the contribution of Performance and Celebration, and Cultural and Natural Heritage is lower, but they have maintained a steady growth rate over time. Of concern is that two of the larger domains, Books and Press, and Visual Arts and Crafts, have declining GDP contributions since 2012. </w:t>
      </w:r>
    </w:p>
    <w:p w14:paraId="00000007" w14:textId="3077D178" w:rsidR="0039297D" w:rsidRDefault="004273CA" w:rsidP="00C972BA">
      <w:pPr>
        <w:spacing w:line="259" w:lineRule="auto"/>
      </w:pPr>
      <w:r>
        <w:t>In 2008, before the financial crisis, cultural occupations provided 475 000 jobs (2.6% of the workforce). The following year saw a significant which reached a low point in 2015 with 323 500 people in cultural occupations (2% of the workforce). Since 2015, there has been significant recovery, although never reaching the pre-financial-crisis levels. The largest domains in terms of employment are Visual Arts and Crafts and Books and Press. Of concern is that, as with their GDP contributions, the number of people employed in these domains is declining over time. Although the gender bias is still evident, there is some evidence of ongoing transformation: The percentage of Black (including Black African, coloured and people of Indian or Asian origin) in cultural occupations has increased over time. There has also been a remarkable increase in the proportion of people in cultural occupations with tertiary education over this period, from 19.7% in 2005–2009, to 27.2% in 2015–2018.</w:t>
      </w:r>
    </w:p>
    <w:p w14:paraId="00000008" w14:textId="77777777" w:rsidR="0039297D" w:rsidRDefault="004273CA" w:rsidP="00C972BA">
      <w:pPr>
        <w:spacing w:line="259" w:lineRule="auto"/>
      </w:pPr>
      <w:r>
        <w:t>International trade in cultural goods also fell sharply in response to the 2008/9 crisis, although the recovery (particularly of exports) was quick. For the first time in the last 20 years, South Africa had a cultural goods trade surplus in 2020. Cultural goods exports rose as a share of total export earnings from 2012 (0.25%) to 2018 (0.47%), declining to 0.37% in 2020.</w:t>
      </w:r>
    </w:p>
    <w:p w14:paraId="00000009" w14:textId="77777777" w:rsidR="0039297D" w:rsidRDefault="004273CA">
      <w:pPr>
        <w:spacing w:line="259" w:lineRule="auto"/>
      </w:pPr>
      <w:r>
        <w:t xml:space="preserve">Contrary to their declining share of GDP and employment, cultural goods exports are dominated by Books and Press, and Visual Arts and Crafts (although the latter has been falling since 2018). These were also the largest import domains. Although smaller, the Cultural and Natural Heritage domain shows a consistent trade surplus over time, and Performance and Celebration has shown remarkable growth. </w:t>
      </w:r>
    </w:p>
    <w:p w14:paraId="0000000A" w14:textId="77777777" w:rsidR="0039297D" w:rsidRDefault="004273CA">
      <w:pPr>
        <w:spacing w:line="259" w:lineRule="auto"/>
      </w:pPr>
      <w:r>
        <w:t>South Africa’s largest trading partner of its cultural goods exports in the last 20 years is the US, followed by the UK, although the latter is becoming less important over time, as the importance of the African continent and China rises. Cultural good imports are sources mainly from the same three countries (US, UK, and China). While South Africa has a cultural goods trade surplus with the US over most of the time period studied, it has a large and growing cultural goods trade deficit with China.</w:t>
      </w:r>
    </w:p>
    <w:bookmarkStart w:id="4" w:name="_heading=h.2et92p0" w:colFirst="0" w:colLast="0" w:displacedByCustomXml="next"/>
    <w:bookmarkEnd w:id="4" w:displacedByCustomXml="next"/>
    <w:sdt>
      <w:sdtPr>
        <w:rPr>
          <w:rFonts w:ascii="Arial" w:eastAsia="Arial" w:hAnsi="Arial" w:cs="Arial"/>
          <w:color w:val="auto"/>
          <w:sz w:val="20"/>
          <w:szCs w:val="20"/>
          <w:lang w:val="en-GB"/>
        </w:rPr>
        <w:id w:val="226031037"/>
        <w:docPartObj>
          <w:docPartGallery w:val="Table of Contents"/>
          <w:docPartUnique/>
        </w:docPartObj>
      </w:sdtPr>
      <w:sdtEndPr>
        <w:rPr>
          <w:b/>
          <w:bCs/>
          <w:noProof/>
        </w:rPr>
      </w:sdtEndPr>
      <w:sdtContent>
        <w:p w14:paraId="5DCB6C70" w14:textId="659EAB1E" w:rsidR="00DE1208" w:rsidRPr="00DE1208" w:rsidRDefault="00DE1208" w:rsidP="00DE1208">
          <w:pPr>
            <w:pStyle w:val="TOCHeading"/>
            <w:rPr>
              <w:b/>
              <w:bCs/>
              <w:noProof/>
            </w:rPr>
          </w:pPr>
          <w:r>
            <w:fldChar w:fldCharType="begin"/>
          </w:r>
          <w:r>
            <w:instrText xml:space="preserve"> TOC \o "1-3" \h \z \u </w:instrText>
          </w:r>
          <w:r>
            <w:fldChar w:fldCharType="separate"/>
          </w:r>
          <w:r w:rsidRPr="00DE1208">
            <w:rPr>
              <w:b/>
              <w:bCs/>
              <w:noProof/>
            </w:rPr>
            <w:t>Table of Contents</w:t>
          </w:r>
        </w:p>
        <w:p w14:paraId="1317878D" w14:textId="77777777" w:rsidR="00DE1208" w:rsidRPr="00DE1208" w:rsidRDefault="00DE1208" w:rsidP="00DE1208">
          <w:pPr>
            <w:rPr>
              <w:noProof/>
              <w:lang w:val="en-US"/>
            </w:rPr>
          </w:pPr>
        </w:p>
        <w:p w14:paraId="600BF275" w14:textId="7FABB445" w:rsidR="00DE1208" w:rsidRDefault="001A71CF">
          <w:pPr>
            <w:pStyle w:val="TOC1"/>
            <w:rPr>
              <w:rFonts w:asciiTheme="minorHAnsi" w:eastAsiaTheme="minorEastAsia" w:hAnsiTheme="minorHAnsi" w:cstheme="minorBidi"/>
              <w:noProof/>
              <w:sz w:val="22"/>
              <w:szCs w:val="22"/>
              <w:lang w:val="en-ZA"/>
            </w:rPr>
          </w:pPr>
          <w:hyperlink w:anchor="_Toc90193747" w:history="1">
            <w:r w:rsidR="00DE1208" w:rsidRPr="00415E0F">
              <w:rPr>
                <w:rStyle w:val="Hyperlink"/>
                <w:noProof/>
              </w:rPr>
              <w:t>1</w:t>
            </w:r>
            <w:r w:rsidR="00DE1208">
              <w:rPr>
                <w:rFonts w:asciiTheme="minorHAnsi" w:eastAsiaTheme="minorEastAsia" w:hAnsiTheme="minorHAnsi" w:cstheme="minorBidi"/>
                <w:noProof/>
                <w:sz w:val="22"/>
                <w:szCs w:val="22"/>
                <w:lang w:val="en-ZA"/>
              </w:rPr>
              <w:tab/>
            </w:r>
            <w:r w:rsidR="00DE1208" w:rsidRPr="00415E0F">
              <w:rPr>
                <w:rStyle w:val="Hyperlink"/>
                <w:noProof/>
              </w:rPr>
              <w:t>Introduction and Purpose</w:t>
            </w:r>
            <w:r w:rsidR="00DE1208">
              <w:rPr>
                <w:noProof/>
                <w:webHidden/>
              </w:rPr>
              <w:tab/>
            </w:r>
            <w:r w:rsidR="00DE1208">
              <w:rPr>
                <w:noProof/>
                <w:webHidden/>
              </w:rPr>
              <w:fldChar w:fldCharType="begin"/>
            </w:r>
            <w:r w:rsidR="00DE1208">
              <w:rPr>
                <w:noProof/>
                <w:webHidden/>
              </w:rPr>
              <w:instrText xml:space="preserve"> PAGEREF _Toc90193747 \h </w:instrText>
            </w:r>
            <w:r w:rsidR="00DE1208">
              <w:rPr>
                <w:noProof/>
                <w:webHidden/>
              </w:rPr>
            </w:r>
            <w:r w:rsidR="00DE1208">
              <w:rPr>
                <w:noProof/>
                <w:webHidden/>
              </w:rPr>
              <w:fldChar w:fldCharType="separate"/>
            </w:r>
            <w:r w:rsidR="00A42A79">
              <w:rPr>
                <w:noProof/>
                <w:webHidden/>
              </w:rPr>
              <w:t>1</w:t>
            </w:r>
            <w:r w:rsidR="00DE1208">
              <w:rPr>
                <w:noProof/>
                <w:webHidden/>
              </w:rPr>
              <w:fldChar w:fldCharType="end"/>
            </w:r>
          </w:hyperlink>
        </w:p>
        <w:p w14:paraId="45615050" w14:textId="792FA66F" w:rsidR="00DE1208" w:rsidRDefault="001A71CF">
          <w:pPr>
            <w:pStyle w:val="TOC1"/>
            <w:rPr>
              <w:rFonts w:asciiTheme="minorHAnsi" w:eastAsiaTheme="minorEastAsia" w:hAnsiTheme="minorHAnsi" w:cstheme="minorBidi"/>
              <w:noProof/>
              <w:sz w:val="22"/>
              <w:szCs w:val="22"/>
              <w:lang w:val="en-ZA"/>
            </w:rPr>
          </w:pPr>
          <w:hyperlink w:anchor="_Toc90193748" w:history="1">
            <w:r w:rsidR="00DE1208" w:rsidRPr="00415E0F">
              <w:rPr>
                <w:rStyle w:val="Hyperlink"/>
                <w:noProof/>
              </w:rPr>
              <w:t>2</w:t>
            </w:r>
            <w:r w:rsidR="00DE1208">
              <w:rPr>
                <w:rFonts w:asciiTheme="minorHAnsi" w:eastAsiaTheme="minorEastAsia" w:hAnsiTheme="minorHAnsi" w:cstheme="minorBidi"/>
                <w:noProof/>
                <w:sz w:val="22"/>
                <w:szCs w:val="22"/>
                <w:lang w:val="en-ZA"/>
              </w:rPr>
              <w:tab/>
            </w:r>
            <w:r w:rsidR="00DE1208" w:rsidRPr="00415E0F">
              <w:rPr>
                <w:rStyle w:val="Hyperlink"/>
                <w:noProof/>
              </w:rPr>
              <w:t>The South African Economy and Cultural Policy</w:t>
            </w:r>
            <w:r w:rsidR="00DE1208">
              <w:rPr>
                <w:noProof/>
                <w:webHidden/>
              </w:rPr>
              <w:tab/>
            </w:r>
            <w:r w:rsidR="00DE1208">
              <w:rPr>
                <w:noProof/>
                <w:webHidden/>
              </w:rPr>
              <w:fldChar w:fldCharType="begin"/>
            </w:r>
            <w:r w:rsidR="00DE1208">
              <w:rPr>
                <w:noProof/>
                <w:webHidden/>
              </w:rPr>
              <w:instrText xml:space="preserve"> PAGEREF _Toc90193748 \h </w:instrText>
            </w:r>
            <w:r w:rsidR="00DE1208">
              <w:rPr>
                <w:noProof/>
                <w:webHidden/>
              </w:rPr>
            </w:r>
            <w:r w:rsidR="00DE1208">
              <w:rPr>
                <w:noProof/>
                <w:webHidden/>
              </w:rPr>
              <w:fldChar w:fldCharType="separate"/>
            </w:r>
            <w:r w:rsidR="00A42A79">
              <w:rPr>
                <w:noProof/>
                <w:webHidden/>
              </w:rPr>
              <w:t>2</w:t>
            </w:r>
            <w:r w:rsidR="00DE1208">
              <w:rPr>
                <w:noProof/>
                <w:webHidden/>
              </w:rPr>
              <w:fldChar w:fldCharType="end"/>
            </w:r>
          </w:hyperlink>
        </w:p>
        <w:p w14:paraId="4152F6C9" w14:textId="3410FBC4" w:rsidR="00DE1208" w:rsidRDefault="001A71CF">
          <w:pPr>
            <w:pStyle w:val="TOC1"/>
            <w:rPr>
              <w:rFonts w:asciiTheme="minorHAnsi" w:eastAsiaTheme="minorEastAsia" w:hAnsiTheme="minorHAnsi" w:cstheme="minorBidi"/>
              <w:noProof/>
              <w:sz w:val="22"/>
              <w:szCs w:val="22"/>
              <w:lang w:val="en-ZA"/>
            </w:rPr>
          </w:pPr>
          <w:hyperlink w:anchor="_Toc90193749" w:history="1">
            <w:r w:rsidR="00DE1208" w:rsidRPr="00415E0F">
              <w:rPr>
                <w:rStyle w:val="Hyperlink"/>
                <w:noProof/>
              </w:rPr>
              <w:t>3</w:t>
            </w:r>
            <w:r w:rsidR="00DE1208">
              <w:rPr>
                <w:rFonts w:asciiTheme="minorHAnsi" w:eastAsiaTheme="minorEastAsia" w:hAnsiTheme="minorHAnsi" w:cstheme="minorBidi"/>
                <w:noProof/>
                <w:sz w:val="22"/>
                <w:szCs w:val="22"/>
                <w:lang w:val="en-ZA"/>
              </w:rPr>
              <w:tab/>
            </w:r>
            <w:r w:rsidR="00DE1208" w:rsidRPr="00415E0F">
              <w:rPr>
                <w:rStyle w:val="Hyperlink"/>
                <w:noProof/>
              </w:rPr>
              <w:t>Data and Research Methods</w:t>
            </w:r>
            <w:r w:rsidR="00DE1208">
              <w:rPr>
                <w:noProof/>
                <w:webHidden/>
              </w:rPr>
              <w:tab/>
            </w:r>
            <w:r w:rsidR="00DE1208">
              <w:rPr>
                <w:noProof/>
                <w:webHidden/>
              </w:rPr>
              <w:fldChar w:fldCharType="begin"/>
            </w:r>
            <w:r w:rsidR="00DE1208">
              <w:rPr>
                <w:noProof/>
                <w:webHidden/>
              </w:rPr>
              <w:instrText xml:space="preserve"> PAGEREF _Toc90193749 \h </w:instrText>
            </w:r>
            <w:r w:rsidR="00DE1208">
              <w:rPr>
                <w:noProof/>
                <w:webHidden/>
              </w:rPr>
            </w:r>
            <w:r w:rsidR="00DE1208">
              <w:rPr>
                <w:noProof/>
                <w:webHidden/>
              </w:rPr>
              <w:fldChar w:fldCharType="separate"/>
            </w:r>
            <w:r w:rsidR="00A42A79">
              <w:rPr>
                <w:noProof/>
                <w:webHidden/>
              </w:rPr>
              <w:t>4</w:t>
            </w:r>
            <w:r w:rsidR="00DE1208">
              <w:rPr>
                <w:noProof/>
                <w:webHidden/>
              </w:rPr>
              <w:fldChar w:fldCharType="end"/>
            </w:r>
          </w:hyperlink>
        </w:p>
        <w:p w14:paraId="26D2622D" w14:textId="0A976965"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0" w:history="1">
            <w:r w:rsidR="00DE1208" w:rsidRPr="00415E0F">
              <w:rPr>
                <w:rStyle w:val="Hyperlink"/>
                <w:noProof/>
              </w:rPr>
              <w:t>3.1</w:t>
            </w:r>
            <w:r w:rsidR="00DE1208">
              <w:rPr>
                <w:rFonts w:asciiTheme="minorHAnsi" w:eastAsiaTheme="minorEastAsia" w:hAnsiTheme="minorHAnsi" w:cstheme="minorBidi"/>
                <w:noProof/>
                <w:sz w:val="22"/>
                <w:szCs w:val="22"/>
                <w:lang w:val="en-ZA"/>
              </w:rPr>
              <w:tab/>
            </w:r>
            <w:r w:rsidR="00DE1208" w:rsidRPr="00415E0F">
              <w:rPr>
                <w:rStyle w:val="Hyperlink"/>
                <w:noProof/>
              </w:rPr>
              <w:t>GDP contribution and growth rates</w:t>
            </w:r>
            <w:r w:rsidR="00DE1208">
              <w:rPr>
                <w:noProof/>
                <w:webHidden/>
              </w:rPr>
              <w:tab/>
            </w:r>
            <w:r w:rsidR="00DE1208">
              <w:rPr>
                <w:noProof/>
                <w:webHidden/>
              </w:rPr>
              <w:fldChar w:fldCharType="begin"/>
            </w:r>
            <w:r w:rsidR="00DE1208">
              <w:rPr>
                <w:noProof/>
                <w:webHidden/>
              </w:rPr>
              <w:instrText xml:space="preserve"> PAGEREF _Toc90193750 \h </w:instrText>
            </w:r>
            <w:r w:rsidR="00DE1208">
              <w:rPr>
                <w:noProof/>
                <w:webHidden/>
              </w:rPr>
            </w:r>
            <w:r w:rsidR="00DE1208">
              <w:rPr>
                <w:noProof/>
                <w:webHidden/>
              </w:rPr>
              <w:fldChar w:fldCharType="separate"/>
            </w:r>
            <w:r w:rsidR="00A42A79">
              <w:rPr>
                <w:noProof/>
                <w:webHidden/>
              </w:rPr>
              <w:t>4</w:t>
            </w:r>
            <w:r w:rsidR="00DE1208">
              <w:rPr>
                <w:noProof/>
                <w:webHidden/>
              </w:rPr>
              <w:fldChar w:fldCharType="end"/>
            </w:r>
          </w:hyperlink>
        </w:p>
        <w:p w14:paraId="700D1410" w14:textId="6DB2FD56"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1" w:history="1">
            <w:r w:rsidR="00DE1208" w:rsidRPr="00415E0F">
              <w:rPr>
                <w:rStyle w:val="Hyperlink"/>
                <w:noProof/>
              </w:rPr>
              <w:t>3.2</w:t>
            </w:r>
            <w:r w:rsidR="00DE1208">
              <w:rPr>
                <w:rFonts w:asciiTheme="minorHAnsi" w:eastAsiaTheme="minorEastAsia" w:hAnsiTheme="minorHAnsi" w:cstheme="minorBidi"/>
                <w:noProof/>
                <w:sz w:val="22"/>
                <w:szCs w:val="22"/>
                <w:lang w:val="en-ZA"/>
              </w:rPr>
              <w:tab/>
            </w:r>
            <w:r w:rsidR="00DE1208" w:rsidRPr="00415E0F">
              <w:rPr>
                <w:rStyle w:val="Hyperlink"/>
                <w:noProof/>
              </w:rPr>
              <w:t>Cultural employment</w:t>
            </w:r>
            <w:r w:rsidR="00DE1208">
              <w:rPr>
                <w:noProof/>
                <w:webHidden/>
              </w:rPr>
              <w:tab/>
            </w:r>
            <w:r w:rsidR="00DE1208">
              <w:rPr>
                <w:noProof/>
                <w:webHidden/>
              </w:rPr>
              <w:fldChar w:fldCharType="begin"/>
            </w:r>
            <w:r w:rsidR="00DE1208">
              <w:rPr>
                <w:noProof/>
                <w:webHidden/>
              </w:rPr>
              <w:instrText xml:space="preserve"> PAGEREF _Toc90193751 \h </w:instrText>
            </w:r>
            <w:r w:rsidR="00DE1208">
              <w:rPr>
                <w:noProof/>
                <w:webHidden/>
              </w:rPr>
            </w:r>
            <w:r w:rsidR="00DE1208">
              <w:rPr>
                <w:noProof/>
                <w:webHidden/>
              </w:rPr>
              <w:fldChar w:fldCharType="separate"/>
            </w:r>
            <w:r w:rsidR="00A42A79">
              <w:rPr>
                <w:noProof/>
                <w:webHidden/>
              </w:rPr>
              <w:t>5</w:t>
            </w:r>
            <w:r w:rsidR="00DE1208">
              <w:rPr>
                <w:noProof/>
                <w:webHidden/>
              </w:rPr>
              <w:fldChar w:fldCharType="end"/>
            </w:r>
          </w:hyperlink>
        </w:p>
        <w:p w14:paraId="40C7A119" w14:textId="06ADCE8C"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2" w:history="1">
            <w:r w:rsidR="00DE1208" w:rsidRPr="00415E0F">
              <w:rPr>
                <w:rStyle w:val="Hyperlink"/>
                <w:noProof/>
              </w:rPr>
              <w:t>3.3</w:t>
            </w:r>
            <w:r w:rsidR="00DE1208">
              <w:rPr>
                <w:rFonts w:asciiTheme="minorHAnsi" w:eastAsiaTheme="minorEastAsia" w:hAnsiTheme="minorHAnsi" w:cstheme="minorBidi"/>
                <w:noProof/>
                <w:sz w:val="22"/>
                <w:szCs w:val="22"/>
                <w:lang w:val="en-ZA"/>
              </w:rPr>
              <w:tab/>
            </w:r>
            <w:r w:rsidR="00DE1208" w:rsidRPr="00415E0F">
              <w:rPr>
                <w:rStyle w:val="Hyperlink"/>
                <w:noProof/>
              </w:rPr>
              <w:t>International cultural trade</w:t>
            </w:r>
            <w:r w:rsidR="00DE1208">
              <w:rPr>
                <w:noProof/>
                <w:webHidden/>
              </w:rPr>
              <w:tab/>
            </w:r>
            <w:r w:rsidR="00DE1208">
              <w:rPr>
                <w:noProof/>
                <w:webHidden/>
              </w:rPr>
              <w:fldChar w:fldCharType="begin"/>
            </w:r>
            <w:r w:rsidR="00DE1208">
              <w:rPr>
                <w:noProof/>
                <w:webHidden/>
              </w:rPr>
              <w:instrText xml:space="preserve"> PAGEREF _Toc90193752 \h </w:instrText>
            </w:r>
            <w:r w:rsidR="00DE1208">
              <w:rPr>
                <w:noProof/>
                <w:webHidden/>
              </w:rPr>
            </w:r>
            <w:r w:rsidR="00DE1208">
              <w:rPr>
                <w:noProof/>
                <w:webHidden/>
              </w:rPr>
              <w:fldChar w:fldCharType="separate"/>
            </w:r>
            <w:r w:rsidR="00A42A79">
              <w:rPr>
                <w:noProof/>
                <w:webHidden/>
              </w:rPr>
              <w:t>5</w:t>
            </w:r>
            <w:r w:rsidR="00DE1208">
              <w:rPr>
                <w:noProof/>
                <w:webHidden/>
              </w:rPr>
              <w:fldChar w:fldCharType="end"/>
            </w:r>
          </w:hyperlink>
        </w:p>
        <w:p w14:paraId="457C1C84" w14:textId="54D97F8A" w:rsidR="00DE1208" w:rsidRDefault="001A71CF">
          <w:pPr>
            <w:pStyle w:val="TOC1"/>
            <w:rPr>
              <w:rFonts w:asciiTheme="minorHAnsi" w:eastAsiaTheme="minorEastAsia" w:hAnsiTheme="minorHAnsi" w:cstheme="minorBidi"/>
              <w:noProof/>
              <w:sz w:val="22"/>
              <w:szCs w:val="22"/>
              <w:lang w:val="en-ZA"/>
            </w:rPr>
          </w:pPr>
          <w:hyperlink w:anchor="_Toc90193753" w:history="1">
            <w:r w:rsidR="00DE1208" w:rsidRPr="00415E0F">
              <w:rPr>
                <w:rStyle w:val="Hyperlink"/>
                <w:noProof/>
              </w:rPr>
              <w:t>4</w:t>
            </w:r>
            <w:r w:rsidR="00DE1208">
              <w:rPr>
                <w:rFonts w:asciiTheme="minorHAnsi" w:eastAsiaTheme="minorEastAsia" w:hAnsiTheme="minorHAnsi" w:cstheme="minorBidi"/>
                <w:noProof/>
                <w:sz w:val="22"/>
                <w:szCs w:val="22"/>
                <w:lang w:val="en-ZA"/>
              </w:rPr>
              <w:tab/>
            </w:r>
            <w:r w:rsidR="00DE1208" w:rsidRPr="00415E0F">
              <w:rPr>
                <w:rStyle w:val="Hyperlink"/>
                <w:noProof/>
              </w:rPr>
              <w:t>GDP Contribution and Growth Rates</w:t>
            </w:r>
            <w:r w:rsidR="00DE1208">
              <w:rPr>
                <w:noProof/>
                <w:webHidden/>
              </w:rPr>
              <w:tab/>
            </w:r>
            <w:r w:rsidR="00DE1208">
              <w:rPr>
                <w:noProof/>
                <w:webHidden/>
              </w:rPr>
              <w:fldChar w:fldCharType="begin"/>
            </w:r>
            <w:r w:rsidR="00DE1208">
              <w:rPr>
                <w:noProof/>
                <w:webHidden/>
              </w:rPr>
              <w:instrText xml:space="preserve"> PAGEREF _Toc90193753 \h </w:instrText>
            </w:r>
            <w:r w:rsidR="00DE1208">
              <w:rPr>
                <w:noProof/>
                <w:webHidden/>
              </w:rPr>
            </w:r>
            <w:r w:rsidR="00DE1208">
              <w:rPr>
                <w:noProof/>
                <w:webHidden/>
              </w:rPr>
              <w:fldChar w:fldCharType="separate"/>
            </w:r>
            <w:r w:rsidR="00A42A79">
              <w:rPr>
                <w:noProof/>
                <w:webHidden/>
              </w:rPr>
              <w:t>6</w:t>
            </w:r>
            <w:r w:rsidR="00DE1208">
              <w:rPr>
                <w:noProof/>
                <w:webHidden/>
              </w:rPr>
              <w:fldChar w:fldCharType="end"/>
            </w:r>
          </w:hyperlink>
        </w:p>
        <w:p w14:paraId="455EC507" w14:textId="36FEB131"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4" w:history="1">
            <w:r w:rsidR="00DE1208" w:rsidRPr="00415E0F">
              <w:rPr>
                <w:rStyle w:val="Hyperlink"/>
                <w:noProof/>
              </w:rPr>
              <w:t>4.1</w:t>
            </w:r>
            <w:r w:rsidR="00DE1208">
              <w:rPr>
                <w:rFonts w:asciiTheme="minorHAnsi" w:eastAsiaTheme="minorEastAsia" w:hAnsiTheme="minorHAnsi" w:cstheme="minorBidi"/>
                <w:noProof/>
                <w:sz w:val="22"/>
                <w:szCs w:val="22"/>
                <w:lang w:val="en-ZA"/>
              </w:rPr>
              <w:tab/>
            </w:r>
            <w:r w:rsidR="00DE1208" w:rsidRPr="00415E0F">
              <w:rPr>
                <w:rStyle w:val="Hyperlink"/>
                <w:noProof/>
              </w:rPr>
              <w:t>The contribution of the CCIs to South Africa’s GDP</w:t>
            </w:r>
            <w:r w:rsidR="00DE1208">
              <w:rPr>
                <w:noProof/>
                <w:webHidden/>
              </w:rPr>
              <w:tab/>
            </w:r>
            <w:r w:rsidR="00DE1208">
              <w:rPr>
                <w:noProof/>
                <w:webHidden/>
              </w:rPr>
              <w:fldChar w:fldCharType="begin"/>
            </w:r>
            <w:r w:rsidR="00DE1208">
              <w:rPr>
                <w:noProof/>
                <w:webHidden/>
              </w:rPr>
              <w:instrText xml:space="preserve"> PAGEREF _Toc90193754 \h </w:instrText>
            </w:r>
            <w:r w:rsidR="00DE1208">
              <w:rPr>
                <w:noProof/>
                <w:webHidden/>
              </w:rPr>
            </w:r>
            <w:r w:rsidR="00DE1208">
              <w:rPr>
                <w:noProof/>
                <w:webHidden/>
              </w:rPr>
              <w:fldChar w:fldCharType="separate"/>
            </w:r>
            <w:r w:rsidR="00A42A79">
              <w:rPr>
                <w:noProof/>
                <w:webHidden/>
              </w:rPr>
              <w:t>6</w:t>
            </w:r>
            <w:r w:rsidR="00DE1208">
              <w:rPr>
                <w:noProof/>
                <w:webHidden/>
              </w:rPr>
              <w:fldChar w:fldCharType="end"/>
            </w:r>
          </w:hyperlink>
        </w:p>
        <w:p w14:paraId="5FB9658C" w14:textId="63E07965"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5" w:history="1">
            <w:r w:rsidR="00DE1208" w:rsidRPr="00415E0F">
              <w:rPr>
                <w:rStyle w:val="Hyperlink"/>
                <w:noProof/>
              </w:rPr>
              <w:t>4.2</w:t>
            </w:r>
            <w:r w:rsidR="00DE1208">
              <w:rPr>
                <w:rFonts w:asciiTheme="minorHAnsi" w:eastAsiaTheme="minorEastAsia" w:hAnsiTheme="minorHAnsi" w:cstheme="minorBidi"/>
                <w:noProof/>
                <w:sz w:val="22"/>
                <w:szCs w:val="22"/>
                <w:lang w:val="en-ZA"/>
              </w:rPr>
              <w:tab/>
            </w:r>
            <w:r w:rsidR="00DE1208" w:rsidRPr="00415E0F">
              <w:rPr>
                <w:rStyle w:val="Hyperlink"/>
                <w:noProof/>
              </w:rPr>
              <w:t>CCI growth rates</w:t>
            </w:r>
            <w:r w:rsidR="00DE1208">
              <w:rPr>
                <w:noProof/>
                <w:webHidden/>
              </w:rPr>
              <w:tab/>
            </w:r>
            <w:r w:rsidR="00DE1208">
              <w:rPr>
                <w:noProof/>
                <w:webHidden/>
              </w:rPr>
              <w:fldChar w:fldCharType="begin"/>
            </w:r>
            <w:r w:rsidR="00DE1208">
              <w:rPr>
                <w:noProof/>
                <w:webHidden/>
              </w:rPr>
              <w:instrText xml:space="preserve"> PAGEREF _Toc90193755 \h </w:instrText>
            </w:r>
            <w:r w:rsidR="00DE1208">
              <w:rPr>
                <w:noProof/>
                <w:webHidden/>
              </w:rPr>
            </w:r>
            <w:r w:rsidR="00DE1208">
              <w:rPr>
                <w:noProof/>
                <w:webHidden/>
              </w:rPr>
              <w:fldChar w:fldCharType="separate"/>
            </w:r>
            <w:r w:rsidR="00A42A79">
              <w:rPr>
                <w:noProof/>
                <w:webHidden/>
              </w:rPr>
              <w:t>10</w:t>
            </w:r>
            <w:r w:rsidR="00DE1208">
              <w:rPr>
                <w:noProof/>
                <w:webHidden/>
              </w:rPr>
              <w:fldChar w:fldCharType="end"/>
            </w:r>
          </w:hyperlink>
        </w:p>
        <w:p w14:paraId="66799B0D" w14:textId="359DF44E" w:rsidR="00DE1208" w:rsidRDefault="001A71CF">
          <w:pPr>
            <w:pStyle w:val="TOC1"/>
            <w:rPr>
              <w:rFonts w:asciiTheme="minorHAnsi" w:eastAsiaTheme="minorEastAsia" w:hAnsiTheme="minorHAnsi" w:cstheme="minorBidi"/>
              <w:noProof/>
              <w:sz w:val="22"/>
              <w:szCs w:val="22"/>
              <w:lang w:val="en-ZA"/>
            </w:rPr>
          </w:pPr>
          <w:hyperlink w:anchor="_Toc90193756" w:history="1">
            <w:r w:rsidR="00DE1208" w:rsidRPr="00415E0F">
              <w:rPr>
                <w:rStyle w:val="Hyperlink"/>
                <w:noProof/>
              </w:rPr>
              <w:t>5</w:t>
            </w:r>
            <w:r w:rsidR="00DE1208">
              <w:rPr>
                <w:rFonts w:asciiTheme="minorHAnsi" w:eastAsiaTheme="minorEastAsia" w:hAnsiTheme="minorHAnsi" w:cstheme="minorBidi"/>
                <w:noProof/>
                <w:sz w:val="22"/>
                <w:szCs w:val="22"/>
                <w:lang w:val="en-ZA"/>
              </w:rPr>
              <w:tab/>
            </w:r>
            <w:r w:rsidR="00DE1208" w:rsidRPr="00415E0F">
              <w:rPr>
                <w:rStyle w:val="Hyperlink"/>
                <w:noProof/>
              </w:rPr>
              <w:t>Job Creation and Transformation</w:t>
            </w:r>
            <w:r w:rsidR="00DE1208">
              <w:rPr>
                <w:noProof/>
                <w:webHidden/>
              </w:rPr>
              <w:tab/>
            </w:r>
            <w:r w:rsidR="00DE1208">
              <w:rPr>
                <w:noProof/>
                <w:webHidden/>
              </w:rPr>
              <w:fldChar w:fldCharType="begin"/>
            </w:r>
            <w:r w:rsidR="00DE1208">
              <w:rPr>
                <w:noProof/>
                <w:webHidden/>
              </w:rPr>
              <w:instrText xml:space="preserve"> PAGEREF _Toc90193756 \h </w:instrText>
            </w:r>
            <w:r w:rsidR="00DE1208">
              <w:rPr>
                <w:noProof/>
                <w:webHidden/>
              </w:rPr>
            </w:r>
            <w:r w:rsidR="00DE1208">
              <w:rPr>
                <w:noProof/>
                <w:webHidden/>
              </w:rPr>
              <w:fldChar w:fldCharType="separate"/>
            </w:r>
            <w:r w:rsidR="00A42A79">
              <w:rPr>
                <w:noProof/>
                <w:webHidden/>
              </w:rPr>
              <w:t>12</w:t>
            </w:r>
            <w:r w:rsidR="00DE1208">
              <w:rPr>
                <w:noProof/>
                <w:webHidden/>
              </w:rPr>
              <w:fldChar w:fldCharType="end"/>
            </w:r>
          </w:hyperlink>
        </w:p>
        <w:p w14:paraId="623E30D7" w14:textId="07B21B4C"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7" w:history="1">
            <w:r w:rsidR="00DE1208" w:rsidRPr="00415E0F">
              <w:rPr>
                <w:rStyle w:val="Hyperlink"/>
                <w:noProof/>
              </w:rPr>
              <w:t>5.1</w:t>
            </w:r>
            <w:r w:rsidR="00DE1208">
              <w:rPr>
                <w:rFonts w:asciiTheme="minorHAnsi" w:eastAsiaTheme="minorEastAsia" w:hAnsiTheme="minorHAnsi" w:cstheme="minorBidi"/>
                <w:noProof/>
                <w:sz w:val="22"/>
                <w:szCs w:val="22"/>
                <w:lang w:val="en-ZA"/>
              </w:rPr>
              <w:tab/>
            </w:r>
            <w:r w:rsidR="00DE1208" w:rsidRPr="00415E0F">
              <w:rPr>
                <w:rStyle w:val="Hyperlink"/>
                <w:noProof/>
              </w:rPr>
              <w:t>The contribution of the CCIs to job creation in South Africa</w:t>
            </w:r>
            <w:r w:rsidR="00DE1208">
              <w:rPr>
                <w:noProof/>
                <w:webHidden/>
              </w:rPr>
              <w:tab/>
            </w:r>
            <w:r w:rsidR="00DE1208">
              <w:rPr>
                <w:noProof/>
                <w:webHidden/>
              </w:rPr>
              <w:fldChar w:fldCharType="begin"/>
            </w:r>
            <w:r w:rsidR="00DE1208">
              <w:rPr>
                <w:noProof/>
                <w:webHidden/>
              </w:rPr>
              <w:instrText xml:space="preserve"> PAGEREF _Toc90193757 \h </w:instrText>
            </w:r>
            <w:r w:rsidR="00DE1208">
              <w:rPr>
                <w:noProof/>
                <w:webHidden/>
              </w:rPr>
            </w:r>
            <w:r w:rsidR="00DE1208">
              <w:rPr>
                <w:noProof/>
                <w:webHidden/>
              </w:rPr>
              <w:fldChar w:fldCharType="separate"/>
            </w:r>
            <w:r w:rsidR="00A42A79">
              <w:rPr>
                <w:noProof/>
                <w:webHidden/>
              </w:rPr>
              <w:t>12</w:t>
            </w:r>
            <w:r w:rsidR="00DE1208">
              <w:rPr>
                <w:noProof/>
                <w:webHidden/>
              </w:rPr>
              <w:fldChar w:fldCharType="end"/>
            </w:r>
          </w:hyperlink>
        </w:p>
        <w:p w14:paraId="06E49042" w14:textId="56CDE69C"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8" w:history="1">
            <w:r w:rsidR="00DE1208" w:rsidRPr="00415E0F">
              <w:rPr>
                <w:rStyle w:val="Hyperlink"/>
                <w:noProof/>
              </w:rPr>
              <w:t>5.2</w:t>
            </w:r>
            <w:r w:rsidR="00DE1208">
              <w:rPr>
                <w:rFonts w:asciiTheme="minorHAnsi" w:eastAsiaTheme="minorEastAsia" w:hAnsiTheme="minorHAnsi" w:cstheme="minorBidi"/>
                <w:noProof/>
                <w:sz w:val="22"/>
                <w:szCs w:val="22"/>
                <w:lang w:val="en-ZA"/>
              </w:rPr>
              <w:tab/>
            </w:r>
            <w:r w:rsidR="00DE1208" w:rsidRPr="00415E0F">
              <w:rPr>
                <w:rStyle w:val="Hyperlink"/>
                <w:noProof/>
              </w:rPr>
              <w:t>Socio-demographic profile of those working in cultural occupations over time</w:t>
            </w:r>
            <w:r w:rsidR="00DE1208">
              <w:rPr>
                <w:noProof/>
                <w:webHidden/>
              </w:rPr>
              <w:tab/>
            </w:r>
            <w:r w:rsidR="00DE1208">
              <w:rPr>
                <w:noProof/>
                <w:webHidden/>
              </w:rPr>
              <w:fldChar w:fldCharType="begin"/>
            </w:r>
            <w:r w:rsidR="00DE1208">
              <w:rPr>
                <w:noProof/>
                <w:webHidden/>
              </w:rPr>
              <w:instrText xml:space="preserve"> PAGEREF _Toc90193758 \h </w:instrText>
            </w:r>
            <w:r w:rsidR="00DE1208">
              <w:rPr>
                <w:noProof/>
                <w:webHidden/>
              </w:rPr>
            </w:r>
            <w:r w:rsidR="00DE1208">
              <w:rPr>
                <w:noProof/>
                <w:webHidden/>
              </w:rPr>
              <w:fldChar w:fldCharType="separate"/>
            </w:r>
            <w:r w:rsidR="00A42A79">
              <w:rPr>
                <w:noProof/>
                <w:webHidden/>
              </w:rPr>
              <w:t>13</w:t>
            </w:r>
            <w:r w:rsidR="00DE1208">
              <w:rPr>
                <w:noProof/>
                <w:webHidden/>
              </w:rPr>
              <w:fldChar w:fldCharType="end"/>
            </w:r>
          </w:hyperlink>
        </w:p>
        <w:p w14:paraId="097EF9E3" w14:textId="3414CAC3"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59" w:history="1">
            <w:r w:rsidR="00DE1208" w:rsidRPr="00415E0F">
              <w:rPr>
                <w:rStyle w:val="Hyperlink"/>
                <w:noProof/>
              </w:rPr>
              <w:t>5.3</w:t>
            </w:r>
            <w:r w:rsidR="00DE1208">
              <w:rPr>
                <w:rFonts w:asciiTheme="minorHAnsi" w:eastAsiaTheme="minorEastAsia" w:hAnsiTheme="minorHAnsi" w:cstheme="minorBidi"/>
                <w:noProof/>
                <w:sz w:val="22"/>
                <w:szCs w:val="22"/>
                <w:lang w:val="en-ZA"/>
              </w:rPr>
              <w:tab/>
            </w:r>
            <w:r w:rsidR="00DE1208" w:rsidRPr="00415E0F">
              <w:rPr>
                <w:rStyle w:val="Hyperlink"/>
                <w:noProof/>
              </w:rPr>
              <w:t>Earnings in cultural occupations by domain and over time</w:t>
            </w:r>
            <w:r w:rsidR="00DE1208">
              <w:rPr>
                <w:noProof/>
                <w:webHidden/>
              </w:rPr>
              <w:tab/>
            </w:r>
            <w:r w:rsidR="00DE1208">
              <w:rPr>
                <w:noProof/>
                <w:webHidden/>
              </w:rPr>
              <w:fldChar w:fldCharType="begin"/>
            </w:r>
            <w:r w:rsidR="00DE1208">
              <w:rPr>
                <w:noProof/>
                <w:webHidden/>
              </w:rPr>
              <w:instrText xml:space="preserve"> PAGEREF _Toc90193759 \h </w:instrText>
            </w:r>
            <w:r w:rsidR="00DE1208">
              <w:rPr>
                <w:noProof/>
                <w:webHidden/>
              </w:rPr>
            </w:r>
            <w:r w:rsidR="00DE1208">
              <w:rPr>
                <w:noProof/>
                <w:webHidden/>
              </w:rPr>
              <w:fldChar w:fldCharType="separate"/>
            </w:r>
            <w:r w:rsidR="00A42A79">
              <w:rPr>
                <w:noProof/>
                <w:webHidden/>
              </w:rPr>
              <w:t>15</w:t>
            </w:r>
            <w:r w:rsidR="00DE1208">
              <w:rPr>
                <w:noProof/>
                <w:webHidden/>
              </w:rPr>
              <w:fldChar w:fldCharType="end"/>
            </w:r>
          </w:hyperlink>
        </w:p>
        <w:p w14:paraId="67453EFF" w14:textId="1CB35762"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60" w:history="1">
            <w:r w:rsidR="00DE1208" w:rsidRPr="00415E0F">
              <w:rPr>
                <w:rStyle w:val="Hyperlink"/>
                <w:noProof/>
              </w:rPr>
              <w:t>5.4</w:t>
            </w:r>
            <w:r w:rsidR="00DE1208">
              <w:rPr>
                <w:rFonts w:asciiTheme="minorHAnsi" w:eastAsiaTheme="minorEastAsia" w:hAnsiTheme="minorHAnsi" w:cstheme="minorBidi"/>
                <w:noProof/>
                <w:sz w:val="22"/>
                <w:szCs w:val="22"/>
                <w:lang w:val="en-ZA"/>
              </w:rPr>
              <w:tab/>
            </w:r>
            <w:r w:rsidR="00DE1208" w:rsidRPr="00415E0F">
              <w:rPr>
                <w:rStyle w:val="Hyperlink"/>
                <w:noProof/>
              </w:rPr>
              <w:t>Changes in geographical distribution of cultural occupations</w:t>
            </w:r>
            <w:r w:rsidR="00DE1208">
              <w:rPr>
                <w:noProof/>
                <w:webHidden/>
              </w:rPr>
              <w:tab/>
            </w:r>
            <w:r w:rsidR="00DE1208">
              <w:rPr>
                <w:noProof/>
                <w:webHidden/>
              </w:rPr>
              <w:fldChar w:fldCharType="begin"/>
            </w:r>
            <w:r w:rsidR="00DE1208">
              <w:rPr>
                <w:noProof/>
                <w:webHidden/>
              </w:rPr>
              <w:instrText xml:space="preserve"> PAGEREF _Toc90193760 \h </w:instrText>
            </w:r>
            <w:r w:rsidR="00DE1208">
              <w:rPr>
                <w:noProof/>
                <w:webHidden/>
              </w:rPr>
            </w:r>
            <w:r w:rsidR="00DE1208">
              <w:rPr>
                <w:noProof/>
                <w:webHidden/>
              </w:rPr>
              <w:fldChar w:fldCharType="separate"/>
            </w:r>
            <w:r w:rsidR="00A42A79">
              <w:rPr>
                <w:noProof/>
                <w:webHidden/>
              </w:rPr>
              <w:t>17</w:t>
            </w:r>
            <w:r w:rsidR="00DE1208">
              <w:rPr>
                <w:noProof/>
                <w:webHidden/>
              </w:rPr>
              <w:fldChar w:fldCharType="end"/>
            </w:r>
          </w:hyperlink>
        </w:p>
        <w:p w14:paraId="668EAC0E" w14:textId="272C1B73" w:rsidR="00DE1208" w:rsidRDefault="001A71CF">
          <w:pPr>
            <w:pStyle w:val="TOC1"/>
            <w:rPr>
              <w:rFonts w:asciiTheme="minorHAnsi" w:eastAsiaTheme="minorEastAsia" w:hAnsiTheme="minorHAnsi" w:cstheme="minorBidi"/>
              <w:noProof/>
              <w:sz w:val="22"/>
              <w:szCs w:val="22"/>
              <w:lang w:val="en-ZA"/>
            </w:rPr>
          </w:pPr>
          <w:hyperlink w:anchor="_Toc90193761" w:history="1">
            <w:r w:rsidR="00DE1208" w:rsidRPr="00415E0F">
              <w:rPr>
                <w:rStyle w:val="Hyperlink"/>
                <w:noProof/>
              </w:rPr>
              <w:t>6</w:t>
            </w:r>
            <w:r w:rsidR="00DE1208">
              <w:rPr>
                <w:rFonts w:asciiTheme="minorHAnsi" w:eastAsiaTheme="minorEastAsia" w:hAnsiTheme="minorHAnsi" w:cstheme="minorBidi"/>
                <w:noProof/>
                <w:sz w:val="22"/>
                <w:szCs w:val="22"/>
                <w:lang w:val="en-ZA"/>
              </w:rPr>
              <w:tab/>
            </w:r>
            <w:r w:rsidR="00DE1208" w:rsidRPr="00415E0F">
              <w:rPr>
                <w:rStyle w:val="Hyperlink"/>
                <w:noProof/>
              </w:rPr>
              <w:t>International Cultural Goods Trade over time</w:t>
            </w:r>
            <w:r w:rsidR="00DE1208">
              <w:rPr>
                <w:noProof/>
                <w:webHidden/>
              </w:rPr>
              <w:tab/>
            </w:r>
            <w:r w:rsidR="00DE1208">
              <w:rPr>
                <w:noProof/>
                <w:webHidden/>
              </w:rPr>
              <w:fldChar w:fldCharType="begin"/>
            </w:r>
            <w:r w:rsidR="00DE1208">
              <w:rPr>
                <w:noProof/>
                <w:webHidden/>
              </w:rPr>
              <w:instrText xml:space="preserve"> PAGEREF _Toc90193761 \h </w:instrText>
            </w:r>
            <w:r w:rsidR="00DE1208">
              <w:rPr>
                <w:noProof/>
                <w:webHidden/>
              </w:rPr>
            </w:r>
            <w:r w:rsidR="00DE1208">
              <w:rPr>
                <w:noProof/>
                <w:webHidden/>
              </w:rPr>
              <w:fldChar w:fldCharType="separate"/>
            </w:r>
            <w:r w:rsidR="00A42A79">
              <w:rPr>
                <w:noProof/>
                <w:webHidden/>
              </w:rPr>
              <w:t>18</w:t>
            </w:r>
            <w:r w:rsidR="00DE1208">
              <w:rPr>
                <w:noProof/>
                <w:webHidden/>
              </w:rPr>
              <w:fldChar w:fldCharType="end"/>
            </w:r>
          </w:hyperlink>
        </w:p>
        <w:p w14:paraId="0A6B72C0" w14:textId="6225E43D"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62" w:history="1">
            <w:r w:rsidR="00DE1208" w:rsidRPr="00415E0F">
              <w:rPr>
                <w:rStyle w:val="Hyperlink"/>
                <w:noProof/>
              </w:rPr>
              <w:t>6.1</w:t>
            </w:r>
            <w:r w:rsidR="00DE1208">
              <w:rPr>
                <w:rFonts w:asciiTheme="minorHAnsi" w:eastAsiaTheme="minorEastAsia" w:hAnsiTheme="minorHAnsi" w:cstheme="minorBidi"/>
                <w:noProof/>
                <w:sz w:val="22"/>
                <w:szCs w:val="22"/>
                <w:lang w:val="en-ZA"/>
              </w:rPr>
              <w:tab/>
            </w:r>
            <w:r w:rsidR="00DE1208" w:rsidRPr="00415E0F">
              <w:rPr>
                <w:rStyle w:val="Hyperlink"/>
                <w:noProof/>
              </w:rPr>
              <w:t>The proportion and composition of South Africa’s cultural goods trade</w:t>
            </w:r>
            <w:r w:rsidR="00DE1208">
              <w:rPr>
                <w:noProof/>
                <w:webHidden/>
              </w:rPr>
              <w:tab/>
            </w:r>
            <w:r w:rsidR="00DE1208">
              <w:rPr>
                <w:noProof/>
                <w:webHidden/>
              </w:rPr>
              <w:fldChar w:fldCharType="begin"/>
            </w:r>
            <w:r w:rsidR="00DE1208">
              <w:rPr>
                <w:noProof/>
                <w:webHidden/>
              </w:rPr>
              <w:instrText xml:space="preserve"> PAGEREF _Toc90193762 \h </w:instrText>
            </w:r>
            <w:r w:rsidR="00DE1208">
              <w:rPr>
                <w:noProof/>
                <w:webHidden/>
              </w:rPr>
            </w:r>
            <w:r w:rsidR="00DE1208">
              <w:rPr>
                <w:noProof/>
                <w:webHidden/>
              </w:rPr>
              <w:fldChar w:fldCharType="separate"/>
            </w:r>
            <w:r w:rsidR="00A42A79">
              <w:rPr>
                <w:noProof/>
                <w:webHidden/>
              </w:rPr>
              <w:t>18</w:t>
            </w:r>
            <w:r w:rsidR="00DE1208">
              <w:rPr>
                <w:noProof/>
                <w:webHidden/>
              </w:rPr>
              <w:fldChar w:fldCharType="end"/>
            </w:r>
          </w:hyperlink>
        </w:p>
        <w:p w14:paraId="571DE52C" w14:textId="62B1F3B7" w:rsidR="00DE1208" w:rsidRDefault="001A71CF">
          <w:pPr>
            <w:pStyle w:val="TOC2"/>
            <w:tabs>
              <w:tab w:val="left" w:pos="880"/>
              <w:tab w:val="right" w:leader="dot" w:pos="9016"/>
            </w:tabs>
            <w:rPr>
              <w:rFonts w:asciiTheme="minorHAnsi" w:eastAsiaTheme="minorEastAsia" w:hAnsiTheme="minorHAnsi" w:cstheme="minorBidi"/>
              <w:noProof/>
              <w:sz w:val="22"/>
              <w:szCs w:val="22"/>
              <w:lang w:val="en-ZA"/>
            </w:rPr>
          </w:pPr>
          <w:hyperlink w:anchor="_Toc90193763" w:history="1">
            <w:r w:rsidR="00DE1208" w:rsidRPr="00415E0F">
              <w:rPr>
                <w:rStyle w:val="Hyperlink"/>
                <w:noProof/>
              </w:rPr>
              <w:t>6.2</w:t>
            </w:r>
            <w:r w:rsidR="00DE1208">
              <w:rPr>
                <w:rFonts w:asciiTheme="minorHAnsi" w:eastAsiaTheme="minorEastAsia" w:hAnsiTheme="minorHAnsi" w:cstheme="minorBidi"/>
                <w:noProof/>
                <w:sz w:val="22"/>
                <w:szCs w:val="22"/>
                <w:lang w:val="en-ZA"/>
              </w:rPr>
              <w:tab/>
            </w:r>
            <w:r w:rsidR="00DE1208" w:rsidRPr="00415E0F">
              <w:rPr>
                <w:rStyle w:val="Hyperlink"/>
                <w:noProof/>
              </w:rPr>
              <w:t>The origin and destinations of cultural goods trade</w:t>
            </w:r>
            <w:r w:rsidR="00DE1208">
              <w:rPr>
                <w:noProof/>
                <w:webHidden/>
              </w:rPr>
              <w:tab/>
            </w:r>
            <w:r w:rsidR="00DE1208">
              <w:rPr>
                <w:noProof/>
                <w:webHidden/>
              </w:rPr>
              <w:fldChar w:fldCharType="begin"/>
            </w:r>
            <w:r w:rsidR="00DE1208">
              <w:rPr>
                <w:noProof/>
                <w:webHidden/>
              </w:rPr>
              <w:instrText xml:space="preserve"> PAGEREF _Toc90193763 \h </w:instrText>
            </w:r>
            <w:r w:rsidR="00DE1208">
              <w:rPr>
                <w:noProof/>
                <w:webHidden/>
              </w:rPr>
            </w:r>
            <w:r w:rsidR="00DE1208">
              <w:rPr>
                <w:noProof/>
                <w:webHidden/>
              </w:rPr>
              <w:fldChar w:fldCharType="separate"/>
            </w:r>
            <w:r w:rsidR="00A42A79">
              <w:rPr>
                <w:noProof/>
                <w:webHidden/>
              </w:rPr>
              <w:t>26</w:t>
            </w:r>
            <w:r w:rsidR="00DE1208">
              <w:rPr>
                <w:noProof/>
                <w:webHidden/>
              </w:rPr>
              <w:fldChar w:fldCharType="end"/>
            </w:r>
          </w:hyperlink>
        </w:p>
        <w:p w14:paraId="30EDB662" w14:textId="5FDFA179" w:rsidR="00DE1208" w:rsidRDefault="001A71CF">
          <w:pPr>
            <w:pStyle w:val="TOC1"/>
            <w:rPr>
              <w:rFonts w:asciiTheme="minorHAnsi" w:eastAsiaTheme="minorEastAsia" w:hAnsiTheme="minorHAnsi" w:cstheme="minorBidi"/>
              <w:noProof/>
              <w:sz w:val="22"/>
              <w:szCs w:val="22"/>
              <w:lang w:val="en-ZA"/>
            </w:rPr>
          </w:pPr>
          <w:hyperlink w:anchor="_Toc90193764" w:history="1">
            <w:r w:rsidR="00DE1208" w:rsidRPr="00415E0F">
              <w:rPr>
                <w:rStyle w:val="Hyperlink"/>
                <w:noProof/>
              </w:rPr>
              <w:t>7</w:t>
            </w:r>
            <w:r w:rsidR="00DE1208">
              <w:rPr>
                <w:rFonts w:asciiTheme="minorHAnsi" w:eastAsiaTheme="minorEastAsia" w:hAnsiTheme="minorHAnsi" w:cstheme="minorBidi"/>
                <w:noProof/>
                <w:sz w:val="22"/>
                <w:szCs w:val="22"/>
                <w:lang w:val="en-ZA"/>
              </w:rPr>
              <w:tab/>
            </w:r>
            <w:r w:rsidR="00DE1208" w:rsidRPr="00415E0F">
              <w:rPr>
                <w:rStyle w:val="Hyperlink"/>
                <w:noProof/>
              </w:rPr>
              <w:t>Conclusions and some implications of the findings</w:t>
            </w:r>
            <w:r w:rsidR="00DE1208">
              <w:rPr>
                <w:noProof/>
                <w:webHidden/>
              </w:rPr>
              <w:tab/>
            </w:r>
            <w:r w:rsidR="00DE1208">
              <w:rPr>
                <w:noProof/>
                <w:webHidden/>
              </w:rPr>
              <w:fldChar w:fldCharType="begin"/>
            </w:r>
            <w:r w:rsidR="00DE1208">
              <w:rPr>
                <w:noProof/>
                <w:webHidden/>
              </w:rPr>
              <w:instrText xml:space="preserve"> PAGEREF _Toc90193764 \h </w:instrText>
            </w:r>
            <w:r w:rsidR="00DE1208">
              <w:rPr>
                <w:noProof/>
                <w:webHidden/>
              </w:rPr>
            </w:r>
            <w:r w:rsidR="00DE1208">
              <w:rPr>
                <w:noProof/>
                <w:webHidden/>
              </w:rPr>
              <w:fldChar w:fldCharType="separate"/>
            </w:r>
            <w:r w:rsidR="00A42A79">
              <w:rPr>
                <w:noProof/>
                <w:webHidden/>
              </w:rPr>
              <w:t>32</w:t>
            </w:r>
            <w:r w:rsidR="00DE1208">
              <w:rPr>
                <w:noProof/>
                <w:webHidden/>
              </w:rPr>
              <w:fldChar w:fldCharType="end"/>
            </w:r>
          </w:hyperlink>
        </w:p>
        <w:p w14:paraId="2A7A8892" w14:textId="214291AD" w:rsidR="00DE1208" w:rsidRDefault="001A71CF">
          <w:pPr>
            <w:pStyle w:val="TOC1"/>
            <w:rPr>
              <w:rFonts w:asciiTheme="minorHAnsi" w:eastAsiaTheme="minorEastAsia" w:hAnsiTheme="minorHAnsi" w:cstheme="minorBidi"/>
              <w:noProof/>
              <w:sz w:val="22"/>
              <w:szCs w:val="22"/>
              <w:lang w:val="en-ZA"/>
            </w:rPr>
          </w:pPr>
          <w:hyperlink w:anchor="_Toc90193765" w:history="1">
            <w:r w:rsidR="00DE1208" w:rsidRPr="00415E0F">
              <w:rPr>
                <w:rStyle w:val="Hyperlink"/>
                <w:noProof/>
              </w:rPr>
              <w:t>References</w:t>
            </w:r>
            <w:r w:rsidR="00DE1208">
              <w:rPr>
                <w:noProof/>
                <w:webHidden/>
              </w:rPr>
              <w:tab/>
            </w:r>
            <w:r w:rsidR="00DE1208">
              <w:rPr>
                <w:noProof/>
                <w:webHidden/>
              </w:rPr>
              <w:fldChar w:fldCharType="begin"/>
            </w:r>
            <w:r w:rsidR="00DE1208">
              <w:rPr>
                <w:noProof/>
                <w:webHidden/>
              </w:rPr>
              <w:instrText xml:space="preserve"> PAGEREF _Toc90193765 \h </w:instrText>
            </w:r>
            <w:r w:rsidR="00DE1208">
              <w:rPr>
                <w:noProof/>
                <w:webHidden/>
              </w:rPr>
            </w:r>
            <w:r w:rsidR="00DE1208">
              <w:rPr>
                <w:noProof/>
                <w:webHidden/>
              </w:rPr>
              <w:fldChar w:fldCharType="separate"/>
            </w:r>
            <w:r w:rsidR="00A42A79">
              <w:rPr>
                <w:noProof/>
                <w:webHidden/>
              </w:rPr>
              <w:t>35</w:t>
            </w:r>
            <w:r w:rsidR="00DE1208">
              <w:rPr>
                <w:noProof/>
                <w:webHidden/>
              </w:rPr>
              <w:fldChar w:fldCharType="end"/>
            </w:r>
          </w:hyperlink>
        </w:p>
        <w:p w14:paraId="72F58003" w14:textId="7C17CD0A" w:rsidR="00DE1208" w:rsidRDefault="00DE1208">
          <w:r>
            <w:rPr>
              <w:b/>
              <w:bCs/>
              <w:noProof/>
            </w:rPr>
            <w:fldChar w:fldCharType="end"/>
          </w:r>
        </w:p>
      </w:sdtContent>
    </w:sdt>
    <w:p w14:paraId="48F06C2C" w14:textId="77777777" w:rsidR="00DE1208" w:rsidRDefault="00DE1208">
      <w:pPr>
        <w:rPr>
          <w:rFonts w:eastAsiaTheme="majorEastAsia" w:cstheme="majorBidi"/>
          <w:b/>
          <w:color w:val="2E74B5" w:themeColor="accent1" w:themeShade="BF"/>
          <w:sz w:val="28"/>
          <w:szCs w:val="32"/>
        </w:rPr>
      </w:pPr>
      <w:r>
        <w:br w:type="page"/>
      </w:r>
    </w:p>
    <w:p w14:paraId="7AF5E115" w14:textId="3B42B416" w:rsidR="00BD696A" w:rsidRDefault="00BD696A" w:rsidP="00BD696A">
      <w:pPr>
        <w:pStyle w:val="Heading1"/>
        <w:numPr>
          <w:ilvl w:val="0"/>
          <w:numId w:val="0"/>
        </w:numPr>
        <w:ind w:left="432" w:hanging="432"/>
      </w:pPr>
      <w:bookmarkStart w:id="5" w:name="_Toc90193698"/>
      <w:bookmarkStart w:id="6" w:name="_Toc90193719"/>
      <w:bookmarkStart w:id="7" w:name="_Toc90193746"/>
      <w:r>
        <w:lastRenderedPageBreak/>
        <w:t xml:space="preserve">List of Tables </w:t>
      </w:r>
    </w:p>
    <w:p w14:paraId="0F6B4BA1" w14:textId="175E7180"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Table 1</w:t>
      </w:r>
      <w:r w:rsidR="0032333C" w:rsidRPr="000F15C3">
        <w:rPr>
          <w:iCs/>
          <w:color w:val="44546A"/>
        </w:rPr>
        <w:t>:</w:t>
      </w:r>
      <w:r w:rsidRPr="000F15C3">
        <w:rPr>
          <w:iCs/>
          <w:color w:val="44546A"/>
        </w:rPr>
        <w:t xml:space="preserve"> Average annual growth rates by domain over time</w:t>
      </w:r>
      <w:r w:rsidRPr="000F15C3">
        <w:rPr>
          <w:iCs/>
          <w:color w:val="44546A"/>
        </w:rPr>
        <w:tab/>
        <w:t>11</w:t>
      </w:r>
    </w:p>
    <w:p w14:paraId="40D0BE21" w14:textId="5B14DDEA"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2:</w:t>
      </w:r>
      <w:r w:rsidRPr="000F15C3">
        <w:rPr>
          <w:iCs/>
          <w:color w:val="44546A"/>
        </w:rPr>
        <w:t xml:space="preserve"> Average percentage of cultural occupations in each domain by time period</w:t>
      </w:r>
      <w:r w:rsidRPr="000F15C3">
        <w:rPr>
          <w:iCs/>
          <w:color w:val="44546A"/>
        </w:rPr>
        <w:tab/>
        <w:t>13</w:t>
      </w:r>
    </w:p>
    <w:p w14:paraId="48E2A13F" w14:textId="72E1533C"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3:</w:t>
      </w:r>
      <w:r w:rsidRPr="000F15C3">
        <w:rPr>
          <w:iCs/>
          <w:color w:val="44546A"/>
        </w:rPr>
        <w:t xml:space="preserve"> </w:t>
      </w:r>
      <w:r w:rsidR="003A76EC" w:rsidRPr="000F15C3">
        <w:rPr>
          <w:iCs/>
          <w:color w:val="44546A"/>
        </w:rPr>
        <w:t>Gender, population group and youth in cultural occupations over time</w:t>
      </w:r>
      <w:r w:rsidRPr="000F15C3">
        <w:rPr>
          <w:iCs/>
          <w:color w:val="44546A"/>
        </w:rPr>
        <w:tab/>
        <w:t>1</w:t>
      </w:r>
      <w:r w:rsidR="003A76EC" w:rsidRPr="000F15C3">
        <w:rPr>
          <w:iCs/>
          <w:color w:val="44546A"/>
        </w:rPr>
        <w:t>4</w:t>
      </w:r>
    </w:p>
    <w:p w14:paraId="6C196D80" w14:textId="210B2BDB"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4:</w:t>
      </w:r>
      <w:r w:rsidRPr="000F15C3">
        <w:rPr>
          <w:iCs/>
          <w:color w:val="44546A"/>
        </w:rPr>
        <w:t xml:space="preserve"> </w:t>
      </w:r>
      <w:r w:rsidR="003A76EC" w:rsidRPr="000F15C3">
        <w:rPr>
          <w:iCs/>
          <w:color w:val="44546A"/>
        </w:rPr>
        <w:t>Education levels of cultural and non-cultural workers over time</w:t>
      </w:r>
      <w:r w:rsidRPr="000F15C3">
        <w:rPr>
          <w:iCs/>
          <w:color w:val="44546A"/>
        </w:rPr>
        <w:tab/>
        <w:t>1</w:t>
      </w:r>
      <w:r w:rsidR="003A76EC" w:rsidRPr="000F15C3">
        <w:rPr>
          <w:iCs/>
          <w:color w:val="44546A"/>
        </w:rPr>
        <w:t>4</w:t>
      </w:r>
    </w:p>
    <w:p w14:paraId="34F17BB7" w14:textId="70FDDE58"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5:</w:t>
      </w:r>
      <w:r w:rsidRPr="000F15C3">
        <w:rPr>
          <w:iCs/>
          <w:color w:val="44546A"/>
        </w:rPr>
        <w:t xml:space="preserve"> </w:t>
      </w:r>
      <w:r w:rsidR="003A76EC" w:rsidRPr="000F15C3">
        <w:rPr>
          <w:iCs/>
          <w:color w:val="44546A"/>
        </w:rPr>
        <w:t>Monthly earnings, gender, and education</w:t>
      </w:r>
      <w:r w:rsidRPr="000F15C3">
        <w:rPr>
          <w:iCs/>
          <w:color w:val="44546A"/>
        </w:rPr>
        <w:tab/>
        <w:t>1</w:t>
      </w:r>
      <w:r w:rsidR="003A76EC" w:rsidRPr="000F15C3">
        <w:rPr>
          <w:iCs/>
          <w:color w:val="44546A"/>
        </w:rPr>
        <w:t>6</w:t>
      </w:r>
    </w:p>
    <w:p w14:paraId="06A4258F" w14:textId="3AA2812A"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6:</w:t>
      </w:r>
      <w:r w:rsidRPr="000F15C3">
        <w:rPr>
          <w:iCs/>
          <w:color w:val="44546A"/>
        </w:rPr>
        <w:t xml:space="preserve"> </w:t>
      </w:r>
      <w:r w:rsidR="003A76EC" w:rsidRPr="000F15C3">
        <w:rPr>
          <w:iCs/>
          <w:color w:val="44546A"/>
        </w:rPr>
        <w:t>Changes in average real earnings in cultural occupations by Domain 2005–2018</w:t>
      </w:r>
      <w:r w:rsidRPr="000F15C3">
        <w:rPr>
          <w:iCs/>
          <w:color w:val="44546A"/>
        </w:rPr>
        <w:tab/>
        <w:t>1</w:t>
      </w:r>
      <w:r w:rsidR="003A76EC" w:rsidRPr="000F15C3">
        <w:rPr>
          <w:iCs/>
          <w:color w:val="44546A"/>
        </w:rPr>
        <w:t>7</w:t>
      </w:r>
    </w:p>
    <w:p w14:paraId="1DA510FE" w14:textId="397030FA"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7:</w:t>
      </w:r>
      <w:r w:rsidRPr="000F15C3">
        <w:rPr>
          <w:iCs/>
          <w:color w:val="44546A"/>
        </w:rPr>
        <w:t xml:space="preserve"> </w:t>
      </w:r>
      <w:r w:rsidR="003A76EC" w:rsidRPr="000F15C3">
        <w:rPr>
          <w:iCs/>
          <w:color w:val="44546A"/>
        </w:rPr>
        <w:t xml:space="preserve">South Africa’s cultural goods trade: USD millions and percentage shares of total </w:t>
      </w:r>
      <w:r w:rsidR="00226672">
        <w:rPr>
          <w:iCs/>
          <w:color w:val="44546A"/>
        </w:rPr>
        <w:br/>
      </w:r>
      <w:r w:rsidR="003A76EC" w:rsidRPr="000F15C3">
        <w:rPr>
          <w:iCs/>
          <w:color w:val="44546A"/>
        </w:rPr>
        <w:t>commodity trade</w:t>
      </w:r>
      <w:r w:rsidRPr="000F15C3">
        <w:rPr>
          <w:iCs/>
          <w:color w:val="44546A"/>
        </w:rPr>
        <w:tab/>
      </w:r>
      <w:r w:rsidR="003A76EC" w:rsidRPr="000F15C3">
        <w:rPr>
          <w:iCs/>
          <w:color w:val="44546A"/>
        </w:rPr>
        <w:t>22</w:t>
      </w:r>
    </w:p>
    <w:p w14:paraId="5A2397AE" w14:textId="2254E512" w:rsidR="00043EE8" w:rsidRPr="000F15C3" w:rsidRDefault="00043EE8" w:rsidP="000F15C3">
      <w:pPr>
        <w:pBdr>
          <w:top w:val="nil"/>
          <w:left w:val="nil"/>
          <w:bottom w:val="nil"/>
          <w:right w:val="nil"/>
          <w:between w:val="nil"/>
        </w:pBdr>
        <w:tabs>
          <w:tab w:val="right" w:leader="dot" w:pos="9072"/>
        </w:tabs>
        <w:spacing w:line="259" w:lineRule="auto"/>
        <w:ind w:left="720" w:hanging="720"/>
        <w:jc w:val="left"/>
        <w:rPr>
          <w:iCs/>
          <w:color w:val="44546A"/>
        </w:rPr>
      </w:pPr>
      <w:r w:rsidRPr="000F15C3">
        <w:rPr>
          <w:iCs/>
          <w:color w:val="44546A"/>
        </w:rPr>
        <w:t xml:space="preserve">Table </w:t>
      </w:r>
      <w:r w:rsidR="0032333C" w:rsidRPr="000F15C3">
        <w:rPr>
          <w:iCs/>
          <w:color w:val="44546A"/>
        </w:rPr>
        <w:t>8:</w:t>
      </w:r>
      <w:r w:rsidRPr="000F15C3">
        <w:rPr>
          <w:iCs/>
          <w:color w:val="44546A"/>
        </w:rPr>
        <w:t xml:space="preserve"> </w:t>
      </w:r>
      <w:r w:rsidR="003A76EC" w:rsidRPr="000F15C3">
        <w:rPr>
          <w:iCs/>
          <w:color w:val="44546A"/>
        </w:rPr>
        <w:t xml:space="preserve">Percentage share of top twenty partners in South Africa’s cultural goods exports, </w:t>
      </w:r>
      <w:r w:rsidR="00226672">
        <w:rPr>
          <w:iCs/>
          <w:color w:val="44546A"/>
        </w:rPr>
        <w:br/>
      </w:r>
      <w:r w:rsidR="003A76EC" w:rsidRPr="000F15C3">
        <w:rPr>
          <w:iCs/>
          <w:color w:val="44546A"/>
        </w:rPr>
        <w:t>selected years</w:t>
      </w:r>
      <w:r w:rsidRPr="000F15C3">
        <w:rPr>
          <w:iCs/>
          <w:color w:val="44546A"/>
        </w:rPr>
        <w:tab/>
      </w:r>
      <w:r w:rsidR="003A76EC" w:rsidRPr="000F15C3">
        <w:rPr>
          <w:iCs/>
          <w:color w:val="44546A"/>
        </w:rPr>
        <w:t>28</w:t>
      </w:r>
    </w:p>
    <w:p w14:paraId="181A2E2B" w14:textId="0B6893F9" w:rsidR="00043EE8" w:rsidRPr="000F15C3" w:rsidRDefault="00043EE8" w:rsidP="000F15C3">
      <w:pPr>
        <w:tabs>
          <w:tab w:val="right" w:leader="dot" w:pos="9072"/>
        </w:tabs>
        <w:spacing w:line="259" w:lineRule="auto"/>
        <w:ind w:left="720" w:hanging="720"/>
        <w:jc w:val="left"/>
        <w:rPr>
          <w:iCs/>
          <w:sz w:val="22"/>
          <w:szCs w:val="22"/>
        </w:rPr>
      </w:pPr>
      <w:r w:rsidRPr="000F15C3">
        <w:rPr>
          <w:iCs/>
          <w:color w:val="44546A"/>
        </w:rPr>
        <w:t>Table 9</w:t>
      </w:r>
      <w:r w:rsidR="0032333C" w:rsidRPr="000F15C3">
        <w:rPr>
          <w:iCs/>
          <w:color w:val="44546A"/>
        </w:rPr>
        <w:t>:</w:t>
      </w:r>
      <w:r w:rsidRPr="000F15C3">
        <w:rPr>
          <w:iCs/>
          <w:color w:val="44546A"/>
        </w:rPr>
        <w:t xml:space="preserve"> Percentage share of top twenty partners in South Africa’s cultural goods imports, </w:t>
      </w:r>
      <w:r w:rsidR="00226672">
        <w:rPr>
          <w:iCs/>
          <w:color w:val="44546A"/>
        </w:rPr>
        <w:br/>
      </w:r>
      <w:r w:rsidRPr="000F15C3">
        <w:rPr>
          <w:iCs/>
          <w:color w:val="44546A"/>
        </w:rPr>
        <w:t>selected years</w:t>
      </w:r>
      <w:r w:rsidRPr="000F15C3">
        <w:rPr>
          <w:iCs/>
          <w:color w:val="44546A"/>
        </w:rPr>
        <w:tab/>
      </w:r>
      <w:r w:rsidR="00226672" w:rsidRPr="000F15C3">
        <w:rPr>
          <w:iCs/>
          <w:color w:val="44546A"/>
        </w:rPr>
        <w:t>29</w:t>
      </w:r>
      <w:r w:rsidRPr="000F15C3">
        <w:rPr>
          <w:iCs/>
          <w:sz w:val="22"/>
          <w:szCs w:val="22"/>
        </w:rPr>
        <w:t xml:space="preserve"> </w:t>
      </w:r>
    </w:p>
    <w:p w14:paraId="04152B2F" w14:textId="39C2A58F" w:rsidR="00BD696A" w:rsidRDefault="00BD696A" w:rsidP="000F15C3">
      <w:pPr>
        <w:tabs>
          <w:tab w:val="right" w:leader="dot" w:pos="9072"/>
        </w:tabs>
        <w:rPr>
          <w:rFonts w:eastAsiaTheme="majorEastAsia" w:cstheme="majorBidi"/>
          <w:b/>
          <w:color w:val="2E74B5" w:themeColor="accent1" w:themeShade="BF"/>
          <w:sz w:val="28"/>
          <w:szCs w:val="32"/>
        </w:rPr>
      </w:pPr>
      <w:r>
        <w:br w:type="page"/>
      </w:r>
    </w:p>
    <w:p w14:paraId="0000002C" w14:textId="7D47FF8C" w:rsidR="0039297D" w:rsidRDefault="004273CA" w:rsidP="000F15C3">
      <w:pPr>
        <w:pStyle w:val="Heading1"/>
        <w:numPr>
          <w:ilvl w:val="0"/>
          <w:numId w:val="0"/>
        </w:numPr>
        <w:ind w:left="431" w:hanging="431"/>
      </w:pPr>
      <w:r>
        <w:lastRenderedPageBreak/>
        <w:t xml:space="preserve">List of </w:t>
      </w:r>
      <w:r w:rsidR="00DE1208">
        <w:t>Figures</w:t>
      </w:r>
      <w:bookmarkEnd w:id="5"/>
      <w:bookmarkEnd w:id="6"/>
      <w:bookmarkEnd w:id="7"/>
    </w:p>
    <w:sdt>
      <w:sdtPr>
        <w:rPr>
          <w:rFonts w:eastAsiaTheme="majorEastAsia" w:cstheme="majorBidi"/>
          <w:b/>
          <w:color w:val="2E74B5" w:themeColor="accent1" w:themeShade="BF"/>
          <w:sz w:val="26"/>
          <w:szCs w:val="26"/>
        </w:rPr>
        <w:id w:val="2119789684"/>
        <w:docPartObj>
          <w:docPartGallery w:val="Table of Contents"/>
          <w:docPartUnique/>
        </w:docPartObj>
      </w:sdtPr>
      <w:sdtEndPr>
        <w:rPr>
          <w:rFonts w:eastAsia="Arial" w:cs="Arial"/>
          <w:b w:val="0"/>
          <w:color w:val="auto"/>
          <w:sz w:val="20"/>
          <w:szCs w:val="20"/>
        </w:rPr>
      </w:sdtEndPr>
      <w:sdtContent>
        <w:p w14:paraId="00000037" w14:textId="551AF1A1" w:rsidR="0039297D" w:rsidRPr="00DE1208" w:rsidRDefault="00EA151F" w:rsidP="000F15C3">
          <w:pPr>
            <w:pStyle w:val="TOC1"/>
          </w:pPr>
          <w:r>
            <w:fldChar w:fldCharType="begin"/>
          </w:r>
          <w:r>
            <w:instrText xml:space="preserve"> TOC \h \u \z </w:instrText>
          </w:r>
          <w:r>
            <w:fldChar w:fldCharType="end"/>
          </w:r>
        </w:p>
      </w:sdtContent>
    </w:sdt>
    <w:sdt>
      <w:sdtPr>
        <w:id w:val="53748196"/>
        <w:docPartObj>
          <w:docPartGallery w:val="Table of Contents"/>
          <w:docPartUnique/>
        </w:docPartObj>
      </w:sdtPr>
      <w:sdtEndPr/>
      <w:sdtContent>
        <w:p w14:paraId="0000003A" w14:textId="3D03431D" w:rsidR="0039297D" w:rsidRPr="00DE1208" w:rsidRDefault="004273CA" w:rsidP="000F15C3">
          <w:pPr>
            <w:pBdr>
              <w:top w:val="nil"/>
              <w:left w:val="nil"/>
              <w:bottom w:val="nil"/>
              <w:right w:val="nil"/>
              <w:between w:val="nil"/>
            </w:pBdr>
            <w:tabs>
              <w:tab w:val="right" w:leader="dot" w:pos="9072"/>
            </w:tabs>
            <w:spacing w:line="259" w:lineRule="auto"/>
            <w:rPr>
              <w:rFonts w:eastAsia="Calibri"/>
              <w:color w:val="000000"/>
            </w:rPr>
          </w:pPr>
          <w:r w:rsidRPr="00DE1208">
            <w:fldChar w:fldCharType="begin"/>
          </w:r>
          <w:r w:rsidRPr="00DE1208">
            <w:instrText xml:space="preserve"> TOC \h \u \z </w:instrText>
          </w:r>
          <w:r w:rsidRPr="00DE1208">
            <w:fldChar w:fldCharType="separate"/>
          </w:r>
          <w:hyperlink w:anchor="_heading=h.17dp8vu">
            <w:r w:rsidRPr="00DE1208">
              <w:rPr>
                <w:rFonts w:eastAsia="Palatino Linotype"/>
                <w:color w:val="000000"/>
              </w:rPr>
              <w:t>Figure 1</w:t>
            </w:r>
            <w:r w:rsidR="005F46C7">
              <w:rPr>
                <w:rFonts w:eastAsia="Palatino Linotype"/>
                <w:color w:val="000000"/>
              </w:rPr>
              <w:t>:</w:t>
            </w:r>
            <w:r w:rsidRPr="00DE1208">
              <w:rPr>
                <w:rFonts w:eastAsia="Palatino Linotype"/>
                <w:color w:val="000000"/>
              </w:rPr>
              <w:t xml:space="preserve"> South </w:t>
            </w:r>
            <w:r w:rsidR="00CD2CAF" w:rsidRPr="00DE1208">
              <w:rPr>
                <w:rFonts w:eastAsia="Palatino Linotype"/>
                <w:color w:val="000000"/>
              </w:rPr>
              <w:t>Africa</w:t>
            </w:r>
            <w:r w:rsidR="00CD2CAF">
              <w:rPr>
                <w:rFonts w:eastAsia="Palatino Linotype"/>
                <w:color w:val="000000"/>
              </w:rPr>
              <w:t>’</w:t>
            </w:r>
            <w:r w:rsidR="00CD2CAF" w:rsidRPr="00DE1208">
              <w:rPr>
                <w:rFonts w:eastAsia="Palatino Linotype"/>
                <w:color w:val="000000"/>
              </w:rPr>
              <w:t xml:space="preserve">s </w:t>
            </w:r>
            <w:r w:rsidRPr="00DE1208">
              <w:rPr>
                <w:rFonts w:eastAsia="Palatino Linotype"/>
                <w:color w:val="000000"/>
              </w:rPr>
              <w:t>GDP growth rate and unemployment rate 2005</w:t>
            </w:r>
            <w:r w:rsidR="00CD2CAF">
              <w:rPr>
                <w:rFonts w:eastAsia="Palatino Linotype"/>
                <w:color w:val="000000"/>
              </w:rPr>
              <w:t>–</w:t>
            </w:r>
            <w:r w:rsidRPr="00DE1208">
              <w:rPr>
                <w:rFonts w:eastAsia="Palatino Linotype"/>
                <w:color w:val="000000"/>
              </w:rPr>
              <w:t>2019</w:t>
            </w:r>
            <w:r w:rsidR="00F14C96">
              <w:rPr>
                <w:rFonts w:eastAsia="Palatino Linotype"/>
                <w:color w:val="000000"/>
              </w:rPr>
              <w:tab/>
            </w:r>
            <w:r w:rsidR="00AD3A6F">
              <w:rPr>
                <w:rFonts w:eastAsia="Palatino Linotype"/>
                <w:color w:val="000000"/>
              </w:rPr>
              <w:t>2</w:t>
            </w:r>
          </w:hyperlink>
        </w:p>
        <w:p w14:paraId="0000003B" w14:textId="4C036B94"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3rdcrjn">
            <w:r w:rsidR="004273CA" w:rsidRPr="00DE1208">
              <w:rPr>
                <w:rFonts w:eastAsia="Palatino Linotype"/>
                <w:color w:val="000000"/>
              </w:rPr>
              <w:t>Figure 2</w:t>
            </w:r>
            <w:r w:rsidR="005F46C7">
              <w:rPr>
                <w:rFonts w:eastAsia="Palatino Linotype"/>
                <w:color w:val="000000"/>
              </w:rPr>
              <w:t>:</w:t>
            </w:r>
            <w:r w:rsidR="004273CA" w:rsidRPr="00DE1208">
              <w:rPr>
                <w:rFonts w:eastAsia="Palatino Linotype"/>
                <w:color w:val="000000"/>
              </w:rPr>
              <w:t xml:space="preserve"> South African cultural policy development post-apartheid to the present</w:t>
            </w:r>
            <w:r w:rsidR="004273CA" w:rsidRPr="00DE1208">
              <w:rPr>
                <w:rFonts w:eastAsia="Palatino Linotype"/>
                <w:color w:val="000000"/>
              </w:rPr>
              <w:tab/>
            </w:r>
            <w:r w:rsidR="00AD3A6F">
              <w:rPr>
                <w:rFonts w:eastAsia="Palatino Linotype"/>
                <w:color w:val="000000"/>
              </w:rPr>
              <w:t>3</w:t>
            </w:r>
          </w:hyperlink>
        </w:p>
        <w:p w14:paraId="0000003C" w14:textId="57B6F1E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3j2qqm3">
            <w:r w:rsidR="004273CA" w:rsidRPr="00DE1208">
              <w:rPr>
                <w:rFonts w:eastAsia="Palatino Linotype"/>
                <w:color w:val="000000"/>
              </w:rPr>
              <w:t>Figure 3: CCI</w:t>
            </w:r>
            <w:r w:rsidR="00CD2CAF">
              <w:rPr>
                <w:rFonts w:eastAsia="Palatino Linotype"/>
                <w:color w:val="000000"/>
              </w:rPr>
              <w:t>’</w:t>
            </w:r>
            <w:r w:rsidR="004273CA" w:rsidRPr="00DE1208">
              <w:rPr>
                <w:rFonts w:eastAsia="Palatino Linotype"/>
                <w:color w:val="000000"/>
              </w:rPr>
              <w:t>s contribution as a percentage to South Africa</w:t>
            </w:r>
            <w:r w:rsidR="00CD2CAF">
              <w:rPr>
                <w:rFonts w:eastAsia="Palatino Linotype"/>
                <w:color w:val="000000"/>
              </w:rPr>
              <w:t>’</w:t>
            </w:r>
            <w:r w:rsidR="004273CA" w:rsidRPr="00DE1208">
              <w:rPr>
                <w:rFonts w:eastAsia="Palatino Linotype"/>
                <w:color w:val="000000"/>
              </w:rPr>
              <w:t>s GDP</w:t>
            </w:r>
            <w:r w:rsidR="004273CA" w:rsidRPr="00DE1208">
              <w:rPr>
                <w:rFonts w:eastAsia="Palatino Linotype"/>
                <w:color w:val="000000"/>
              </w:rPr>
              <w:tab/>
            </w:r>
            <w:r w:rsidR="00AD3A6F">
              <w:rPr>
                <w:rFonts w:eastAsia="Palatino Linotype"/>
                <w:color w:val="000000"/>
              </w:rPr>
              <w:t>7</w:t>
            </w:r>
          </w:hyperlink>
        </w:p>
        <w:p w14:paraId="0000003D" w14:textId="206BDCC7"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1y810tw">
            <w:r w:rsidR="00AD3A6F" w:rsidRPr="00DE1208">
              <w:rPr>
                <w:rFonts w:eastAsia="Palatino Linotype"/>
                <w:color w:val="000000"/>
              </w:rPr>
              <w:t>Figure 4: GDP per domain and South African GDP</w:t>
            </w:r>
            <w:r w:rsidR="00AD3A6F" w:rsidRPr="00DE1208">
              <w:rPr>
                <w:rFonts w:eastAsia="Palatino Linotype"/>
                <w:color w:val="000000"/>
              </w:rPr>
              <w:tab/>
            </w:r>
            <w:r w:rsidR="00AD3A6F">
              <w:rPr>
                <w:rFonts w:eastAsia="Palatino Linotype"/>
                <w:color w:val="000000"/>
              </w:rPr>
              <w:t>8</w:t>
            </w:r>
          </w:hyperlink>
        </w:p>
        <w:p w14:paraId="0000003E" w14:textId="6501834D"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4i7ojhp">
            <w:r w:rsidR="00AD3A6F" w:rsidRPr="00DE1208">
              <w:rPr>
                <w:rFonts w:eastAsia="Palatino Linotype"/>
                <w:color w:val="000000"/>
              </w:rPr>
              <w:t>Figure 5: CCI Domain Contribution to GDP</w:t>
            </w:r>
            <w:r w:rsidR="00AD3A6F" w:rsidRPr="00DE1208">
              <w:rPr>
                <w:rFonts w:eastAsia="Palatino Linotype"/>
                <w:color w:val="000000"/>
              </w:rPr>
              <w:tab/>
            </w:r>
            <w:r w:rsidR="00AD3A6F">
              <w:rPr>
                <w:rFonts w:eastAsia="Palatino Linotype"/>
                <w:color w:val="000000"/>
              </w:rPr>
              <w:t>9</w:t>
            </w:r>
          </w:hyperlink>
        </w:p>
        <w:p w14:paraId="0000003F" w14:textId="061705FB"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2xcytpi">
            <w:r w:rsidR="00AD3A6F" w:rsidRPr="00DE1208">
              <w:rPr>
                <w:rFonts w:eastAsia="Palatino Linotype"/>
                <w:color w:val="000000"/>
              </w:rPr>
              <w:t>Figure 6: Composition of the GDP, 2016, 2018 and 2020</w:t>
            </w:r>
            <w:r w:rsidR="00AD3A6F" w:rsidRPr="00DE1208">
              <w:rPr>
                <w:rFonts w:eastAsia="Palatino Linotype"/>
                <w:color w:val="000000"/>
              </w:rPr>
              <w:tab/>
              <w:t>1</w:t>
            </w:r>
            <w:r w:rsidR="00AD3A6F">
              <w:rPr>
                <w:rFonts w:eastAsia="Palatino Linotype"/>
                <w:color w:val="000000"/>
              </w:rPr>
              <w:t>0</w:t>
            </w:r>
          </w:hyperlink>
        </w:p>
        <w:p w14:paraId="00000040" w14:textId="7536ABE4"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3whwml4">
            <w:r w:rsidR="004273CA" w:rsidRPr="00DE1208">
              <w:rPr>
                <w:rFonts w:eastAsia="Palatino Linotype"/>
                <w:color w:val="000000"/>
              </w:rPr>
              <w:t>Figure 7</w:t>
            </w:r>
            <w:r w:rsidR="005F46C7">
              <w:rPr>
                <w:rFonts w:eastAsia="Palatino Linotype"/>
                <w:color w:val="000000"/>
              </w:rPr>
              <w:t>:</w:t>
            </w:r>
            <w:r w:rsidR="004273CA" w:rsidRPr="00DE1208">
              <w:rPr>
                <w:rFonts w:eastAsia="Palatino Linotype"/>
                <w:color w:val="000000"/>
              </w:rPr>
              <w:t xml:space="preserve"> Percentage change per domain per annum</w:t>
            </w:r>
            <w:r w:rsidR="004273CA" w:rsidRPr="00DE1208">
              <w:rPr>
                <w:rFonts w:eastAsia="Palatino Linotype"/>
                <w:color w:val="000000"/>
              </w:rPr>
              <w:tab/>
              <w:t>1</w:t>
            </w:r>
            <w:r w:rsidR="00AD3A6F">
              <w:rPr>
                <w:rFonts w:eastAsia="Palatino Linotype"/>
                <w:color w:val="000000"/>
              </w:rPr>
              <w:t>1</w:t>
            </w:r>
          </w:hyperlink>
        </w:p>
        <w:p w14:paraId="00000041" w14:textId="4DBAB87F"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1pxezwc">
            <w:r w:rsidR="004273CA" w:rsidRPr="00DE1208">
              <w:rPr>
                <w:rFonts w:eastAsia="Palatino Linotype"/>
                <w:color w:val="000000"/>
              </w:rPr>
              <w:t>Figure 8</w:t>
            </w:r>
            <w:r w:rsidR="005F46C7">
              <w:rPr>
                <w:rFonts w:eastAsia="Palatino Linotype"/>
                <w:color w:val="000000"/>
              </w:rPr>
              <w:t>:</w:t>
            </w:r>
            <w:r w:rsidR="004273CA" w:rsidRPr="00DE1208">
              <w:rPr>
                <w:rFonts w:eastAsia="Palatino Linotype"/>
                <w:color w:val="000000"/>
              </w:rPr>
              <w:t xml:space="preserve"> The number and percentage of people in cultural occupations 2008</w:t>
            </w:r>
            <w:r w:rsidR="00CD2CAF">
              <w:rPr>
                <w:rFonts w:eastAsia="Palatino Linotype"/>
                <w:color w:val="000000"/>
              </w:rPr>
              <w:t>–</w:t>
            </w:r>
            <w:r w:rsidR="004273CA" w:rsidRPr="00DE1208">
              <w:rPr>
                <w:rFonts w:eastAsia="Palatino Linotype"/>
                <w:color w:val="000000"/>
              </w:rPr>
              <w:t>2019</w:t>
            </w:r>
            <w:r w:rsidR="004273CA" w:rsidRPr="00DE1208">
              <w:rPr>
                <w:rFonts w:eastAsia="Palatino Linotype"/>
                <w:color w:val="000000"/>
              </w:rPr>
              <w:tab/>
              <w:t>1</w:t>
            </w:r>
            <w:r w:rsidR="00AD3A6F">
              <w:rPr>
                <w:rFonts w:eastAsia="Palatino Linotype"/>
                <w:color w:val="000000"/>
              </w:rPr>
              <w:t>2</w:t>
            </w:r>
          </w:hyperlink>
        </w:p>
        <w:p w14:paraId="00000042" w14:textId="3D20987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1hmsyys">
            <w:r w:rsidR="004273CA" w:rsidRPr="00DE1208">
              <w:rPr>
                <w:rFonts w:eastAsia="Palatino Linotype"/>
                <w:color w:val="000000"/>
              </w:rPr>
              <w:t>Figure 9</w:t>
            </w:r>
            <w:r w:rsidR="005F46C7">
              <w:rPr>
                <w:rFonts w:eastAsia="Palatino Linotype"/>
                <w:color w:val="000000"/>
              </w:rPr>
              <w:t>:</w:t>
            </w:r>
            <w:r w:rsidR="004273CA" w:rsidRPr="00DE1208">
              <w:rPr>
                <w:rFonts w:eastAsia="Palatino Linotype"/>
                <w:color w:val="000000"/>
              </w:rPr>
              <w:t xml:space="preserve"> Average real earnings in cultural and non-cultural occupations 2005</w:t>
            </w:r>
            <w:r w:rsidR="00CD2CAF">
              <w:rPr>
                <w:rFonts w:eastAsia="Palatino Linotype"/>
                <w:color w:val="000000"/>
              </w:rPr>
              <w:t>–</w:t>
            </w:r>
            <w:r w:rsidR="004273CA" w:rsidRPr="00DE1208">
              <w:rPr>
                <w:rFonts w:eastAsia="Palatino Linotype"/>
                <w:color w:val="000000"/>
              </w:rPr>
              <w:t>2018</w:t>
            </w:r>
            <w:r w:rsidR="004273CA" w:rsidRPr="00DE1208">
              <w:rPr>
                <w:rFonts w:eastAsia="Palatino Linotype"/>
                <w:color w:val="000000"/>
              </w:rPr>
              <w:tab/>
              <w:t>1</w:t>
            </w:r>
            <w:r w:rsidR="00AD3A6F">
              <w:rPr>
                <w:rFonts w:eastAsia="Palatino Linotype"/>
                <w:color w:val="000000"/>
              </w:rPr>
              <w:t>5</w:t>
            </w:r>
          </w:hyperlink>
        </w:p>
        <w:p w14:paraId="00000043" w14:textId="139B2839"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4f1mdlm">
            <w:r w:rsidR="004273CA" w:rsidRPr="00DE1208">
              <w:rPr>
                <w:rFonts w:eastAsia="Palatino Linotype"/>
                <w:color w:val="000000"/>
              </w:rPr>
              <w:t>Figure 10</w:t>
            </w:r>
            <w:r w:rsidR="005F46C7">
              <w:rPr>
                <w:rFonts w:eastAsia="Palatino Linotype"/>
                <w:color w:val="000000"/>
              </w:rPr>
              <w:t>:</w:t>
            </w:r>
            <w:r w:rsidR="004273CA" w:rsidRPr="00DE1208">
              <w:rPr>
                <w:rFonts w:eastAsia="Palatino Linotype"/>
                <w:color w:val="000000"/>
              </w:rPr>
              <w:t xml:space="preserve"> Changes in the percentage of cultural occupations by province over time</w:t>
            </w:r>
            <w:r w:rsidR="004273CA" w:rsidRPr="00DE1208">
              <w:rPr>
                <w:rFonts w:eastAsia="Palatino Linotype"/>
                <w:color w:val="000000"/>
              </w:rPr>
              <w:tab/>
            </w:r>
            <w:r w:rsidR="00AD3A6F">
              <w:rPr>
                <w:rFonts w:eastAsia="Palatino Linotype"/>
                <w:color w:val="000000"/>
              </w:rPr>
              <w:t>17</w:t>
            </w:r>
          </w:hyperlink>
        </w:p>
        <w:p w14:paraId="00000044" w14:textId="621D6D76"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3tbugp1">
            <w:r w:rsidR="004273CA" w:rsidRPr="00DE1208">
              <w:rPr>
                <w:rFonts w:eastAsia="Palatino Linotype"/>
                <w:color w:val="000000"/>
              </w:rPr>
              <w:t>Figure 11: South Africa</w:t>
            </w:r>
            <w:r w:rsidR="00CD2CAF">
              <w:rPr>
                <w:rFonts w:eastAsia="Palatino Linotype"/>
                <w:color w:val="000000"/>
              </w:rPr>
              <w:t>’</w:t>
            </w:r>
            <w:r w:rsidR="004273CA" w:rsidRPr="00DE1208">
              <w:rPr>
                <w:rFonts w:eastAsia="Palatino Linotype"/>
                <w:color w:val="000000"/>
              </w:rPr>
              <w:t>s cultural goods trade in current US$ millions</w:t>
            </w:r>
            <w:r w:rsidR="004273CA" w:rsidRPr="00DE1208">
              <w:rPr>
                <w:rFonts w:eastAsia="Palatino Linotype"/>
                <w:color w:val="000000"/>
              </w:rPr>
              <w:tab/>
              <w:t>2</w:t>
            </w:r>
            <w:r w:rsidR="00AD3A6F">
              <w:rPr>
                <w:rFonts w:eastAsia="Palatino Linotype"/>
                <w:color w:val="000000"/>
              </w:rPr>
              <w:t>0</w:t>
            </w:r>
          </w:hyperlink>
        </w:p>
        <w:p w14:paraId="00000045" w14:textId="146A3E43"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28h4qwu">
            <w:r w:rsidR="004273CA" w:rsidRPr="00DE1208">
              <w:rPr>
                <w:rFonts w:eastAsia="Palatino Linotype"/>
                <w:color w:val="000000"/>
              </w:rPr>
              <w:t>Figure 12:</w:t>
            </w:r>
            <w:r w:rsidR="00BD696A">
              <w:rPr>
                <w:rFonts w:eastAsia="Palatino Linotype"/>
                <w:color w:val="000000"/>
              </w:rPr>
              <w:t xml:space="preserve"> </w:t>
            </w:r>
            <w:r w:rsidR="004273CA" w:rsidRPr="00DE1208">
              <w:rPr>
                <w:rFonts w:eastAsia="Palatino Linotype"/>
                <w:color w:val="000000"/>
              </w:rPr>
              <w:t>South Africa</w:t>
            </w:r>
            <w:r w:rsidR="00CD2CAF">
              <w:rPr>
                <w:rFonts w:eastAsia="Palatino Linotype"/>
                <w:color w:val="000000"/>
              </w:rPr>
              <w:t>’</w:t>
            </w:r>
            <w:r w:rsidR="004273CA" w:rsidRPr="00DE1208">
              <w:rPr>
                <w:rFonts w:eastAsia="Palatino Linotype"/>
                <w:color w:val="000000"/>
              </w:rPr>
              <w:t>s total commodity trade in current US$ millions</w:t>
            </w:r>
            <w:r w:rsidR="004273CA" w:rsidRPr="00DE1208">
              <w:rPr>
                <w:rFonts w:eastAsia="Palatino Linotype"/>
                <w:color w:val="000000"/>
              </w:rPr>
              <w:tab/>
              <w:t>2</w:t>
            </w:r>
            <w:r w:rsidR="00AD3A6F">
              <w:rPr>
                <w:rFonts w:eastAsia="Palatino Linotype"/>
                <w:color w:val="000000"/>
              </w:rPr>
              <w:t>3</w:t>
            </w:r>
          </w:hyperlink>
        </w:p>
        <w:p w14:paraId="00000046" w14:textId="0EE6757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37m2jsg">
            <w:r w:rsidR="004273CA" w:rsidRPr="00DE1208">
              <w:rPr>
                <w:rFonts w:eastAsia="Palatino Linotype"/>
                <w:color w:val="000000"/>
              </w:rPr>
              <w:t>Figure 13: Percentage shares of cultural goods trade in South Africa</w:t>
            </w:r>
            <w:r w:rsidR="00CD2CAF">
              <w:rPr>
                <w:rFonts w:eastAsia="Palatino Linotype"/>
                <w:color w:val="000000"/>
              </w:rPr>
              <w:t>’</w:t>
            </w:r>
            <w:r w:rsidR="004273CA" w:rsidRPr="00DE1208">
              <w:rPr>
                <w:rFonts w:eastAsia="Palatino Linotype"/>
                <w:color w:val="000000"/>
              </w:rPr>
              <w:t>s total commodity trade</w:t>
            </w:r>
            <w:r w:rsidR="004273CA" w:rsidRPr="00DE1208">
              <w:rPr>
                <w:rFonts w:eastAsia="Palatino Linotype"/>
                <w:color w:val="000000"/>
              </w:rPr>
              <w:tab/>
              <w:t>2</w:t>
            </w:r>
            <w:r w:rsidR="00AD3A6F">
              <w:rPr>
                <w:rFonts w:eastAsia="Palatino Linotype"/>
                <w:color w:val="000000"/>
              </w:rPr>
              <w:t>4</w:t>
            </w:r>
          </w:hyperlink>
        </w:p>
        <w:p w14:paraId="00000047" w14:textId="1D19363B"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1mrcu09">
            <w:r w:rsidR="004273CA" w:rsidRPr="00DE1208">
              <w:rPr>
                <w:rFonts w:eastAsia="Palatino Linotype"/>
                <w:color w:val="000000"/>
              </w:rPr>
              <w:t>Figure 14: South Africa</w:t>
            </w:r>
            <w:r w:rsidR="00CD2CAF">
              <w:rPr>
                <w:rFonts w:eastAsia="Palatino Linotype"/>
                <w:color w:val="000000"/>
              </w:rPr>
              <w:t>’</w:t>
            </w:r>
            <w:r w:rsidR="004273CA" w:rsidRPr="00DE1208">
              <w:rPr>
                <w:rFonts w:eastAsia="Palatino Linotype"/>
                <w:color w:val="000000"/>
              </w:rPr>
              <w:t>s cultural goods exports by domain 2001</w:t>
            </w:r>
            <w:r w:rsidR="00CD2CAF">
              <w:rPr>
                <w:rFonts w:eastAsia="Palatino Linotype"/>
                <w:color w:val="000000"/>
              </w:rPr>
              <w:t>–</w:t>
            </w:r>
            <w:r w:rsidR="004273CA" w:rsidRPr="00DE1208">
              <w:rPr>
                <w:rFonts w:eastAsia="Palatino Linotype"/>
                <w:color w:val="000000"/>
              </w:rPr>
              <w:t>2020 (US$ millions)</w:t>
            </w:r>
            <w:r w:rsidR="004273CA" w:rsidRPr="00DE1208">
              <w:rPr>
                <w:rFonts w:eastAsia="Palatino Linotype"/>
                <w:color w:val="000000"/>
              </w:rPr>
              <w:tab/>
              <w:t>2</w:t>
            </w:r>
            <w:r w:rsidR="00AD3A6F">
              <w:rPr>
                <w:rFonts w:eastAsia="Palatino Linotype"/>
                <w:color w:val="000000"/>
              </w:rPr>
              <w:t>5</w:t>
            </w:r>
          </w:hyperlink>
        </w:p>
        <w:p w14:paraId="00000048" w14:textId="2895197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46r0co2">
            <w:r w:rsidR="004273CA" w:rsidRPr="00DE1208">
              <w:rPr>
                <w:rFonts w:eastAsia="Palatino Linotype"/>
                <w:color w:val="000000"/>
              </w:rPr>
              <w:t>Figure 15: South Africa</w:t>
            </w:r>
            <w:r w:rsidR="00CD2CAF">
              <w:rPr>
                <w:rFonts w:eastAsia="Palatino Linotype"/>
                <w:color w:val="000000"/>
              </w:rPr>
              <w:t>’</w:t>
            </w:r>
            <w:r w:rsidR="004273CA" w:rsidRPr="00DE1208">
              <w:rPr>
                <w:rFonts w:eastAsia="Palatino Linotype"/>
                <w:color w:val="000000"/>
              </w:rPr>
              <w:t>s cultural goods imports by domain 2001</w:t>
            </w:r>
            <w:r w:rsidR="00CD2CAF">
              <w:rPr>
                <w:rFonts w:eastAsia="Palatino Linotype"/>
                <w:color w:val="000000"/>
              </w:rPr>
              <w:t>–</w:t>
            </w:r>
            <w:r w:rsidR="004273CA" w:rsidRPr="00DE1208">
              <w:rPr>
                <w:rFonts w:eastAsia="Palatino Linotype"/>
                <w:color w:val="000000"/>
              </w:rPr>
              <w:t>2020 (US$ millions)</w:t>
            </w:r>
            <w:r w:rsidR="004273CA" w:rsidRPr="00DE1208">
              <w:rPr>
                <w:rFonts w:eastAsia="Palatino Linotype"/>
                <w:color w:val="000000"/>
              </w:rPr>
              <w:tab/>
              <w:t>2</w:t>
            </w:r>
            <w:r w:rsidR="00AD3A6F">
              <w:rPr>
                <w:rFonts w:eastAsia="Palatino Linotype"/>
                <w:color w:val="000000"/>
              </w:rPr>
              <w:t>6</w:t>
            </w:r>
          </w:hyperlink>
        </w:p>
        <w:p w14:paraId="00000049" w14:textId="327FC62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2lwamvv">
            <w:r w:rsidR="004273CA" w:rsidRPr="00DE1208">
              <w:rPr>
                <w:rFonts w:eastAsia="Palatino Linotype"/>
                <w:color w:val="000000"/>
              </w:rPr>
              <w:t>Figure 16: South Africa</w:t>
            </w:r>
            <w:r w:rsidR="00CD2CAF">
              <w:rPr>
                <w:rFonts w:eastAsia="Palatino Linotype"/>
                <w:color w:val="000000"/>
              </w:rPr>
              <w:t>’</w:t>
            </w:r>
            <w:r w:rsidR="004273CA" w:rsidRPr="00DE1208">
              <w:rPr>
                <w:rFonts w:eastAsia="Palatino Linotype"/>
                <w:color w:val="000000"/>
              </w:rPr>
              <w:t>s cultural goods trade balance by domain 2001</w:t>
            </w:r>
            <w:r w:rsidR="00CD2CAF">
              <w:rPr>
                <w:rFonts w:eastAsia="Palatino Linotype"/>
                <w:color w:val="000000"/>
              </w:rPr>
              <w:t>–</w:t>
            </w:r>
            <w:r w:rsidR="004273CA" w:rsidRPr="00DE1208">
              <w:rPr>
                <w:rFonts w:eastAsia="Palatino Linotype"/>
                <w:color w:val="000000"/>
              </w:rPr>
              <w:t>2020 (US$ millions)</w:t>
            </w:r>
            <w:r w:rsidR="004273CA" w:rsidRPr="00DE1208">
              <w:rPr>
                <w:rFonts w:eastAsia="Palatino Linotype"/>
                <w:color w:val="000000"/>
              </w:rPr>
              <w:tab/>
              <w:t>29</w:t>
            </w:r>
          </w:hyperlink>
        </w:p>
        <w:p w14:paraId="0000004A" w14:textId="1212B830"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2zbgiuw">
            <w:r w:rsidR="004273CA" w:rsidRPr="00DE1208">
              <w:rPr>
                <w:rFonts w:eastAsia="Palatino Linotype"/>
                <w:color w:val="000000"/>
              </w:rPr>
              <w:t>Figure 17: South Africa</w:t>
            </w:r>
            <w:r w:rsidR="00CD2CAF">
              <w:rPr>
                <w:rFonts w:eastAsia="Palatino Linotype"/>
                <w:color w:val="000000"/>
              </w:rPr>
              <w:t>’</w:t>
            </w:r>
            <w:r w:rsidR="004273CA" w:rsidRPr="00DE1208">
              <w:rPr>
                <w:rFonts w:eastAsia="Palatino Linotype"/>
                <w:color w:val="000000"/>
              </w:rPr>
              <w:t>s cultural goods exports to the USA, UK and China 2001</w:t>
            </w:r>
            <w:r w:rsidR="00CD2CAF">
              <w:rPr>
                <w:rFonts w:eastAsia="Palatino Linotype"/>
                <w:color w:val="000000"/>
              </w:rPr>
              <w:t>–</w:t>
            </w:r>
            <w:r w:rsidR="004273CA" w:rsidRPr="00DE1208">
              <w:rPr>
                <w:rFonts w:eastAsia="Palatino Linotype"/>
                <w:color w:val="000000"/>
              </w:rPr>
              <w:t>2020</w:t>
            </w:r>
            <w:r w:rsidR="004273CA" w:rsidRPr="00DE1208">
              <w:rPr>
                <w:rFonts w:eastAsia="Palatino Linotype"/>
                <w:color w:val="000000"/>
              </w:rPr>
              <w:tab/>
              <w:t>3</w:t>
            </w:r>
            <w:r w:rsidR="00AD3A6F">
              <w:rPr>
                <w:rFonts w:eastAsia="Palatino Linotype"/>
                <w:color w:val="000000"/>
              </w:rPr>
              <w:t>0</w:t>
            </w:r>
          </w:hyperlink>
        </w:p>
        <w:p w14:paraId="0000004B" w14:textId="117E6BEC" w:rsidR="0039297D" w:rsidRPr="00DE1208" w:rsidRDefault="001A71CF" w:rsidP="000F15C3">
          <w:pPr>
            <w:pBdr>
              <w:top w:val="nil"/>
              <w:left w:val="nil"/>
              <w:bottom w:val="nil"/>
              <w:right w:val="nil"/>
              <w:between w:val="nil"/>
            </w:pBdr>
            <w:tabs>
              <w:tab w:val="right" w:leader="dot" w:pos="9072"/>
            </w:tabs>
            <w:spacing w:line="259" w:lineRule="auto"/>
            <w:rPr>
              <w:rFonts w:eastAsia="Calibri"/>
              <w:color w:val="000000"/>
            </w:rPr>
          </w:pPr>
          <w:hyperlink w:anchor="_heading=h.1egqt2p">
            <w:r w:rsidR="004273CA" w:rsidRPr="00DE1208">
              <w:rPr>
                <w:rFonts w:eastAsia="Palatino Linotype"/>
                <w:color w:val="000000"/>
              </w:rPr>
              <w:t>Figure 18: South Africa</w:t>
            </w:r>
            <w:r w:rsidR="00CD2CAF">
              <w:rPr>
                <w:rFonts w:eastAsia="Palatino Linotype"/>
                <w:color w:val="000000"/>
              </w:rPr>
              <w:t>’</w:t>
            </w:r>
            <w:r w:rsidR="004273CA" w:rsidRPr="00DE1208">
              <w:rPr>
                <w:rFonts w:eastAsia="Palatino Linotype"/>
                <w:color w:val="000000"/>
              </w:rPr>
              <w:t>s cultural goods imports from the USA, UK and China 2001</w:t>
            </w:r>
            <w:r w:rsidR="00CD2CAF">
              <w:rPr>
                <w:rFonts w:eastAsia="Palatino Linotype"/>
                <w:color w:val="000000"/>
              </w:rPr>
              <w:t>–</w:t>
            </w:r>
            <w:r w:rsidR="004273CA" w:rsidRPr="00DE1208">
              <w:rPr>
                <w:rFonts w:eastAsia="Palatino Linotype"/>
                <w:color w:val="000000"/>
              </w:rPr>
              <w:t>2020</w:t>
            </w:r>
            <w:r w:rsidR="004273CA" w:rsidRPr="00DE1208">
              <w:rPr>
                <w:rFonts w:eastAsia="Palatino Linotype"/>
                <w:color w:val="000000"/>
              </w:rPr>
              <w:tab/>
              <w:t>3</w:t>
            </w:r>
            <w:r w:rsidR="00AD3A6F">
              <w:rPr>
                <w:rFonts w:eastAsia="Palatino Linotype"/>
                <w:color w:val="000000"/>
              </w:rPr>
              <w:t>1</w:t>
            </w:r>
          </w:hyperlink>
        </w:p>
        <w:p w14:paraId="0000004D" w14:textId="683B7D09" w:rsidR="0039297D" w:rsidRDefault="001A71CF" w:rsidP="000F15C3">
          <w:pPr>
            <w:pBdr>
              <w:top w:val="nil"/>
              <w:left w:val="nil"/>
              <w:bottom w:val="nil"/>
              <w:right w:val="nil"/>
              <w:between w:val="nil"/>
            </w:pBdr>
            <w:tabs>
              <w:tab w:val="right" w:leader="dot" w:pos="9072"/>
            </w:tabs>
            <w:spacing w:line="259" w:lineRule="auto"/>
          </w:pPr>
          <w:hyperlink w:anchor="_heading=h.3ygebqi">
            <w:r w:rsidR="004273CA" w:rsidRPr="00DE1208">
              <w:rPr>
                <w:rFonts w:eastAsia="Palatino Linotype"/>
                <w:color w:val="000000"/>
              </w:rPr>
              <w:t>Figure 19: South Africa</w:t>
            </w:r>
            <w:r w:rsidR="00CD2CAF">
              <w:rPr>
                <w:rFonts w:eastAsia="Palatino Linotype"/>
                <w:color w:val="000000"/>
              </w:rPr>
              <w:t>’</w:t>
            </w:r>
            <w:r w:rsidR="004273CA" w:rsidRPr="00DE1208">
              <w:rPr>
                <w:rFonts w:eastAsia="Palatino Linotype"/>
                <w:color w:val="000000"/>
              </w:rPr>
              <w:t>s cultural goods trade balance with the USA, UK and China 2001</w:t>
            </w:r>
            <w:r w:rsidR="00CD2CAF">
              <w:rPr>
                <w:rFonts w:eastAsia="Palatino Linotype"/>
                <w:color w:val="000000"/>
              </w:rPr>
              <w:t>–</w:t>
            </w:r>
            <w:r w:rsidR="004273CA" w:rsidRPr="00DE1208">
              <w:rPr>
                <w:rFonts w:eastAsia="Palatino Linotype"/>
                <w:color w:val="000000"/>
              </w:rPr>
              <w:t>2020</w:t>
            </w:r>
            <w:r w:rsidR="004273CA" w:rsidRPr="00DE1208">
              <w:rPr>
                <w:rFonts w:eastAsia="Palatino Linotype"/>
                <w:color w:val="000000"/>
              </w:rPr>
              <w:tab/>
              <w:t>3</w:t>
            </w:r>
            <w:r w:rsidR="00AD3A6F">
              <w:rPr>
                <w:rFonts w:eastAsia="Palatino Linotype"/>
                <w:color w:val="000000"/>
              </w:rPr>
              <w:t>2</w:t>
            </w:r>
          </w:hyperlink>
          <w:r w:rsidR="004273CA" w:rsidRPr="00DE1208">
            <w:fldChar w:fldCharType="end"/>
          </w:r>
        </w:p>
      </w:sdtContent>
    </w:sdt>
    <w:p w14:paraId="5B67F3BB" w14:textId="77777777" w:rsidR="00583127" w:rsidRDefault="00583127">
      <w:pPr>
        <w:rPr>
          <w:rFonts w:eastAsiaTheme="majorEastAsia" w:cstheme="majorBidi"/>
          <w:b/>
          <w:color w:val="2E74B5" w:themeColor="accent1" w:themeShade="BF"/>
          <w:sz w:val="28"/>
          <w:szCs w:val="32"/>
        </w:rPr>
      </w:pPr>
      <w:r>
        <w:br w:type="page"/>
      </w:r>
    </w:p>
    <w:p w14:paraId="7D2D259E" w14:textId="591B2F80" w:rsidR="00583127" w:rsidRDefault="00583127" w:rsidP="00A42A79">
      <w:pPr>
        <w:pStyle w:val="Heading1"/>
        <w:numPr>
          <w:ilvl w:val="0"/>
          <w:numId w:val="0"/>
        </w:numPr>
        <w:spacing w:before="0"/>
        <w:ind w:left="431" w:hanging="431"/>
      </w:pPr>
      <w:r>
        <w:lastRenderedPageBreak/>
        <w:t>List of Abbreviations and Acronyms</w:t>
      </w:r>
    </w:p>
    <w:p w14:paraId="02FA1BF1" w14:textId="77777777" w:rsidR="00A42A79" w:rsidRPr="00A42A79" w:rsidRDefault="00A42A79" w:rsidP="000F15C3"/>
    <w:p w14:paraId="2A34E7FA" w14:textId="459487E1" w:rsidR="00D423EB" w:rsidRPr="00A52107" w:rsidRDefault="00D423EB" w:rsidP="004542A4">
      <w:r w:rsidRPr="000F15C3">
        <w:t>ACH</w:t>
      </w:r>
      <w:r w:rsidRPr="000F15C3">
        <w:tab/>
      </w:r>
      <w:r w:rsidRPr="000F15C3">
        <w:tab/>
        <w:t>Arts, Culture and Heritage</w:t>
      </w:r>
    </w:p>
    <w:p w14:paraId="7ABB128E" w14:textId="6CEFC0A2" w:rsidR="00331A96" w:rsidRPr="000F15C3" w:rsidRDefault="00331A96" w:rsidP="004542A4">
      <w:r w:rsidRPr="000F15C3">
        <w:t>AFS</w:t>
      </w:r>
      <w:r w:rsidRPr="000F15C3">
        <w:tab/>
      </w:r>
      <w:r w:rsidRPr="000F15C3">
        <w:tab/>
        <w:t xml:space="preserve">Annual Financial Statistics </w:t>
      </w:r>
    </w:p>
    <w:p w14:paraId="27E2ADC2" w14:textId="4776D01D" w:rsidR="00D423EB" w:rsidRPr="00A52107" w:rsidRDefault="00D423EB" w:rsidP="004542A4">
      <w:r w:rsidRPr="000F15C3">
        <w:t>CAJ</w:t>
      </w:r>
      <w:r w:rsidRPr="000F15C3">
        <w:tab/>
      </w:r>
      <w:r w:rsidRPr="000F15C3">
        <w:tab/>
        <w:t>Culture and Jobs</w:t>
      </w:r>
    </w:p>
    <w:p w14:paraId="0766C8DE" w14:textId="764A9FD5" w:rsidR="00E74864" w:rsidRPr="00A52107" w:rsidRDefault="00E74864" w:rsidP="004542A4">
      <w:r w:rsidRPr="00A52107">
        <w:t>CCI</w:t>
      </w:r>
      <w:r w:rsidRPr="00A52107">
        <w:tab/>
      </w:r>
      <w:r w:rsidRPr="00A52107">
        <w:tab/>
        <w:t>cultural and creative industries</w:t>
      </w:r>
    </w:p>
    <w:p w14:paraId="449C00FD" w14:textId="2F75CE8A" w:rsidR="004542A4" w:rsidRPr="000F15C3" w:rsidRDefault="004542A4" w:rsidP="004542A4">
      <w:r w:rsidRPr="000F15C3">
        <w:t xml:space="preserve">CCI I-O </w:t>
      </w:r>
      <w:r w:rsidRPr="000F15C3">
        <w:tab/>
        <w:t>CCI Input Output</w:t>
      </w:r>
    </w:p>
    <w:p w14:paraId="2AD78F65" w14:textId="4023EB14" w:rsidR="00D423EB" w:rsidRPr="00A52107" w:rsidRDefault="00D423EB" w:rsidP="004542A4">
      <w:r w:rsidRPr="000F15C3">
        <w:t>CIGS</w:t>
      </w:r>
      <w:r w:rsidRPr="000F15C3">
        <w:tab/>
      </w:r>
      <w:r w:rsidRPr="000F15C3">
        <w:tab/>
        <w:t>Cultural Industries Growth Strategy</w:t>
      </w:r>
    </w:p>
    <w:p w14:paraId="412114C0" w14:textId="48D1496B" w:rsidR="00D423EB" w:rsidRPr="00A52107" w:rsidRDefault="00D423EB" w:rsidP="004542A4">
      <w:r w:rsidRPr="00A52107">
        <w:t>DSAC</w:t>
      </w:r>
      <w:r w:rsidRPr="00A52107">
        <w:tab/>
      </w:r>
      <w:r w:rsidRPr="00A52107">
        <w:tab/>
      </w:r>
      <w:r w:rsidR="003A0522">
        <w:t>Department of Sport, Arts and Culture</w:t>
      </w:r>
    </w:p>
    <w:p w14:paraId="50BC7809" w14:textId="77777777" w:rsidR="00E74864" w:rsidRPr="00A52107" w:rsidRDefault="00E74864" w:rsidP="004542A4">
      <w:r w:rsidRPr="00A52107">
        <w:t>EU</w:t>
      </w:r>
      <w:r w:rsidRPr="00A52107">
        <w:tab/>
      </w:r>
      <w:r w:rsidRPr="00A52107">
        <w:tab/>
        <w:t>European Union</w:t>
      </w:r>
    </w:p>
    <w:p w14:paraId="3E21F132" w14:textId="69838B5F" w:rsidR="00AD437D" w:rsidRPr="00A52107" w:rsidRDefault="00AD437D" w:rsidP="004542A4">
      <w:r w:rsidRPr="000F15C3">
        <w:t>FCS</w:t>
      </w:r>
      <w:r w:rsidRPr="000F15C3">
        <w:tab/>
      </w:r>
      <w:r w:rsidRPr="000F15C3">
        <w:tab/>
        <w:t>Framework for Cultural Statistics</w:t>
      </w:r>
    </w:p>
    <w:p w14:paraId="06FA8104" w14:textId="77777777" w:rsidR="00E74864" w:rsidRPr="00A52107" w:rsidRDefault="00E74864" w:rsidP="004542A4">
      <w:r w:rsidRPr="00A52107">
        <w:t>FTA</w:t>
      </w:r>
      <w:r w:rsidRPr="00A52107">
        <w:tab/>
      </w:r>
      <w:r w:rsidRPr="00A52107">
        <w:tab/>
        <w:t>free trade area</w:t>
      </w:r>
    </w:p>
    <w:p w14:paraId="03A75D51" w14:textId="5D102EA6" w:rsidR="00331A96" w:rsidRPr="000F15C3" w:rsidRDefault="00331A96" w:rsidP="004542A4">
      <w:r w:rsidRPr="000F15C3">
        <w:t>GDP</w:t>
      </w:r>
      <w:r w:rsidRPr="000F15C3">
        <w:tab/>
      </w:r>
      <w:r w:rsidRPr="000F15C3">
        <w:tab/>
        <w:t>Gross Domestic Product</w:t>
      </w:r>
    </w:p>
    <w:p w14:paraId="29F0760C" w14:textId="49DC5E5E" w:rsidR="00331A96" w:rsidRPr="000F15C3" w:rsidRDefault="00331A96" w:rsidP="004542A4">
      <w:r w:rsidRPr="000F15C3">
        <w:t>GVA</w:t>
      </w:r>
      <w:r w:rsidRPr="000F15C3">
        <w:tab/>
      </w:r>
      <w:r w:rsidRPr="000F15C3">
        <w:tab/>
        <w:t xml:space="preserve">Gross Value Added </w:t>
      </w:r>
    </w:p>
    <w:p w14:paraId="118194EC" w14:textId="77777777" w:rsidR="00E74864" w:rsidRPr="00A52107" w:rsidRDefault="00E74864" w:rsidP="004542A4">
      <w:r w:rsidRPr="00A52107">
        <w:t>HS</w:t>
      </w:r>
      <w:r w:rsidRPr="00A52107">
        <w:tab/>
      </w:r>
      <w:r w:rsidRPr="00A52107">
        <w:tab/>
        <w:t>Harmonised System</w:t>
      </w:r>
    </w:p>
    <w:p w14:paraId="1968948D" w14:textId="77777777" w:rsidR="00E74864" w:rsidRPr="00A52107" w:rsidRDefault="00E74864" w:rsidP="004542A4">
      <w:r w:rsidRPr="00A52107">
        <w:t>ITC</w:t>
      </w:r>
      <w:r w:rsidRPr="00A52107">
        <w:tab/>
      </w:r>
      <w:r w:rsidRPr="00A52107">
        <w:tab/>
        <w:t xml:space="preserve">International Trade Centre </w:t>
      </w:r>
    </w:p>
    <w:p w14:paraId="381F5E13" w14:textId="05BC02A6" w:rsidR="00AD437D" w:rsidRPr="000F15C3" w:rsidRDefault="00AD437D" w:rsidP="004542A4">
      <w:r w:rsidRPr="000F15C3">
        <w:t>LMDS</w:t>
      </w:r>
      <w:r w:rsidRPr="000F15C3">
        <w:tab/>
      </w:r>
      <w:r w:rsidRPr="000F15C3">
        <w:tab/>
        <w:t>Labour Market Dynamics Survey</w:t>
      </w:r>
    </w:p>
    <w:p w14:paraId="2CE17186" w14:textId="5E3BD320" w:rsidR="00AE6355" w:rsidRPr="00A52107" w:rsidRDefault="00AE6355" w:rsidP="004542A4">
      <w:r w:rsidRPr="000F15C3">
        <w:t>MGE</w:t>
      </w:r>
      <w:r w:rsidRPr="000F15C3">
        <w:tab/>
      </w:r>
      <w:r w:rsidRPr="000F15C3">
        <w:tab/>
        <w:t>Mzansi’s Golden Economy</w:t>
      </w:r>
    </w:p>
    <w:p w14:paraId="2DEB2B86" w14:textId="3A91C9B8" w:rsidR="00FF2282" w:rsidRPr="00A52107" w:rsidRDefault="00FF2282" w:rsidP="004542A4">
      <w:r w:rsidRPr="000F15C3">
        <w:t>NAC</w:t>
      </w:r>
      <w:r w:rsidRPr="000F15C3">
        <w:tab/>
      </w:r>
      <w:r w:rsidRPr="000F15C3">
        <w:tab/>
        <w:t>National Arts Council</w:t>
      </w:r>
    </w:p>
    <w:p w14:paraId="0746E642" w14:textId="30D1CDD2" w:rsidR="009C7CC1" w:rsidRPr="00A52107" w:rsidRDefault="009C7CC1" w:rsidP="004542A4">
      <w:r w:rsidRPr="000F15C3">
        <w:t>PALMS</w:t>
      </w:r>
      <w:r w:rsidRPr="000F15C3">
        <w:tab/>
      </w:r>
      <w:r w:rsidR="00A52107">
        <w:tab/>
      </w:r>
      <w:r w:rsidRPr="000F15C3">
        <w:t>Post-Apartheid Labour Market Series</w:t>
      </w:r>
    </w:p>
    <w:p w14:paraId="220B3C72" w14:textId="77777777" w:rsidR="00E74864" w:rsidRPr="00A52107" w:rsidRDefault="00E74864" w:rsidP="004542A4">
      <w:r w:rsidRPr="00A52107">
        <w:t>SACO</w:t>
      </w:r>
      <w:r w:rsidRPr="00A52107">
        <w:tab/>
      </w:r>
      <w:r w:rsidRPr="00A52107">
        <w:tab/>
        <w:t>South African Cultural Observatory</w:t>
      </w:r>
    </w:p>
    <w:p w14:paraId="241A97E4" w14:textId="77777777" w:rsidR="00E74864" w:rsidRPr="00A52107" w:rsidRDefault="00E74864" w:rsidP="004542A4">
      <w:r w:rsidRPr="00A52107">
        <w:t xml:space="preserve">SACU </w:t>
      </w:r>
      <w:r w:rsidRPr="00A52107">
        <w:tab/>
      </w:r>
      <w:r w:rsidRPr="00A52107">
        <w:tab/>
        <w:t xml:space="preserve">Southern African Customs Union </w:t>
      </w:r>
    </w:p>
    <w:p w14:paraId="2B41BB54" w14:textId="77777777" w:rsidR="00E74864" w:rsidRPr="00A52107" w:rsidRDefault="00E74864" w:rsidP="004542A4">
      <w:r w:rsidRPr="00A52107">
        <w:t>SADC</w:t>
      </w:r>
      <w:r w:rsidRPr="00A52107">
        <w:tab/>
      </w:r>
      <w:r w:rsidRPr="00A52107">
        <w:tab/>
        <w:t>Southern African Development Community</w:t>
      </w:r>
    </w:p>
    <w:p w14:paraId="6762B5AC" w14:textId="77777777" w:rsidR="004542A4" w:rsidRPr="000F15C3" w:rsidRDefault="004542A4" w:rsidP="004542A4">
      <w:r w:rsidRPr="000F15C3">
        <w:t>SAM</w:t>
      </w:r>
      <w:r w:rsidRPr="000F15C3">
        <w:tab/>
      </w:r>
      <w:r w:rsidRPr="000F15C3">
        <w:tab/>
        <w:t xml:space="preserve">Social Accounting Matrix </w:t>
      </w:r>
    </w:p>
    <w:p w14:paraId="13BC5385" w14:textId="40B47E6B" w:rsidR="00E74864" w:rsidRPr="00A52107" w:rsidRDefault="00E74864" w:rsidP="004542A4">
      <w:r w:rsidRPr="00A52107">
        <w:t>SARB</w:t>
      </w:r>
      <w:r w:rsidRPr="00A52107">
        <w:tab/>
      </w:r>
      <w:r w:rsidRPr="00A52107">
        <w:tab/>
        <w:t>South African Reserve Bank</w:t>
      </w:r>
    </w:p>
    <w:p w14:paraId="1815BD31" w14:textId="7D5C5CFB" w:rsidR="007A1320" w:rsidRPr="00A52107" w:rsidRDefault="007A1320" w:rsidP="004542A4">
      <w:r w:rsidRPr="000F15C3">
        <w:t>SIC</w:t>
      </w:r>
      <w:r w:rsidRPr="000F15C3">
        <w:tab/>
      </w:r>
      <w:r w:rsidRPr="000F15C3">
        <w:tab/>
        <w:t>Standard Industrial Classification</w:t>
      </w:r>
    </w:p>
    <w:p w14:paraId="0174E434" w14:textId="77777777" w:rsidR="00D56D65" w:rsidRPr="000F15C3" w:rsidRDefault="00D56D65" w:rsidP="004542A4">
      <w:r w:rsidRPr="000F15C3">
        <w:t>SNA</w:t>
      </w:r>
      <w:r w:rsidRPr="000F15C3">
        <w:tab/>
      </w:r>
      <w:r w:rsidRPr="000F15C3">
        <w:tab/>
        <w:t xml:space="preserve">System of National Accounts </w:t>
      </w:r>
    </w:p>
    <w:p w14:paraId="0DAAB533" w14:textId="142C458D" w:rsidR="00331A96" w:rsidRPr="00A52107" w:rsidRDefault="00331A96" w:rsidP="004542A4">
      <w:r w:rsidRPr="000F15C3">
        <w:t xml:space="preserve">Stats SA </w:t>
      </w:r>
      <w:r w:rsidRPr="000F15C3">
        <w:tab/>
        <w:t>Statistics South Africa</w:t>
      </w:r>
    </w:p>
    <w:p w14:paraId="43913F99" w14:textId="77777777" w:rsidR="00E74864" w:rsidRPr="00A52107" w:rsidRDefault="00E74864" w:rsidP="004542A4">
      <w:r w:rsidRPr="00A52107">
        <w:t xml:space="preserve">UNCTAD </w:t>
      </w:r>
      <w:r w:rsidRPr="00A52107">
        <w:tab/>
        <w:t>United Nations Conference on Trade and Development</w:t>
      </w:r>
    </w:p>
    <w:p w14:paraId="3641B057" w14:textId="77777777" w:rsidR="00E74864" w:rsidRPr="00A52107" w:rsidRDefault="00E74864" w:rsidP="004542A4">
      <w:r w:rsidRPr="00A52107">
        <w:t xml:space="preserve">UNESCO </w:t>
      </w:r>
      <w:r w:rsidRPr="00A52107">
        <w:tab/>
        <w:t>United Nations Educational, Scientific and Cultural Organization</w:t>
      </w:r>
    </w:p>
    <w:p w14:paraId="1116D8B1" w14:textId="77777777" w:rsidR="00E74864" w:rsidRPr="00A52107" w:rsidRDefault="00E74864" w:rsidP="004542A4">
      <w:r w:rsidRPr="00A52107">
        <w:t>USMCA</w:t>
      </w:r>
      <w:r w:rsidRPr="00A52107">
        <w:tab/>
        <w:t>US-Mexico-Canada</w:t>
      </w:r>
    </w:p>
    <w:p w14:paraId="169A70C7" w14:textId="77777777" w:rsidR="0030372A" w:rsidRDefault="0030372A" w:rsidP="00E74864"/>
    <w:p w14:paraId="21657FF9" w14:textId="18CD49F1" w:rsidR="00DD6C53" w:rsidRDefault="00DD6C53" w:rsidP="00E74864">
      <w:pPr>
        <w:sectPr w:rsidR="00DD6C53" w:rsidSect="0030372A">
          <w:footerReference w:type="default" r:id="rId10"/>
          <w:pgSz w:w="11906" w:h="16838"/>
          <w:pgMar w:top="1440" w:right="1440" w:bottom="1440" w:left="1440" w:header="708" w:footer="708" w:gutter="0"/>
          <w:pgNumType w:fmt="lowerRoman" w:start="1"/>
          <w:cols w:space="720"/>
        </w:sectPr>
      </w:pPr>
    </w:p>
    <w:p w14:paraId="0000004E" w14:textId="1537FF62" w:rsidR="0039297D" w:rsidRDefault="004273CA">
      <w:pPr>
        <w:pStyle w:val="Heading1"/>
      </w:pPr>
      <w:bookmarkStart w:id="8" w:name="_Toc90193699"/>
      <w:bookmarkStart w:id="9" w:name="_Toc90193720"/>
      <w:bookmarkStart w:id="10" w:name="_Toc90193747"/>
      <w:r>
        <w:lastRenderedPageBreak/>
        <w:t>Introduction and Purpose</w:t>
      </w:r>
      <w:bookmarkEnd w:id="8"/>
      <w:bookmarkEnd w:id="9"/>
      <w:bookmarkEnd w:id="10"/>
      <w:r>
        <w:t xml:space="preserve"> </w:t>
      </w:r>
    </w:p>
    <w:p w14:paraId="0000004F" w14:textId="5AB8D8AF" w:rsidR="0039297D" w:rsidRDefault="004273CA" w:rsidP="000F15C3">
      <w:pPr>
        <w:spacing w:line="259" w:lineRule="auto"/>
        <w:rPr>
          <w:sz w:val="22"/>
          <w:szCs w:val="22"/>
        </w:rPr>
      </w:pPr>
      <w:r>
        <w:rPr>
          <w:sz w:val="22"/>
          <w:szCs w:val="22"/>
        </w:rPr>
        <w:t xml:space="preserve">An important part of understanding the creative economy is the ability to track developments over a longer time period. Longitudinal analysis allows one to identify trends and evaluate the potential impacts of changes in cultural policy stance (such as the shift from seeing the cultural sector as part of the “subsidised arts” towards investment in the creative economy). This shift is evident in the differences between the 1996 White Paper on Arts, Cultural and Heritage, which emphasised the intrinsic and social values of the arts, and the need for post-apartheid redress, toward programmes </w:t>
      </w:r>
      <w:r w:rsidR="00190DDA">
        <w:rPr>
          <w:sz w:val="22"/>
          <w:szCs w:val="22"/>
        </w:rPr>
        <w:t xml:space="preserve">such as </w:t>
      </w:r>
      <w:r>
        <w:rPr>
          <w:sz w:val="22"/>
          <w:szCs w:val="22"/>
        </w:rPr>
        <w:t>the Mzansi’s Golden Economy funding stream, and the Revised White Paper on Arts, Culture and Heritage, which includes references to the growth and job creation potential of the cultural and creative industries.</w:t>
      </w:r>
    </w:p>
    <w:p w14:paraId="00000050" w14:textId="77777777" w:rsidR="0039297D" w:rsidRDefault="004273CA" w:rsidP="000F15C3">
      <w:pPr>
        <w:spacing w:line="259" w:lineRule="auto"/>
        <w:rPr>
          <w:sz w:val="22"/>
          <w:szCs w:val="22"/>
        </w:rPr>
      </w:pPr>
      <w:r>
        <w:rPr>
          <w:sz w:val="22"/>
          <w:szCs w:val="22"/>
        </w:rPr>
        <w:t>Longer term analysis is also important to provide a baseline, or context, for understanding sudden changes, such as the impact on the sector of the COVID-19 lockdown, and for measuring post- COVID-19 recovery and development.</w:t>
      </w:r>
    </w:p>
    <w:p w14:paraId="00000051" w14:textId="3D3C3A44" w:rsidR="0039297D" w:rsidRDefault="004273CA" w:rsidP="000F15C3">
      <w:pPr>
        <w:spacing w:line="259" w:lineRule="auto"/>
        <w:rPr>
          <w:sz w:val="22"/>
          <w:szCs w:val="22"/>
        </w:rPr>
      </w:pPr>
      <w:r>
        <w:rPr>
          <w:sz w:val="22"/>
          <w:szCs w:val="22"/>
        </w:rPr>
        <w:t>This report forms one part (Chapter 5) of the Cultural and Creative Industries Mapping Study (SACO, 2022). Other chapters that give more detail on the methods and data used, and a national picture of the creative economy in South Africa</w:t>
      </w:r>
      <w:r w:rsidR="00190DDA">
        <w:rPr>
          <w:sz w:val="22"/>
          <w:szCs w:val="22"/>
        </w:rPr>
        <w:t>,</w:t>
      </w:r>
      <w:r>
        <w:rPr>
          <w:sz w:val="22"/>
          <w:szCs w:val="22"/>
        </w:rPr>
        <w:t xml:space="preserve"> are:</w:t>
      </w:r>
    </w:p>
    <w:p w14:paraId="00000052" w14:textId="0FAB1B23" w:rsidR="0039297D" w:rsidRDefault="004273CA" w:rsidP="000F15C3">
      <w:pPr>
        <w:spacing w:line="259" w:lineRule="auto"/>
        <w:rPr>
          <w:sz w:val="22"/>
          <w:szCs w:val="22"/>
        </w:rPr>
      </w:pPr>
      <w:r>
        <w:rPr>
          <w:sz w:val="22"/>
          <w:szCs w:val="22"/>
        </w:rPr>
        <w:t xml:space="preserve">Chapter 1: The </w:t>
      </w:r>
      <w:r w:rsidR="00190DDA">
        <w:rPr>
          <w:sz w:val="22"/>
          <w:szCs w:val="22"/>
        </w:rPr>
        <w:t>M</w:t>
      </w:r>
      <w:r>
        <w:rPr>
          <w:sz w:val="22"/>
          <w:szCs w:val="22"/>
        </w:rPr>
        <w:t xml:space="preserve">acroeconomic </w:t>
      </w:r>
      <w:r w:rsidR="00190DDA">
        <w:rPr>
          <w:sz w:val="22"/>
          <w:szCs w:val="22"/>
        </w:rPr>
        <w:t>I</w:t>
      </w:r>
      <w:r>
        <w:rPr>
          <w:sz w:val="22"/>
          <w:szCs w:val="22"/>
        </w:rPr>
        <w:t>mpact of the CCIs in South Africa</w:t>
      </w:r>
    </w:p>
    <w:p w14:paraId="00000053" w14:textId="77777777" w:rsidR="0039297D" w:rsidRDefault="004273CA" w:rsidP="000F15C3">
      <w:pPr>
        <w:spacing w:line="259" w:lineRule="auto"/>
        <w:rPr>
          <w:sz w:val="22"/>
          <w:szCs w:val="22"/>
        </w:rPr>
      </w:pPr>
      <w:r>
        <w:rPr>
          <w:sz w:val="22"/>
          <w:szCs w:val="22"/>
        </w:rPr>
        <w:t>Chapter 2: Cultural Employment and Transformation</w:t>
      </w:r>
    </w:p>
    <w:p w14:paraId="00000054" w14:textId="77777777" w:rsidR="0039297D" w:rsidRDefault="004273CA" w:rsidP="000F15C3">
      <w:pPr>
        <w:spacing w:line="259" w:lineRule="auto"/>
        <w:rPr>
          <w:sz w:val="22"/>
          <w:szCs w:val="22"/>
        </w:rPr>
      </w:pPr>
      <w:r>
        <w:rPr>
          <w:sz w:val="22"/>
          <w:szCs w:val="22"/>
        </w:rPr>
        <w:t>Chapter 3: International Trade in Cultural Goods and Services</w:t>
      </w:r>
    </w:p>
    <w:p w14:paraId="00000055" w14:textId="77777777" w:rsidR="0039297D" w:rsidRDefault="004273CA" w:rsidP="000F15C3">
      <w:pPr>
        <w:spacing w:line="259" w:lineRule="auto"/>
        <w:rPr>
          <w:sz w:val="22"/>
          <w:szCs w:val="22"/>
        </w:rPr>
      </w:pPr>
      <w:r>
        <w:rPr>
          <w:sz w:val="22"/>
          <w:szCs w:val="22"/>
        </w:rPr>
        <w:t xml:space="preserve">Chapter 4: Provincial Profiles </w:t>
      </w:r>
    </w:p>
    <w:p w14:paraId="00000056" w14:textId="77777777" w:rsidR="0039297D" w:rsidRDefault="004273CA" w:rsidP="000F15C3">
      <w:pPr>
        <w:spacing w:line="259" w:lineRule="auto"/>
        <w:rPr>
          <w:sz w:val="22"/>
          <w:szCs w:val="22"/>
        </w:rPr>
      </w:pPr>
      <w:r>
        <w:rPr>
          <w:sz w:val="22"/>
          <w:szCs w:val="22"/>
        </w:rPr>
        <w:t>Chapter 5: The South African Creative Economy in Historical Context (this report)</w:t>
      </w:r>
    </w:p>
    <w:p w14:paraId="00000058" w14:textId="77777777" w:rsidR="0039297D" w:rsidRDefault="004273CA">
      <w:pPr>
        <w:rPr>
          <w:sz w:val="22"/>
          <w:szCs w:val="22"/>
        </w:rPr>
      </w:pPr>
      <w:r>
        <w:rPr>
          <w:sz w:val="22"/>
          <w:szCs w:val="22"/>
        </w:rPr>
        <w:t>The aims of this chapter are to provide:</w:t>
      </w:r>
    </w:p>
    <w:p w14:paraId="00000059" w14:textId="005D9396"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A historical analysis of the contribution of the CCIs to South Africa’s GDP.</w:t>
      </w:r>
    </w:p>
    <w:p w14:paraId="0000005A"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A comparison of the growth rate of the CCIs over time, taking into account the economic performance of South Africa.</w:t>
      </w:r>
    </w:p>
    <w:p w14:paraId="0000005B"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A historical analysis of the contribution of the CCIs to job creation in South Africa.</w:t>
      </w:r>
    </w:p>
    <w:p w14:paraId="0000005C"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An analysis of the transformation (socio-demographic profile including race groups and gender) of those working in cultural occupations over time.</w:t>
      </w:r>
    </w:p>
    <w:p w14:paraId="0000005D"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An analysis of the growth rate and real wages by CCI domain over time.</w:t>
      </w:r>
    </w:p>
    <w:p w14:paraId="0000005E"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 xml:space="preserve">An analysis of the proportion and composition of cultural goods trade. </w:t>
      </w:r>
    </w:p>
    <w:p w14:paraId="0000005F" w14:textId="77777777" w:rsidR="0039297D" w:rsidRDefault="004273CA">
      <w:pPr>
        <w:numPr>
          <w:ilvl w:val="0"/>
          <w:numId w:val="1"/>
        </w:numPr>
        <w:pBdr>
          <w:top w:val="nil"/>
          <w:left w:val="nil"/>
          <w:bottom w:val="nil"/>
          <w:right w:val="nil"/>
          <w:between w:val="nil"/>
        </w:pBdr>
        <w:spacing w:after="0" w:line="259" w:lineRule="auto"/>
        <w:jc w:val="left"/>
        <w:rPr>
          <w:color w:val="000000"/>
          <w:sz w:val="22"/>
          <w:szCs w:val="22"/>
        </w:rPr>
      </w:pPr>
      <w:r>
        <w:rPr>
          <w:color w:val="000000"/>
          <w:sz w:val="22"/>
          <w:szCs w:val="22"/>
        </w:rPr>
        <w:t xml:space="preserve">An analysis of the origin and destinations of cultural goods trade. </w:t>
      </w:r>
    </w:p>
    <w:p w14:paraId="00000060" w14:textId="77777777" w:rsidR="0039297D" w:rsidRDefault="004273CA" w:rsidP="000F15C3">
      <w:pPr>
        <w:numPr>
          <w:ilvl w:val="0"/>
          <w:numId w:val="1"/>
        </w:numPr>
        <w:pBdr>
          <w:top w:val="nil"/>
          <w:left w:val="nil"/>
          <w:bottom w:val="nil"/>
          <w:right w:val="nil"/>
          <w:between w:val="nil"/>
        </w:pBdr>
        <w:spacing w:line="259" w:lineRule="auto"/>
        <w:ind w:left="714" w:hanging="357"/>
        <w:jc w:val="left"/>
        <w:rPr>
          <w:color w:val="000000"/>
          <w:sz w:val="22"/>
          <w:szCs w:val="22"/>
        </w:rPr>
      </w:pPr>
      <w:r>
        <w:rPr>
          <w:color w:val="000000"/>
          <w:sz w:val="22"/>
          <w:szCs w:val="22"/>
        </w:rPr>
        <w:t>Interpretation and analysis of the data as it pertains to existing and future policy.</w:t>
      </w:r>
    </w:p>
    <w:p w14:paraId="00000062" w14:textId="77777777" w:rsidR="0039297D" w:rsidRDefault="004273CA" w:rsidP="000F15C3">
      <w:pPr>
        <w:spacing w:line="259" w:lineRule="auto"/>
        <w:rPr>
          <w:sz w:val="22"/>
          <w:szCs w:val="22"/>
        </w:rPr>
      </w:pPr>
      <w:r>
        <w:rPr>
          <w:sz w:val="22"/>
          <w:szCs w:val="22"/>
        </w:rPr>
        <w:t>The chapter starts by giving an overview of South African economic performance and cultural policy over time, followed by a description of the methods and data used. The three main sections covering GDP contribution, employment and transformation, and international trade are then discussed. The report concludes with a summary of the main findings, and the potential implications of the analysis.</w:t>
      </w:r>
    </w:p>
    <w:p w14:paraId="00000063" w14:textId="77777777" w:rsidR="0039297D" w:rsidRDefault="004273CA">
      <w:pPr>
        <w:spacing w:line="259" w:lineRule="auto"/>
        <w:jc w:val="left"/>
        <w:rPr>
          <w:sz w:val="22"/>
          <w:szCs w:val="22"/>
        </w:rPr>
      </w:pPr>
      <w:r>
        <w:br w:type="page"/>
      </w:r>
    </w:p>
    <w:p w14:paraId="00000064" w14:textId="77777777" w:rsidR="0039297D" w:rsidRDefault="004273CA">
      <w:pPr>
        <w:pStyle w:val="Heading1"/>
      </w:pPr>
      <w:bookmarkStart w:id="11" w:name="_Toc90193700"/>
      <w:bookmarkStart w:id="12" w:name="_Toc90193721"/>
      <w:bookmarkStart w:id="13" w:name="_Toc90193748"/>
      <w:r>
        <w:lastRenderedPageBreak/>
        <w:t>The South African Economy and Cultural Policy</w:t>
      </w:r>
      <w:bookmarkEnd w:id="11"/>
      <w:bookmarkEnd w:id="12"/>
      <w:bookmarkEnd w:id="13"/>
    </w:p>
    <w:p w14:paraId="00000065" w14:textId="77777777" w:rsidR="0039297D" w:rsidRDefault="004273CA" w:rsidP="000F15C3">
      <w:pPr>
        <w:spacing w:line="259" w:lineRule="auto"/>
        <w:rPr>
          <w:sz w:val="22"/>
          <w:szCs w:val="22"/>
        </w:rPr>
      </w:pPr>
      <w:r>
        <w:rPr>
          <w:sz w:val="22"/>
          <w:szCs w:val="22"/>
        </w:rPr>
        <w:t>Changes in employment and the contribution to GDP in the cultural and creative industries in South Africa have been affected by the performance of the general economy, and by changes in cultural policy over time. In addition to these factors, CCI exports have also been influenced by the international economy and changes in consumption of CCI products and services.</w:t>
      </w:r>
    </w:p>
    <w:p w14:paraId="00000066" w14:textId="77777777" w:rsidR="0039297D" w:rsidRDefault="004273CA">
      <w:r>
        <w:rPr>
          <w:noProof/>
          <w:lang w:val="en-ZA"/>
        </w:rPr>
        <w:drawing>
          <wp:inline distT="0" distB="0" distL="0" distR="0" wp14:anchorId="3ECBAD74" wp14:editId="26CA010D">
            <wp:extent cx="5731510" cy="2432050"/>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000067" w14:textId="34C7F929" w:rsidR="0039297D" w:rsidRDefault="004273CA">
      <w:pPr>
        <w:pBdr>
          <w:top w:val="nil"/>
          <w:left w:val="nil"/>
          <w:bottom w:val="nil"/>
          <w:right w:val="nil"/>
          <w:between w:val="nil"/>
        </w:pBdr>
        <w:spacing w:after="200"/>
        <w:rPr>
          <w:i/>
          <w:color w:val="44546A"/>
          <w:sz w:val="18"/>
          <w:szCs w:val="18"/>
        </w:rPr>
      </w:pPr>
      <w:bookmarkStart w:id="14" w:name="_heading=h.17dp8vu" w:colFirst="0" w:colLast="0"/>
      <w:bookmarkEnd w:id="14"/>
      <w:r>
        <w:rPr>
          <w:i/>
          <w:color w:val="44546A"/>
          <w:sz w:val="18"/>
          <w:szCs w:val="18"/>
        </w:rPr>
        <w:t>Figure 1</w:t>
      </w:r>
      <w:r w:rsidR="00BE240A">
        <w:rPr>
          <w:i/>
          <w:color w:val="44546A"/>
          <w:sz w:val="18"/>
          <w:szCs w:val="18"/>
        </w:rPr>
        <w:t>:</w:t>
      </w:r>
      <w:r>
        <w:rPr>
          <w:i/>
          <w:color w:val="44546A"/>
          <w:sz w:val="18"/>
          <w:szCs w:val="18"/>
        </w:rPr>
        <w:t xml:space="preserve"> South Africa</w:t>
      </w:r>
      <w:r w:rsidR="003644A7">
        <w:rPr>
          <w:i/>
          <w:color w:val="44546A"/>
          <w:sz w:val="18"/>
          <w:szCs w:val="18"/>
        </w:rPr>
        <w:t>’</w:t>
      </w:r>
      <w:r>
        <w:rPr>
          <w:i/>
          <w:color w:val="44546A"/>
          <w:sz w:val="18"/>
          <w:szCs w:val="18"/>
        </w:rPr>
        <w:t>s GDP growth rate and unemployment rate 2005</w:t>
      </w:r>
      <w:r w:rsidR="00792E6B">
        <w:rPr>
          <w:i/>
          <w:color w:val="44546A"/>
          <w:sz w:val="18"/>
          <w:szCs w:val="18"/>
        </w:rPr>
        <w:t>–</w:t>
      </w:r>
      <w:r>
        <w:rPr>
          <w:i/>
          <w:color w:val="44546A"/>
          <w:sz w:val="18"/>
          <w:szCs w:val="18"/>
        </w:rPr>
        <w:t>2019</w:t>
      </w:r>
    </w:p>
    <w:p w14:paraId="00000068" w14:textId="76AE60A0" w:rsidR="0039297D" w:rsidRDefault="004273CA" w:rsidP="000F15C3">
      <w:pPr>
        <w:spacing w:line="259" w:lineRule="auto"/>
        <w:rPr>
          <w:sz w:val="22"/>
          <w:szCs w:val="22"/>
        </w:rPr>
      </w:pPr>
      <w:r>
        <w:rPr>
          <w:sz w:val="22"/>
          <w:szCs w:val="22"/>
        </w:rPr>
        <w:t xml:space="preserve">The 2008/9 global financial crisis caused a sharp drop in South Africa’s GDP growth rates, and although there was a quick recovery, growth rates have not returned to pre-financial crisis levels and have declined since 2011 (GDP growth shown on right-hand scale of </w:t>
      </w:r>
      <w:r w:rsidR="00252731">
        <w:rPr>
          <w:sz w:val="22"/>
          <w:szCs w:val="22"/>
        </w:rPr>
        <w:t xml:space="preserve">Figure </w:t>
      </w:r>
      <w:r>
        <w:rPr>
          <w:sz w:val="22"/>
          <w:szCs w:val="22"/>
        </w:rPr>
        <w:t>1). As growth rates have declined, so unemployment rates have increased, even before the COVID-19 pandemic of 2020.</w:t>
      </w:r>
    </w:p>
    <w:p w14:paraId="00000069" w14:textId="77777777" w:rsidR="0039297D" w:rsidRDefault="004273CA" w:rsidP="000F15C3">
      <w:pPr>
        <w:spacing w:line="259" w:lineRule="auto"/>
        <w:rPr>
          <w:sz w:val="22"/>
          <w:szCs w:val="22"/>
        </w:rPr>
      </w:pPr>
      <w:r>
        <w:rPr>
          <w:sz w:val="22"/>
          <w:szCs w:val="22"/>
        </w:rPr>
        <w:t xml:space="preserve">There have, broadly speaking, been three phases of cultural policy in post-apartheid South Africa. Phase 1 represents a cultural policy focus on diversity and redress, with cultural value being seen as primarily intrinsic and social. Phase 2 is an intermediate phase, when the cultural and creative industries discourse begins to emerge, starting to link the cultural sector to economic values. Phase 3 occurs post the financial crisis, when the economy is growing less well, and the CCI discourse becomes an accepted part of South African cultural policy. </w:t>
      </w:r>
    </w:p>
    <w:p w14:paraId="0000006A" w14:textId="54B93B87" w:rsidR="0039297D" w:rsidRDefault="00DE1208">
      <w:pPr>
        <w:ind w:left="360"/>
        <w:jc w:val="left"/>
      </w:pPr>
      <w:r>
        <w:rPr>
          <w:noProof/>
          <w:lang w:val="en-ZA"/>
        </w:rPr>
        <mc:AlternateContent>
          <mc:Choice Requires="wps">
            <w:drawing>
              <wp:anchor distT="0" distB="0" distL="114300" distR="114300" simplePos="0" relativeHeight="251663360" behindDoc="0" locked="0" layoutInCell="1" hidden="0" allowOverlap="1" wp14:anchorId="7137F000" wp14:editId="409F6316">
                <wp:simplePos x="0" y="0"/>
                <wp:positionH relativeFrom="column">
                  <wp:posOffset>4698335</wp:posOffset>
                </wp:positionH>
                <wp:positionV relativeFrom="paragraph">
                  <wp:posOffset>475120</wp:posOffset>
                </wp:positionV>
                <wp:extent cx="365125" cy="1598044"/>
                <wp:effectExtent l="0" t="6667" r="28257" b="104458"/>
                <wp:wrapNone/>
                <wp:docPr id="70" name="Left Brace 70"/>
                <wp:cNvGraphicFramePr/>
                <a:graphic xmlns:a="http://schemas.openxmlformats.org/drawingml/2006/main">
                  <a:graphicData uri="http://schemas.microsoft.com/office/word/2010/wordprocessingShape">
                    <wps:wsp>
                      <wps:cNvSpPr/>
                      <wps:spPr>
                        <a:xfrm rot="16200000">
                          <a:off x="0" y="0"/>
                          <a:ext cx="365125" cy="1598044"/>
                        </a:xfrm>
                        <a:prstGeom prst="leftBrace">
                          <a:avLst>
                            <a:gd name="adj1" fmla="val 8333"/>
                            <a:gd name="adj2" fmla="val 48700"/>
                          </a:avLst>
                        </a:prstGeom>
                        <a:noFill/>
                        <a:ln w="9525" cap="flat" cmpd="sng">
                          <a:solidFill>
                            <a:schemeClr val="accent1"/>
                          </a:solidFill>
                          <a:prstDash val="solid"/>
                          <a:miter lim="800000"/>
                          <a:headEnd type="none" w="sm" len="sm"/>
                          <a:tailEnd type="none" w="sm" len="sm"/>
                        </a:ln>
                      </wps:spPr>
                      <wps:txbx>
                        <w:txbxContent>
                          <w:p w14:paraId="1A61FC0E" w14:textId="77777777" w:rsidR="003A0522" w:rsidRDefault="003A0522">
                            <w:pPr>
                              <w:spacing w:after="0"/>
                              <w:jc w:val="left"/>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137F00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70" o:spid="_x0000_s1029" type="#_x0000_t87" style="position:absolute;left:0;text-align:left;margin-left:369.95pt;margin-top:37.4pt;width:28.75pt;height:125.8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" adj="411,10519" strokecolor="#5b9bd5 [3204]">
                <v:stroke startarrowwidth="narrow" startarrowlength="short" endarrowwidth="narrow" endarrowlength="short" joinstyle="miter"/>
                <v:textbox inset="2.53958mm,2.53958mm,2.53958mm,2.53958mm">
                  <w:txbxContent>
                    <w:p w14:paraId="1A61FC0E" w14:textId="77777777" w:rsidR="003A0522" w:rsidRDefault="003A0522">
                      <w:pPr>
                        <w:spacing w:after="0"/>
                        <w:jc w:val="left"/>
                        <w:textDirection w:val="btLr"/>
                      </w:pPr>
                    </w:p>
                  </w:txbxContent>
                </v:textbox>
              </v:shape>
            </w:pict>
          </mc:Fallback>
        </mc:AlternateContent>
      </w:r>
      <w:r>
        <w:rPr>
          <w:noProof/>
          <w:lang w:val="en-ZA"/>
        </w:rPr>
        <mc:AlternateContent>
          <mc:Choice Requires="wps">
            <w:drawing>
              <wp:anchor distT="0" distB="0" distL="114300" distR="114300" simplePos="0" relativeHeight="251664384" behindDoc="0" locked="0" layoutInCell="1" hidden="0" allowOverlap="1" wp14:anchorId="1DCC4DEF" wp14:editId="69C6744E">
                <wp:simplePos x="0" y="0"/>
                <wp:positionH relativeFrom="column">
                  <wp:posOffset>2217008</wp:posOffset>
                </wp:positionH>
                <wp:positionV relativeFrom="paragraph">
                  <wp:posOffset>482122</wp:posOffset>
                </wp:positionV>
                <wp:extent cx="365125" cy="1522252"/>
                <wp:effectExtent l="0" t="6985" r="27940" b="104140"/>
                <wp:wrapNone/>
                <wp:docPr id="67" name="Left Brace 67"/>
                <wp:cNvGraphicFramePr/>
                <a:graphic xmlns:a="http://schemas.openxmlformats.org/drawingml/2006/main">
                  <a:graphicData uri="http://schemas.microsoft.com/office/word/2010/wordprocessingShape">
                    <wps:wsp>
                      <wps:cNvSpPr/>
                      <wps:spPr>
                        <a:xfrm rot="16200000">
                          <a:off x="0" y="0"/>
                          <a:ext cx="365125" cy="1522252"/>
                        </a:xfrm>
                        <a:prstGeom prst="leftBrace">
                          <a:avLst>
                            <a:gd name="adj1" fmla="val 8333"/>
                            <a:gd name="adj2" fmla="val 48700"/>
                          </a:avLst>
                        </a:prstGeom>
                        <a:noFill/>
                        <a:ln w="9525" cap="flat" cmpd="sng">
                          <a:solidFill>
                            <a:schemeClr val="accent1"/>
                          </a:solidFill>
                          <a:prstDash val="solid"/>
                          <a:miter lim="800000"/>
                          <a:headEnd type="none" w="sm" len="sm"/>
                          <a:tailEnd type="none" w="sm" len="sm"/>
                        </a:ln>
                      </wps:spPr>
                      <wps:txbx>
                        <w:txbxContent>
                          <w:p w14:paraId="67126022" w14:textId="77777777" w:rsidR="003A0522" w:rsidRDefault="003A0522">
                            <w:pPr>
                              <w:spacing w:after="0"/>
                              <w:jc w:val="left"/>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CC4DEF" id="Left Brace 67" o:spid="_x0000_s1030" type="#_x0000_t87" style="position:absolute;left:0;text-align:left;margin-left:174.55pt;margin-top:37.95pt;width:28.75pt;height:119.8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" adj="432,10519" strokecolor="#5b9bd5 [3204]">
                <v:stroke startarrowwidth="narrow" startarrowlength="short" endarrowwidth="narrow" endarrowlength="short" joinstyle="miter"/>
                <v:textbox inset="2.53958mm,2.53958mm,2.53958mm,2.53958mm">
                  <w:txbxContent>
                    <w:p w14:paraId="67126022" w14:textId="77777777" w:rsidR="003A0522" w:rsidRDefault="003A0522">
                      <w:pPr>
                        <w:spacing w:after="0"/>
                        <w:jc w:val="left"/>
                        <w:textDirection w:val="btLr"/>
                      </w:pPr>
                    </w:p>
                  </w:txbxContent>
                </v:textbox>
              </v:shape>
            </w:pict>
          </mc:Fallback>
        </mc:AlternateContent>
      </w:r>
      <w:r>
        <w:rPr>
          <w:noProof/>
          <w:lang w:val="en-ZA"/>
        </w:rPr>
        <mc:AlternateContent>
          <mc:Choice Requires="wps">
            <w:drawing>
              <wp:anchor distT="0" distB="0" distL="114300" distR="114300" simplePos="0" relativeHeight="251662336" behindDoc="0" locked="0" layoutInCell="1" hidden="0" allowOverlap="1" wp14:anchorId="1A196692" wp14:editId="03B584C3">
                <wp:simplePos x="0" y="0"/>
                <wp:positionH relativeFrom="column">
                  <wp:posOffset>452589</wp:posOffset>
                </wp:positionH>
                <wp:positionV relativeFrom="paragraph">
                  <wp:posOffset>888539</wp:posOffset>
                </wp:positionV>
                <wp:extent cx="365125" cy="727409"/>
                <wp:effectExtent l="9525" t="0" r="25400" b="101600"/>
                <wp:wrapNone/>
                <wp:docPr id="68" name="Left Brace 68"/>
                <wp:cNvGraphicFramePr/>
                <a:graphic xmlns:a="http://schemas.openxmlformats.org/drawingml/2006/main">
                  <a:graphicData uri="http://schemas.microsoft.com/office/word/2010/wordprocessingShape">
                    <wps:wsp>
                      <wps:cNvSpPr/>
                      <wps:spPr>
                        <a:xfrm rot="16200000">
                          <a:off x="0" y="0"/>
                          <a:ext cx="365125" cy="727409"/>
                        </a:xfrm>
                        <a:prstGeom prst="leftBrace">
                          <a:avLst>
                            <a:gd name="adj1" fmla="val 8333"/>
                            <a:gd name="adj2" fmla="val 48700"/>
                          </a:avLst>
                        </a:prstGeom>
                        <a:noFill/>
                        <a:ln w="9525" cap="flat" cmpd="sng">
                          <a:solidFill>
                            <a:schemeClr val="accent1"/>
                          </a:solidFill>
                          <a:prstDash val="solid"/>
                          <a:miter lim="800000"/>
                          <a:headEnd type="none" w="sm" len="sm"/>
                          <a:tailEnd type="none" w="sm" len="sm"/>
                        </a:ln>
                      </wps:spPr>
                      <wps:txbx>
                        <w:txbxContent>
                          <w:p w14:paraId="48E5AC06" w14:textId="77777777" w:rsidR="003A0522" w:rsidRDefault="003A0522">
                            <w:pPr>
                              <w:spacing w:after="0"/>
                              <w:jc w:val="left"/>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196692" id="Left Brace 68" o:spid="_x0000_s1031" type="#_x0000_t87" style="position:absolute;left:0;text-align:left;margin-left:35.65pt;margin-top:69.95pt;width:28.75pt;height:57.3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" adj="903,10519" strokecolor="#5b9bd5 [3204]">
                <v:stroke startarrowwidth="narrow" startarrowlength="short" endarrowwidth="narrow" endarrowlength="short" joinstyle="miter"/>
                <v:textbox inset="2.53958mm,2.53958mm,2.53958mm,2.53958mm">
                  <w:txbxContent>
                    <w:p w14:paraId="48E5AC06" w14:textId="77777777" w:rsidR="003A0522" w:rsidRDefault="003A0522">
                      <w:pPr>
                        <w:spacing w:after="0"/>
                        <w:jc w:val="left"/>
                        <w:textDirection w:val="btLr"/>
                      </w:pPr>
                    </w:p>
                  </w:txbxContent>
                </v:textbox>
              </v:shape>
            </w:pict>
          </mc:Fallback>
        </mc:AlternateContent>
      </w:r>
      <w:r w:rsidR="004273CA">
        <w:rPr>
          <w:noProof/>
          <w:lang w:val="en-ZA"/>
        </w:rPr>
        <mc:AlternateContent>
          <mc:Choice Requires="wpg">
            <w:drawing>
              <wp:inline distT="0" distB="0" distL="0" distR="0" wp14:anchorId="2E971542" wp14:editId="1346D0B6">
                <wp:extent cx="5731510" cy="1356360"/>
                <wp:effectExtent l="0" t="0" r="2540" b="0"/>
                <wp:docPr id="64" name="Group 64"/>
                <wp:cNvGraphicFramePr/>
                <a:graphic xmlns:a="http://schemas.openxmlformats.org/drawingml/2006/main">
                  <a:graphicData uri="http://schemas.microsoft.com/office/word/2010/wordprocessingGroup">
                    <wpg:wgp>
                      <wpg:cNvGrpSpPr/>
                      <wpg:grpSpPr>
                        <a:xfrm>
                          <a:off x="0" y="0"/>
                          <a:ext cx="5731510" cy="1356360"/>
                          <a:chOff x="0" y="0"/>
                          <a:chExt cx="5731500" cy="1356350"/>
                        </a:xfrm>
                      </wpg:grpSpPr>
                      <wpg:grpSp>
                        <wpg:cNvPr id="1" name="Group 1"/>
                        <wpg:cNvGrpSpPr/>
                        <wpg:grpSpPr>
                          <a:xfrm>
                            <a:off x="0" y="0"/>
                            <a:ext cx="5731500" cy="1356350"/>
                            <a:chOff x="0" y="0"/>
                            <a:chExt cx="5731500" cy="1356350"/>
                          </a:xfrm>
                        </wpg:grpSpPr>
                        <wps:wsp>
                          <wps:cNvPr id="2" name="Rectangle 2"/>
                          <wps:cNvSpPr/>
                          <wps:spPr>
                            <a:xfrm>
                              <a:off x="0" y="0"/>
                              <a:ext cx="5731500" cy="1356350"/>
                            </a:xfrm>
                            <a:prstGeom prst="rect">
                              <a:avLst/>
                            </a:prstGeom>
                            <a:noFill/>
                            <a:ln>
                              <a:noFill/>
                            </a:ln>
                          </wps:spPr>
                          <wps:txbx>
                            <w:txbxContent>
                              <w:p w14:paraId="1B7EA83A"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3" name="Oval 3"/>
                          <wps:cNvSpPr/>
                          <wps:spPr>
                            <a:xfrm>
                              <a:off x="4949875" y="292755"/>
                              <a:ext cx="771221" cy="770985"/>
                            </a:xfrm>
                            <a:prstGeom prst="ellipse">
                              <a:avLst/>
                            </a:prstGeom>
                            <a:solidFill>
                              <a:srgbClr val="599BD5"/>
                            </a:solidFill>
                            <a:ln w="12700" cap="flat" cmpd="sng">
                              <a:solidFill>
                                <a:schemeClr val="lt1"/>
                              </a:solidFill>
                              <a:prstDash val="solid"/>
                              <a:miter lim="800000"/>
                              <a:headEnd type="none" w="sm" len="sm"/>
                              <a:tailEnd type="none" w="sm" len="sm"/>
                            </a:ln>
                          </wps:spPr>
                          <wps:txbx>
                            <w:txbxContent>
                              <w:p w14:paraId="66384542"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4" name="Oval 4"/>
                          <wps:cNvSpPr/>
                          <wps:spPr>
                            <a:xfrm>
                              <a:off x="4976076"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1FE9FD22"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5" name="Text Box 5"/>
                          <wps:cNvSpPr txBox="1"/>
                          <wps:spPr>
                            <a:xfrm>
                              <a:off x="5078601" y="421275"/>
                              <a:ext cx="513767" cy="513944"/>
                            </a:xfrm>
                            <a:prstGeom prst="rect">
                              <a:avLst/>
                            </a:prstGeom>
                            <a:noFill/>
                            <a:ln>
                              <a:noFill/>
                            </a:ln>
                          </wps:spPr>
                          <wps:txbx>
                            <w:txbxContent>
                              <w:p w14:paraId="20CEB423" w14:textId="77777777" w:rsidR="003A0522" w:rsidRDefault="003A0522">
                                <w:pPr>
                                  <w:spacing w:after="0" w:line="215" w:lineRule="auto"/>
                                  <w:jc w:val="center"/>
                                  <w:textDirection w:val="btLr"/>
                                </w:pPr>
                                <w:r>
                                  <w:rPr>
                                    <w:rFonts w:ascii="Calibri" w:eastAsia="Calibri" w:hAnsi="Calibri" w:cs="Calibri"/>
                                    <w:color w:val="000000"/>
                                    <w:sz w:val="14"/>
                                  </w:rPr>
                                  <w:t>Revised White Paper on ACH (2017)</w:t>
                                </w:r>
                              </w:p>
                            </w:txbxContent>
                          </wps:txbx>
                          <wps:bodyPr spcFirstLastPara="1" wrap="square" lIns="8875" tIns="8875" rIns="8875" bIns="8875" anchor="ctr" anchorCtr="0">
                            <a:noAutofit/>
                          </wps:bodyPr>
                        </wps:wsp>
                        <wps:wsp>
                          <wps:cNvPr id="6" name="Teardrop 6"/>
                          <wps:cNvSpPr/>
                          <wps:spPr>
                            <a:xfrm rot="2700000">
                              <a:off x="4153406"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7A56D4CF"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7" name="Oval 7"/>
                          <wps:cNvSpPr/>
                          <wps:spPr>
                            <a:xfrm>
                              <a:off x="4179223"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3D688CE8"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8" name="Text Box 8"/>
                          <wps:cNvSpPr txBox="1"/>
                          <wps:spPr>
                            <a:xfrm>
                              <a:off x="4281749" y="421275"/>
                              <a:ext cx="513767" cy="513944"/>
                            </a:xfrm>
                            <a:prstGeom prst="rect">
                              <a:avLst/>
                            </a:prstGeom>
                            <a:noFill/>
                            <a:ln>
                              <a:noFill/>
                            </a:ln>
                          </wps:spPr>
                          <wps:txbx>
                            <w:txbxContent>
                              <w:p w14:paraId="2E61352F" w14:textId="77777777" w:rsidR="003A0522" w:rsidRDefault="003A0522">
                                <w:pPr>
                                  <w:spacing w:after="0" w:line="215" w:lineRule="auto"/>
                                  <w:jc w:val="center"/>
                                  <w:textDirection w:val="btLr"/>
                                </w:pPr>
                                <w:r>
                                  <w:rPr>
                                    <w:rFonts w:ascii="Calibri" w:eastAsia="Calibri" w:hAnsi="Calibri" w:cs="Calibri"/>
                                    <w:color w:val="000000"/>
                                    <w:sz w:val="14"/>
                                  </w:rPr>
                                  <w:t>Revised White Paper 2013 (withdrawn)</w:t>
                                </w:r>
                              </w:p>
                            </w:txbxContent>
                          </wps:txbx>
                          <wps:bodyPr spcFirstLastPara="1" wrap="square" lIns="8875" tIns="8875" rIns="8875" bIns="8875" anchor="ctr" anchorCtr="0">
                            <a:noAutofit/>
                          </wps:bodyPr>
                        </wps:wsp>
                        <wps:wsp>
                          <wps:cNvPr id="9" name="Teardrop 9"/>
                          <wps:cNvSpPr/>
                          <wps:spPr>
                            <a:xfrm rot="2700000">
                              <a:off x="3357123"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6ADB14D3"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0" name="Oval 10"/>
                          <wps:cNvSpPr/>
                          <wps:spPr>
                            <a:xfrm>
                              <a:off x="3382370"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2C08B2E1"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1" name="Text Box 11"/>
                          <wps:cNvSpPr txBox="1"/>
                          <wps:spPr>
                            <a:xfrm>
                              <a:off x="3453433" y="396042"/>
                              <a:ext cx="623503" cy="556649"/>
                            </a:xfrm>
                            <a:prstGeom prst="rect">
                              <a:avLst/>
                            </a:prstGeom>
                            <a:noFill/>
                            <a:ln>
                              <a:noFill/>
                            </a:ln>
                          </wps:spPr>
                          <wps:txbx>
                            <w:txbxContent>
                              <w:p w14:paraId="658DB080" w14:textId="0F065C6B" w:rsidR="003A0522" w:rsidRDefault="003A0522">
                                <w:pPr>
                                  <w:spacing w:after="0" w:line="215" w:lineRule="auto"/>
                                  <w:jc w:val="center"/>
                                  <w:textDirection w:val="btLr"/>
                                </w:pPr>
                                <w:r>
                                  <w:rPr>
                                    <w:rFonts w:ascii="Calibri" w:eastAsia="Calibri" w:hAnsi="Calibri" w:cs="Calibri"/>
                                    <w:color w:val="000000"/>
                                    <w:sz w:val="12"/>
                                  </w:rPr>
                                  <w:t>Mzansi’s Golden Economy (2012) &amp; DSAC Strategic Plans (2015/16 – 2019/20)</w:t>
                                </w:r>
                              </w:p>
                            </w:txbxContent>
                          </wps:txbx>
                          <wps:bodyPr spcFirstLastPara="1" wrap="square" lIns="7600" tIns="7600" rIns="7600" bIns="7600" anchor="ctr" anchorCtr="0">
                            <a:noAutofit/>
                          </wps:bodyPr>
                        </wps:wsp>
                        <wps:wsp>
                          <wps:cNvPr id="12" name="Teardrop 12"/>
                          <wps:cNvSpPr/>
                          <wps:spPr>
                            <a:xfrm rot="2700000">
                              <a:off x="2560270"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04D22141"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3" name="Oval 13"/>
                          <wps:cNvSpPr/>
                          <wps:spPr>
                            <a:xfrm>
                              <a:off x="2586087"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040DE432"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4" name="Text Box 14"/>
                          <wps:cNvSpPr txBox="1"/>
                          <wps:spPr>
                            <a:xfrm>
                              <a:off x="2688613" y="421275"/>
                              <a:ext cx="513767" cy="513944"/>
                            </a:xfrm>
                            <a:prstGeom prst="rect">
                              <a:avLst/>
                            </a:prstGeom>
                            <a:noFill/>
                            <a:ln>
                              <a:noFill/>
                            </a:ln>
                          </wps:spPr>
                          <wps:txbx>
                            <w:txbxContent>
                              <w:p w14:paraId="3E711EEC" w14:textId="77777777" w:rsidR="003A0522" w:rsidRDefault="003A0522">
                                <w:pPr>
                                  <w:spacing w:after="0" w:line="215" w:lineRule="auto"/>
                                  <w:jc w:val="center"/>
                                  <w:textDirection w:val="btLr"/>
                                </w:pPr>
                                <w:r>
                                  <w:rPr>
                                    <w:rFonts w:ascii="Calibri" w:eastAsia="Calibri" w:hAnsi="Calibri" w:cs="Calibri"/>
                                    <w:color w:val="000000"/>
                                    <w:sz w:val="14"/>
                                  </w:rPr>
                                  <w:t>“Creative Industries in South Africa” (CAJ, 2008)</w:t>
                                </w:r>
                              </w:p>
                            </w:txbxContent>
                          </wps:txbx>
                          <wps:bodyPr spcFirstLastPara="1" wrap="square" lIns="8875" tIns="8875" rIns="8875" bIns="8875" anchor="ctr" anchorCtr="0">
                            <a:noAutofit/>
                          </wps:bodyPr>
                        </wps:wsp>
                        <wps:wsp>
                          <wps:cNvPr id="15" name="Teardrop 15"/>
                          <wps:cNvSpPr/>
                          <wps:spPr>
                            <a:xfrm rot="2700000">
                              <a:off x="1763417"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5370EA8B"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6" name="Oval 16"/>
                          <wps:cNvSpPr/>
                          <wps:spPr>
                            <a:xfrm>
                              <a:off x="1789234"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28897899"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7" name="Text Box 17"/>
                          <wps:cNvSpPr txBox="1"/>
                          <wps:spPr>
                            <a:xfrm>
                              <a:off x="1891760" y="421275"/>
                              <a:ext cx="513767" cy="513944"/>
                            </a:xfrm>
                            <a:prstGeom prst="rect">
                              <a:avLst/>
                            </a:prstGeom>
                            <a:noFill/>
                            <a:ln>
                              <a:noFill/>
                            </a:ln>
                          </wps:spPr>
                          <wps:txbx>
                            <w:txbxContent>
                              <w:p w14:paraId="28C3966C" w14:textId="77777777" w:rsidR="003A0522" w:rsidRDefault="003A0522">
                                <w:pPr>
                                  <w:spacing w:after="0" w:line="215" w:lineRule="auto"/>
                                  <w:jc w:val="center"/>
                                  <w:textDirection w:val="btLr"/>
                                </w:pPr>
                                <w:r>
                                  <w:rPr>
                                    <w:rFonts w:ascii="Calibri" w:eastAsia="Calibri" w:hAnsi="Calibri" w:cs="Calibri"/>
                                    <w:color w:val="000000"/>
                                    <w:sz w:val="14"/>
                                  </w:rPr>
                                  <w:t>Provincial Frameworks &amp; Mapping studies (2008)</w:t>
                                </w:r>
                              </w:p>
                            </w:txbxContent>
                          </wps:txbx>
                          <wps:bodyPr spcFirstLastPara="1" wrap="square" lIns="8875" tIns="8875" rIns="8875" bIns="8875" anchor="ctr" anchorCtr="0">
                            <a:noAutofit/>
                          </wps:bodyPr>
                        </wps:wsp>
                        <wps:wsp>
                          <wps:cNvPr id="18" name="Teardrop 18"/>
                          <wps:cNvSpPr/>
                          <wps:spPr>
                            <a:xfrm rot="2700000">
                              <a:off x="967134"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33DF6D90"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19" name="Oval 19"/>
                          <wps:cNvSpPr/>
                          <wps:spPr>
                            <a:xfrm>
                              <a:off x="992382"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2837DAC9"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20" name="Text Box 20"/>
                          <wps:cNvSpPr txBox="1"/>
                          <wps:spPr>
                            <a:xfrm>
                              <a:off x="1095477" y="421275"/>
                              <a:ext cx="513767" cy="513944"/>
                            </a:xfrm>
                            <a:prstGeom prst="rect">
                              <a:avLst/>
                            </a:prstGeom>
                            <a:noFill/>
                            <a:ln>
                              <a:noFill/>
                            </a:ln>
                          </wps:spPr>
                          <wps:txbx>
                            <w:txbxContent>
                              <w:p w14:paraId="07EE8D0B" w14:textId="77777777" w:rsidR="003A0522" w:rsidRDefault="003A0522">
                                <w:pPr>
                                  <w:spacing w:after="0" w:line="215" w:lineRule="auto"/>
                                  <w:jc w:val="center"/>
                                  <w:textDirection w:val="btLr"/>
                                </w:pPr>
                                <w:r>
                                  <w:rPr>
                                    <w:rFonts w:ascii="Calibri" w:eastAsia="Calibri" w:hAnsi="Calibri" w:cs="Calibri"/>
                                    <w:color w:val="000000"/>
                                    <w:sz w:val="14"/>
                                  </w:rPr>
                                  <w:t>CIGS &amp; “Creative South Africa” (1998)</w:t>
                                </w:r>
                              </w:p>
                            </w:txbxContent>
                          </wps:txbx>
                          <wps:bodyPr spcFirstLastPara="1" wrap="square" lIns="8875" tIns="8875" rIns="8875" bIns="8875" anchor="ctr" anchorCtr="0">
                            <a:noAutofit/>
                          </wps:bodyPr>
                        </wps:wsp>
                        <wps:wsp>
                          <wps:cNvPr id="21" name="Teardrop 21"/>
                          <wps:cNvSpPr/>
                          <wps:spPr>
                            <a:xfrm rot="2700000">
                              <a:off x="170282" y="292668"/>
                              <a:ext cx="771022" cy="771022"/>
                            </a:xfrm>
                            <a:prstGeom prst="teardrop">
                              <a:avLst>
                                <a:gd name="adj" fmla="val 100000"/>
                              </a:avLst>
                            </a:prstGeom>
                            <a:solidFill>
                              <a:srgbClr val="599BD5"/>
                            </a:solidFill>
                            <a:ln w="12700" cap="flat" cmpd="sng">
                              <a:solidFill>
                                <a:schemeClr val="lt1"/>
                              </a:solidFill>
                              <a:prstDash val="solid"/>
                              <a:miter lim="800000"/>
                              <a:headEnd type="none" w="sm" len="sm"/>
                              <a:tailEnd type="none" w="sm" len="sm"/>
                            </a:ln>
                          </wps:spPr>
                          <wps:txbx>
                            <w:txbxContent>
                              <w:p w14:paraId="7527F572"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22" name="Oval 22"/>
                          <wps:cNvSpPr/>
                          <wps:spPr>
                            <a:xfrm>
                              <a:off x="196099" y="318459"/>
                              <a:ext cx="719388" cy="719576"/>
                            </a:xfrm>
                            <a:prstGeom prst="ellipse">
                              <a:avLst/>
                            </a:prstGeom>
                            <a:solidFill>
                              <a:schemeClr val="lt1">
                                <a:alpha val="89803"/>
                              </a:schemeClr>
                            </a:solidFill>
                            <a:ln w="12700" cap="flat" cmpd="sng">
                              <a:solidFill>
                                <a:srgbClr val="599BD5"/>
                              </a:solidFill>
                              <a:prstDash val="solid"/>
                              <a:miter lim="800000"/>
                              <a:headEnd type="none" w="sm" len="sm"/>
                              <a:tailEnd type="none" w="sm" len="sm"/>
                            </a:ln>
                          </wps:spPr>
                          <wps:txbx>
                            <w:txbxContent>
                              <w:p w14:paraId="44BEA4B0" w14:textId="77777777" w:rsidR="003A0522" w:rsidRDefault="003A0522">
                                <w:pPr>
                                  <w:spacing w:after="0"/>
                                  <w:jc w:val="left"/>
                                  <w:textDirection w:val="btLr"/>
                                </w:pPr>
                              </w:p>
                            </w:txbxContent>
                          </wps:txbx>
                          <wps:bodyPr spcFirstLastPara="1" wrap="square" lIns="91425" tIns="91425" rIns="91425" bIns="91425" anchor="ctr" anchorCtr="0">
                            <a:noAutofit/>
                          </wps:bodyPr>
                        </wps:wsp>
                        <wps:wsp>
                          <wps:cNvPr id="23" name="Text Box 23"/>
                          <wps:cNvSpPr txBox="1"/>
                          <wps:spPr>
                            <a:xfrm>
                              <a:off x="298624" y="421275"/>
                              <a:ext cx="513767" cy="513944"/>
                            </a:xfrm>
                            <a:prstGeom prst="rect">
                              <a:avLst/>
                            </a:prstGeom>
                            <a:noFill/>
                            <a:ln>
                              <a:noFill/>
                            </a:ln>
                          </wps:spPr>
                          <wps:txbx>
                            <w:txbxContent>
                              <w:p w14:paraId="48F2EAE5" w14:textId="77777777" w:rsidR="003A0522" w:rsidRDefault="003A0522">
                                <w:pPr>
                                  <w:spacing w:after="0" w:line="215" w:lineRule="auto"/>
                                  <w:jc w:val="center"/>
                                  <w:textDirection w:val="btLr"/>
                                </w:pPr>
                                <w:r>
                                  <w:rPr>
                                    <w:rFonts w:ascii="Calibri" w:eastAsia="Calibri" w:hAnsi="Calibri" w:cs="Calibri"/>
                                    <w:color w:val="000000"/>
                                    <w:sz w:val="14"/>
                                  </w:rPr>
                                  <w:t>White Paper on ACH (1996)</w:t>
                                </w:r>
                              </w:p>
                            </w:txbxContent>
                          </wps:txbx>
                          <wps:bodyPr spcFirstLastPara="1" wrap="square" lIns="8875" tIns="8875" rIns="8875" bIns="8875" anchor="ctr" anchorCtr="0">
                            <a:noAutofit/>
                          </wps:bodyPr>
                        </wps:wsp>
                      </wpg:grp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E971542" id="Group 64" o:spid="_x0000_s1032" style="width:451.3pt;height:106.8pt;mso-position-horizontal-relative:char;mso-position-vertical-relative:line" coordsize="57315,13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">
                <v:group id="Group 1" o:spid="_x0000_s1033" style="position:absolute;width:57315;height:13563" coordsize="57315,13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34" style="position:absolute;width:57315;height:13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1B7EA83A" w14:textId="77777777" w:rsidR="003A0522" w:rsidRDefault="003A0522">
                          <w:pPr>
                            <w:spacing w:after="0"/>
                            <w:jc w:val="left"/>
                            <w:textDirection w:val="btLr"/>
                          </w:pPr>
                        </w:p>
                      </w:txbxContent>
                    </v:textbox>
                  </v:rect>
                  <v:oval id="Oval 3" o:spid="_x0000_s1035" style="position:absolute;left:49498;top:2927;width:7712;height:77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" fillcolor="#599bd5" strokecolor="white [3201]" strokeweight="1pt">
                    <v:stroke startarrowwidth="narrow" startarrowlength="short" endarrowwidth="narrow" endarrowlength="short" joinstyle="miter"/>
                    <v:textbox inset="2.53958mm,2.53958mm,2.53958mm,2.53958mm">
                      <w:txbxContent>
                        <w:p w14:paraId="66384542" w14:textId="77777777" w:rsidR="003A0522" w:rsidRDefault="003A0522">
                          <w:pPr>
                            <w:spacing w:after="0"/>
                            <w:jc w:val="left"/>
                            <w:textDirection w:val="btLr"/>
                          </w:pPr>
                        </w:p>
                      </w:txbxContent>
                    </v:textbox>
                  </v:oval>
                  <v:oval id="Oval 4" o:spid="_x0000_s1036" style="position:absolute;left:49760;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" fillcolor="white [3201]" strokecolor="#599bd5" strokeweight="1pt">
                    <v:fill opacity="58853f"/>
                    <v:stroke startarrowwidth="narrow" startarrowlength="short" endarrowwidth="narrow" endarrowlength="short" joinstyle="miter"/>
                    <v:textbox inset="2.53958mm,2.53958mm,2.53958mm,2.53958mm">
                      <w:txbxContent>
                        <w:p w14:paraId="1FE9FD22" w14:textId="77777777" w:rsidR="003A0522" w:rsidRDefault="003A0522">
                          <w:pPr>
                            <w:spacing w:after="0"/>
                            <w:jc w:val="left"/>
                            <w:textDirection w:val="btLr"/>
                          </w:pPr>
                        </w:p>
                      </w:txbxContent>
                    </v:textbox>
                  </v:oval>
                  <v:shapetype id="_x0000_t202" coordsize="21600,21600" o:spt="202" path="m,l,21600r21600,l21600,xe">
                    <v:stroke joinstyle="miter"/>
                    <v:path gradientshapeok="t" o:connecttype="rect"/>
                  </v:shapetype>
                  <v:shape id="Text Box 5" o:spid="_x0000_s1037" type="#_x0000_t202" style="position:absolute;left:50786;top:4212;width:5137;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" filled="f" stroked="f">
                    <v:textbox inset=".24653mm,.24653mm,.24653mm,.24653mm">
                      <w:txbxContent>
                        <w:p w14:paraId="20CEB423" w14:textId="77777777" w:rsidR="003A0522" w:rsidRDefault="003A0522">
                          <w:pPr>
                            <w:spacing w:after="0" w:line="215" w:lineRule="auto"/>
                            <w:jc w:val="center"/>
                            <w:textDirection w:val="btLr"/>
                          </w:pPr>
                          <w:r>
                            <w:rPr>
                              <w:rFonts w:ascii="Calibri" w:eastAsia="Calibri" w:hAnsi="Calibri" w:cs="Calibri"/>
                              <w:color w:val="000000"/>
                              <w:sz w:val="14"/>
                            </w:rPr>
                            <w:t>Revised White Paper on ACH (2017)</w:t>
                          </w:r>
                        </w:p>
                      </w:txbxContent>
                    </v:textbox>
                  </v:shape>
                  <v:shape id="Teardrop 6" o:spid="_x0000_s1038" style="position:absolute;left:41534;top:2926;width:7710;height:7710;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7A56D4CF" w14:textId="77777777" w:rsidR="003A0522" w:rsidRDefault="003A0522">
                          <w:pPr>
                            <w:spacing w:after="0"/>
                            <w:jc w:val="left"/>
                            <w:textDirection w:val="btLr"/>
                          </w:pPr>
                        </w:p>
                      </w:txbxContent>
                    </v:textbox>
                  </v:shape>
                  <v:oval id="Oval 7" o:spid="_x0000_s1039" style="position:absolute;left:41792;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" fillcolor="white [3201]" strokecolor="#599bd5" strokeweight="1pt">
                    <v:fill opacity="58853f"/>
                    <v:stroke startarrowwidth="narrow" startarrowlength="short" endarrowwidth="narrow" endarrowlength="short" joinstyle="miter"/>
                    <v:textbox inset="2.53958mm,2.53958mm,2.53958mm,2.53958mm">
                      <w:txbxContent>
                        <w:p w14:paraId="3D688CE8" w14:textId="77777777" w:rsidR="003A0522" w:rsidRDefault="003A0522">
                          <w:pPr>
                            <w:spacing w:after="0"/>
                            <w:jc w:val="left"/>
                            <w:textDirection w:val="btLr"/>
                          </w:pPr>
                        </w:p>
                      </w:txbxContent>
                    </v:textbox>
                  </v:oval>
                  <v:shape id="Text Box 8" o:spid="_x0000_s1040" type="#_x0000_t202" style="position:absolute;left:42817;top:4212;width:5138;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" filled="f" stroked="f">
                    <v:textbox inset=".24653mm,.24653mm,.24653mm,.24653mm">
                      <w:txbxContent>
                        <w:p w14:paraId="2E61352F" w14:textId="77777777" w:rsidR="003A0522" w:rsidRDefault="003A0522">
                          <w:pPr>
                            <w:spacing w:after="0" w:line="215" w:lineRule="auto"/>
                            <w:jc w:val="center"/>
                            <w:textDirection w:val="btLr"/>
                          </w:pPr>
                          <w:r>
                            <w:rPr>
                              <w:rFonts w:ascii="Calibri" w:eastAsia="Calibri" w:hAnsi="Calibri" w:cs="Calibri"/>
                              <w:color w:val="000000"/>
                              <w:sz w:val="14"/>
                            </w:rPr>
                            <w:t>Revised White Paper 2013 (withdrawn)</w:t>
                          </w:r>
                        </w:p>
                      </w:txbxContent>
                    </v:textbox>
                  </v:shape>
                  <v:shape id="Teardrop 9" o:spid="_x0000_s1041" style="position:absolute;left:33571;top:2926;width:7710;height:7710;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6ADB14D3" w14:textId="77777777" w:rsidR="003A0522" w:rsidRDefault="003A0522">
                          <w:pPr>
                            <w:spacing w:after="0"/>
                            <w:jc w:val="left"/>
                            <w:textDirection w:val="btLr"/>
                          </w:pPr>
                        </w:p>
                      </w:txbxContent>
                    </v:textbox>
                  </v:shape>
                  <v:oval id="Oval 10" o:spid="_x0000_s1042" style="position:absolute;left:33823;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" fillcolor="white [3201]" strokecolor="#599bd5" strokeweight="1pt">
                    <v:fill opacity="58853f"/>
                    <v:stroke startarrowwidth="narrow" startarrowlength="short" endarrowwidth="narrow" endarrowlength="short" joinstyle="miter"/>
                    <v:textbox inset="2.53958mm,2.53958mm,2.53958mm,2.53958mm">
                      <w:txbxContent>
                        <w:p w14:paraId="2C08B2E1" w14:textId="77777777" w:rsidR="003A0522" w:rsidRDefault="003A0522">
                          <w:pPr>
                            <w:spacing w:after="0"/>
                            <w:jc w:val="left"/>
                            <w:textDirection w:val="btLr"/>
                          </w:pPr>
                        </w:p>
                      </w:txbxContent>
                    </v:textbox>
                  </v:oval>
                  <v:shape id="Text Box 11" o:spid="_x0000_s1043" type="#_x0000_t202" style="position:absolute;left:34534;top:3960;width:6235;height:55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" filled="f" stroked="f">
                    <v:textbox inset=".21111mm,.21111mm,.21111mm,.21111mm">
                      <w:txbxContent>
                        <w:p w14:paraId="658DB080" w14:textId="0F065C6B" w:rsidR="003A0522" w:rsidRDefault="003A0522">
                          <w:pPr>
                            <w:spacing w:after="0" w:line="215" w:lineRule="auto"/>
                            <w:jc w:val="center"/>
                            <w:textDirection w:val="btLr"/>
                          </w:pPr>
                          <w:r>
                            <w:rPr>
                              <w:rFonts w:ascii="Calibri" w:eastAsia="Calibri" w:hAnsi="Calibri" w:cs="Calibri"/>
                              <w:color w:val="000000"/>
                              <w:sz w:val="12"/>
                            </w:rPr>
                            <w:t>Mzansi’s Golden Economy (2012) &amp; DSAC Strategic Plans (2015/16 – 2019/20)</w:t>
                          </w:r>
                        </w:p>
                      </w:txbxContent>
                    </v:textbox>
                  </v:shape>
                  <v:shape id="Teardrop 12" o:spid="_x0000_s1044" style="position:absolute;left:25602;top:2926;width:7710;height:7710;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04D22141" w14:textId="77777777" w:rsidR="003A0522" w:rsidRDefault="003A0522">
                          <w:pPr>
                            <w:spacing w:after="0"/>
                            <w:jc w:val="left"/>
                            <w:textDirection w:val="btLr"/>
                          </w:pPr>
                        </w:p>
                      </w:txbxContent>
                    </v:textbox>
                  </v:shape>
                  <v:oval id="Oval 13" o:spid="_x0000_s1045" style="position:absolute;left:25860;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" fillcolor="white [3201]" strokecolor="#599bd5" strokeweight="1pt">
                    <v:fill opacity="58853f"/>
                    <v:stroke startarrowwidth="narrow" startarrowlength="short" endarrowwidth="narrow" endarrowlength="short" joinstyle="miter"/>
                    <v:textbox inset="2.53958mm,2.53958mm,2.53958mm,2.53958mm">
                      <w:txbxContent>
                        <w:p w14:paraId="040DE432" w14:textId="77777777" w:rsidR="003A0522" w:rsidRDefault="003A0522">
                          <w:pPr>
                            <w:spacing w:after="0"/>
                            <w:jc w:val="left"/>
                            <w:textDirection w:val="btLr"/>
                          </w:pPr>
                        </w:p>
                      </w:txbxContent>
                    </v:textbox>
                  </v:oval>
                  <v:shape id="Text Box 14" o:spid="_x0000_s1046" type="#_x0000_t202" style="position:absolute;left:26886;top:4212;width:5137;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" filled="f" stroked="f">
                    <v:textbox inset=".24653mm,.24653mm,.24653mm,.24653mm">
                      <w:txbxContent>
                        <w:p w14:paraId="3E711EEC" w14:textId="77777777" w:rsidR="003A0522" w:rsidRDefault="003A0522">
                          <w:pPr>
                            <w:spacing w:after="0" w:line="215" w:lineRule="auto"/>
                            <w:jc w:val="center"/>
                            <w:textDirection w:val="btLr"/>
                          </w:pPr>
                          <w:r>
                            <w:rPr>
                              <w:rFonts w:ascii="Calibri" w:eastAsia="Calibri" w:hAnsi="Calibri" w:cs="Calibri"/>
                              <w:color w:val="000000"/>
                              <w:sz w:val="14"/>
                            </w:rPr>
                            <w:t>“Creative Industries in South Africa” (CAJ, 2008)</w:t>
                          </w:r>
                        </w:p>
                      </w:txbxContent>
                    </v:textbox>
                  </v:shape>
                  <v:shape id="Teardrop 15" o:spid="_x0000_s1047" style="position:absolute;left:17634;top:2926;width:7710;height:7710;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5370EA8B" w14:textId="77777777" w:rsidR="003A0522" w:rsidRDefault="003A0522">
                          <w:pPr>
                            <w:spacing w:after="0"/>
                            <w:jc w:val="left"/>
                            <w:textDirection w:val="btLr"/>
                          </w:pPr>
                        </w:p>
                      </w:txbxContent>
                    </v:textbox>
                  </v:shape>
                  <v:oval id="Oval 16" o:spid="_x0000_s1048" style="position:absolute;left:17892;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" fillcolor="white [3201]" strokecolor="#599bd5" strokeweight="1pt">
                    <v:fill opacity="58853f"/>
                    <v:stroke startarrowwidth="narrow" startarrowlength="short" endarrowwidth="narrow" endarrowlength="short" joinstyle="miter"/>
                    <v:textbox inset="2.53958mm,2.53958mm,2.53958mm,2.53958mm">
                      <w:txbxContent>
                        <w:p w14:paraId="28897899" w14:textId="77777777" w:rsidR="003A0522" w:rsidRDefault="003A0522">
                          <w:pPr>
                            <w:spacing w:after="0"/>
                            <w:jc w:val="left"/>
                            <w:textDirection w:val="btLr"/>
                          </w:pPr>
                        </w:p>
                      </w:txbxContent>
                    </v:textbox>
                  </v:oval>
                  <v:shape id="Text Box 17" o:spid="_x0000_s1049" type="#_x0000_t202" style="position:absolute;left:18917;top:4212;width:5138;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" filled="f" stroked="f">
                    <v:textbox inset=".24653mm,.24653mm,.24653mm,.24653mm">
                      <w:txbxContent>
                        <w:p w14:paraId="28C3966C" w14:textId="77777777" w:rsidR="003A0522" w:rsidRDefault="003A0522">
                          <w:pPr>
                            <w:spacing w:after="0" w:line="215" w:lineRule="auto"/>
                            <w:jc w:val="center"/>
                            <w:textDirection w:val="btLr"/>
                          </w:pPr>
                          <w:r>
                            <w:rPr>
                              <w:rFonts w:ascii="Calibri" w:eastAsia="Calibri" w:hAnsi="Calibri" w:cs="Calibri"/>
                              <w:color w:val="000000"/>
                              <w:sz w:val="14"/>
                            </w:rPr>
                            <w:t>Provincial Frameworks &amp; Mapping studies (2008)</w:t>
                          </w:r>
                        </w:p>
                      </w:txbxContent>
                    </v:textbox>
                  </v:shape>
                  <v:shape id="Teardrop 18" o:spid="_x0000_s1050" style="position:absolute;left:9671;top:2926;width:7710;height:7710;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33DF6D90" w14:textId="77777777" w:rsidR="003A0522" w:rsidRDefault="003A0522">
                          <w:pPr>
                            <w:spacing w:after="0"/>
                            <w:jc w:val="left"/>
                            <w:textDirection w:val="btLr"/>
                          </w:pPr>
                        </w:p>
                      </w:txbxContent>
                    </v:textbox>
                  </v:shape>
                  <v:oval id="Oval 19" o:spid="_x0000_s1051" style="position:absolute;left:9923;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" fillcolor="white [3201]" strokecolor="#599bd5" strokeweight="1pt">
                    <v:fill opacity="58853f"/>
                    <v:stroke startarrowwidth="narrow" startarrowlength="short" endarrowwidth="narrow" endarrowlength="short" joinstyle="miter"/>
                    <v:textbox inset="2.53958mm,2.53958mm,2.53958mm,2.53958mm">
                      <w:txbxContent>
                        <w:p w14:paraId="2837DAC9" w14:textId="77777777" w:rsidR="003A0522" w:rsidRDefault="003A0522">
                          <w:pPr>
                            <w:spacing w:after="0"/>
                            <w:jc w:val="left"/>
                            <w:textDirection w:val="btLr"/>
                          </w:pPr>
                        </w:p>
                      </w:txbxContent>
                    </v:textbox>
                  </v:oval>
                  <v:shape id="Text Box 20" o:spid="_x0000_s1052" type="#_x0000_t202" style="position:absolute;left:10954;top:4212;width:5138;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" filled="f" stroked="f">
                    <v:textbox inset=".24653mm,.24653mm,.24653mm,.24653mm">
                      <w:txbxContent>
                        <w:p w14:paraId="07EE8D0B" w14:textId="77777777" w:rsidR="003A0522" w:rsidRDefault="003A0522">
                          <w:pPr>
                            <w:spacing w:after="0" w:line="215" w:lineRule="auto"/>
                            <w:jc w:val="center"/>
                            <w:textDirection w:val="btLr"/>
                          </w:pPr>
                          <w:r>
                            <w:rPr>
                              <w:rFonts w:ascii="Calibri" w:eastAsia="Calibri" w:hAnsi="Calibri" w:cs="Calibri"/>
                              <w:color w:val="000000"/>
                              <w:sz w:val="14"/>
                            </w:rPr>
                            <w:t>CIGS &amp; “Creative South Africa” (1998)</w:t>
                          </w:r>
                        </w:p>
                      </w:txbxContent>
                    </v:textbox>
                  </v:shape>
                  <v:shape id="Teardrop 21" o:spid="_x0000_s1053" style="position:absolute;left:1703;top:2925;width:7710;height:7711;rotation:45;visibility:visible;mso-wrap-style:square;v-text-anchor:middle" coordsize="771022,7710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" adj="-11796480,,5400" path="m,385511c,172599,172599,,385511,l771022,r,385511c771022,598423,598423,771022,385511,771022,172599,771022,,598423,,385511xe" fillcolor="#599bd5" strokecolor="white [3201]" strokeweight="1pt">
                    <v:stroke startarrowwidth="narrow" startarrowlength="short" endarrowwidth="narrow" endarrowlength="short" joinstyle="miter"/>
                    <v:formulas/>
                    <v:path arrowok="t" o:connecttype="custom" o:connectlocs="0,385511;385511,0;771022,0;771022,385511;385511,771022;0,385511" o:connectangles="0,0,0,0,0,0" textboxrect="0,0,771022,771022"/>
                    <v:textbox inset="2.53958mm,2.53958mm,2.53958mm,2.53958mm">
                      <w:txbxContent>
                        <w:p w14:paraId="7527F572" w14:textId="77777777" w:rsidR="003A0522" w:rsidRDefault="003A0522">
                          <w:pPr>
                            <w:spacing w:after="0"/>
                            <w:jc w:val="left"/>
                            <w:textDirection w:val="btLr"/>
                          </w:pPr>
                        </w:p>
                      </w:txbxContent>
                    </v:textbox>
                  </v:shape>
                  <v:oval id="Oval 22" o:spid="_x0000_s1054" style="position:absolute;left:1960;top:3184;width:7194;height:71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" fillcolor="white [3201]" strokecolor="#599bd5" strokeweight="1pt">
                    <v:fill opacity="58853f"/>
                    <v:stroke startarrowwidth="narrow" startarrowlength="short" endarrowwidth="narrow" endarrowlength="short" joinstyle="miter"/>
                    <v:textbox inset="2.53958mm,2.53958mm,2.53958mm,2.53958mm">
                      <w:txbxContent>
                        <w:p w14:paraId="44BEA4B0" w14:textId="77777777" w:rsidR="003A0522" w:rsidRDefault="003A0522">
                          <w:pPr>
                            <w:spacing w:after="0"/>
                            <w:jc w:val="left"/>
                            <w:textDirection w:val="btLr"/>
                          </w:pPr>
                        </w:p>
                      </w:txbxContent>
                    </v:textbox>
                  </v:oval>
                  <v:shape id="Text Box 23" o:spid="_x0000_s1055" type="#_x0000_t202" style="position:absolute;left:2986;top:4212;width:5137;height:5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" filled="f" stroked="f">
                    <v:textbox inset=".24653mm,.24653mm,.24653mm,.24653mm">
                      <w:txbxContent>
                        <w:p w14:paraId="48F2EAE5" w14:textId="77777777" w:rsidR="003A0522" w:rsidRDefault="003A0522">
                          <w:pPr>
                            <w:spacing w:after="0" w:line="215" w:lineRule="auto"/>
                            <w:jc w:val="center"/>
                            <w:textDirection w:val="btLr"/>
                          </w:pPr>
                          <w:r>
                            <w:rPr>
                              <w:rFonts w:ascii="Calibri" w:eastAsia="Calibri" w:hAnsi="Calibri" w:cs="Calibri"/>
                              <w:color w:val="000000"/>
                              <w:sz w:val="14"/>
                            </w:rPr>
                            <w:t>White Paper on ACH (1996)</w:t>
                          </w:r>
                        </w:p>
                      </w:txbxContent>
                    </v:textbox>
                  </v:shape>
                </v:group>
                <w10:anchorlock/>
              </v:group>
            </w:pict>
          </mc:Fallback>
        </mc:AlternateContent>
      </w:r>
    </w:p>
    <w:p w14:paraId="0000006B" w14:textId="77777777" w:rsidR="0039297D" w:rsidRDefault="004273CA">
      <w:pPr>
        <w:ind w:left="360"/>
      </w:pPr>
      <w:r>
        <w:rPr>
          <w:noProof/>
          <w:lang w:val="en-ZA"/>
        </w:rPr>
        <mc:AlternateContent>
          <mc:Choice Requires="wps">
            <w:drawing>
              <wp:anchor distT="0" distB="0" distL="114300" distR="114300" simplePos="0" relativeHeight="251665408" behindDoc="0" locked="0" layoutInCell="1" hidden="0" allowOverlap="1" wp14:anchorId="5DF9147A" wp14:editId="37937BAA">
                <wp:simplePos x="0" y="0"/>
                <wp:positionH relativeFrom="column">
                  <wp:posOffset>127000</wp:posOffset>
                </wp:positionH>
                <wp:positionV relativeFrom="paragraph">
                  <wp:posOffset>25400</wp:posOffset>
                </wp:positionV>
                <wp:extent cx="965679" cy="573197"/>
                <wp:effectExtent l="0" t="0" r="0" b="0"/>
                <wp:wrapNone/>
                <wp:docPr id="63" name="Rectangle 63"/>
                <wp:cNvGraphicFramePr/>
                <a:graphic xmlns:a="http://schemas.openxmlformats.org/drawingml/2006/main">
                  <a:graphicData uri="http://schemas.microsoft.com/office/word/2010/wordprocessingShape">
                    <wps:wsp>
                      <wps:cNvSpPr/>
                      <wps:spPr>
                        <a:xfrm>
                          <a:off x="4867923" y="3498164"/>
                          <a:ext cx="956154" cy="563672"/>
                        </a:xfrm>
                        <a:prstGeom prst="rect">
                          <a:avLst/>
                        </a:prstGeom>
                        <a:solidFill>
                          <a:schemeClr val="lt1"/>
                        </a:solidFill>
                        <a:ln w="9525" cap="flat" cmpd="sng">
                          <a:solidFill>
                            <a:srgbClr val="000000"/>
                          </a:solidFill>
                          <a:prstDash val="solid"/>
                          <a:round/>
                          <a:headEnd type="none" w="sm" len="sm"/>
                          <a:tailEnd type="none" w="sm" len="sm"/>
                        </a:ln>
                      </wps:spPr>
                      <wps:txbx>
                        <w:txbxContent>
                          <w:p w14:paraId="48851855" w14:textId="77777777" w:rsidR="003A0522" w:rsidRDefault="003A0522">
                            <w:pPr>
                              <w:jc w:val="left"/>
                              <w:textDirection w:val="btLr"/>
                            </w:pPr>
                            <w:r>
                              <w:rPr>
                                <w:color w:val="000000"/>
                                <w:sz w:val="16"/>
                              </w:rPr>
                              <w:t>Focus on intrinsic and social cultural values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DF9147A" id="Rectangle 63" o:spid="_x0000_s1056" style="position:absolute;left:0;text-align:left;margin-left:10pt;margin-top:2pt;width:76.05pt;height:45.1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" fillcolor="white [3201]">
                <v:stroke startarrowwidth="narrow" startarrowlength="short" endarrowwidth="narrow" endarrowlength="short" joinstyle="round"/>
                <v:textbox inset="2.53958mm,1.2694mm,2.53958mm,1.2694mm">
                  <w:txbxContent>
                    <w:p w14:paraId="48851855" w14:textId="77777777" w:rsidR="003A0522" w:rsidRDefault="003A0522">
                      <w:pPr>
                        <w:jc w:val="left"/>
                        <w:textDirection w:val="btLr"/>
                      </w:pPr>
                      <w:r>
                        <w:rPr>
                          <w:color w:val="000000"/>
                          <w:sz w:val="16"/>
                        </w:rPr>
                        <w:t>Focus on intrinsic and social cultural values</w:t>
                      </w:r>
                    </w:p>
                  </w:txbxContent>
                </v:textbox>
              </v:rect>
            </w:pict>
          </mc:Fallback>
        </mc:AlternateContent>
      </w:r>
      <w:r>
        <w:rPr>
          <w:noProof/>
          <w:lang w:val="en-ZA"/>
        </w:rPr>
        <mc:AlternateContent>
          <mc:Choice Requires="wps">
            <w:drawing>
              <wp:anchor distT="0" distB="0" distL="114300" distR="114300" simplePos="0" relativeHeight="251666432" behindDoc="0" locked="0" layoutInCell="1" hidden="0" allowOverlap="1" wp14:anchorId="2FFBFF73" wp14:editId="7183BEAF">
                <wp:simplePos x="0" y="0"/>
                <wp:positionH relativeFrom="column">
                  <wp:posOffset>1320800</wp:posOffset>
                </wp:positionH>
                <wp:positionV relativeFrom="paragraph">
                  <wp:posOffset>38100</wp:posOffset>
                </wp:positionV>
                <wp:extent cx="2038741" cy="410358"/>
                <wp:effectExtent l="0" t="0" r="0" b="0"/>
                <wp:wrapNone/>
                <wp:docPr id="71" name="Rectangle 71"/>
                <wp:cNvGraphicFramePr/>
                <a:graphic xmlns:a="http://schemas.openxmlformats.org/drawingml/2006/main">
                  <a:graphicData uri="http://schemas.microsoft.com/office/word/2010/wordprocessingShape">
                    <wps:wsp>
                      <wps:cNvSpPr/>
                      <wps:spPr>
                        <a:xfrm>
                          <a:off x="4331392" y="3579584"/>
                          <a:ext cx="2029216" cy="400833"/>
                        </a:xfrm>
                        <a:prstGeom prst="rect">
                          <a:avLst/>
                        </a:prstGeom>
                        <a:solidFill>
                          <a:schemeClr val="lt1"/>
                        </a:solidFill>
                        <a:ln w="9525" cap="flat" cmpd="sng">
                          <a:solidFill>
                            <a:srgbClr val="000000"/>
                          </a:solidFill>
                          <a:prstDash val="solid"/>
                          <a:round/>
                          <a:headEnd type="none" w="sm" len="sm"/>
                          <a:tailEnd type="none" w="sm" len="sm"/>
                        </a:ln>
                      </wps:spPr>
                      <wps:txbx>
                        <w:txbxContent>
                          <w:p w14:paraId="3D43A426" w14:textId="0214250E" w:rsidR="003A0522" w:rsidRDefault="003A0522">
                            <w:pPr>
                              <w:jc w:val="left"/>
                              <w:textDirection w:val="btLr"/>
                            </w:pPr>
                            <w:r>
                              <w:rPr>
                                <w:color w:val="000000"/>
                                <w:sz w:val="16"/>
                              </w:rPr>
                              <w:t>The start of a shift towards including economic values</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FFBFF73" id="Rectangle 71" o:spid="_x0000_s1057" style="position:absolute;left:0;text-align:left;margin-left:104pt;margin-top:3pt;width:160.55pt;height:32.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" fillcolor="white [3201]">
                <v:stroke startarrowwidth="narrow" startarrowlength="short" endarrowwidth="narrow" endarrowlength="short" joinstyle="round"/>
                <v:textbox inset="2.53958mm,1.2694mm,2.53958mm,1.2694mm">
                  <w:txbxContent>
                    <w:p w14:paraId="3D43A426" w14:textId="0214250E" w:rsidR="003A0522" w:rsidRDefault="003A0522">
                      <w:pPr>
                        <w:jc w:val="left"/>
                        <w:textDirection w:val="btLr"/>
                      </w:pPr>
                      <w:r>
                        <w:rPr>
                          <w:color w:val="000000"/>
                          <w:sz w:val="16"/>
                        </w:rPr>
                        <w:t>The start of a shift towards including economic values</w:t>
                      </w:r>
                    </w:p>
                  </w:txbxContent>
                </v:textbox>
              </v:rect>
            </w:pict>
          </mc:Fallback>
        </mc:AlternateContent>
      </w:r>
      <w:r>
        <w:rPr>
          <w:noProof/>
          <w:lang w:val="en-ZA"/>
        </w:rPr>
        <mc:AlternateContent>
          <mc:Choice Requires="wps">
            <w:drawing>
              <wp:anchor distT="0" distB="0" distL="114300" distR="114300" simplePos="0" relativeHeight="251667456" behindDoc="0" locked="0" layoutInCell="1" hidden="0" allowOverlap="1" wp14:anchorId="66372C98" wp14:editId="6DB6A825">
                <wp:simplePos x="0" y="0"/>
                <wp:positionH relativeFrom="column">
                  <wp:posOffset>3746500</wp:posOffset>
                </wp:positionH>
                <wp:positionV relativeFrom="paragraph">
                  <wp:posOffset>38100</wp:posOffset>
                </wp:positionV>
                <wp:extent cx="2218281" cy="385305"/>
                <wp:effectExtent l="0" t="0" r="0" b="0"/>
                <wp:wrapNone/>
                <wp:docPr id="66" name="Rectangle 66"/>
                <wp:cNvGraphicFramePr/>
                <a:graphic xmlns:a="http://schemas.openxmlformats.org/drawingml/2006/main">
                  <a:graphicData uri="http://schemas.microsoft.com/office/word/2010/wordprocessingShape">
                    <wps:wsp>
                      <wps:cNvSpPr/>
                      <wps:spPr>
                        <a:xfrm>
                          <a:off x="4241622" y="3592110"/>
                          <a:ext cx="2208756" cy="375780"/>
                        </a:xfrm>
                        <a:prstGeom prst="rect">
                          <a:avLst/>
                        </a:prstGeom>
                        <a:solidFill>
                          <a:schemeClr val="lt1"/>
                        </a:solidFill>
                        <a:ln w="9525" cap="flat" cmpd="sng">
                          <a:solidFill>
                            <a:srgbClr val="000000"/>
                          </a:solidFill>
                          <a:prstDash val="solid"/>
                          <a:round/>
                          <a:headEnd type="none" w="sm" len="sm"/>
                          <a:tailEnd type="none" w="sm" len="sm"/>
                        </a:ln>
                      </wps:spPr>
                      <wps:txbx>
                        <w:txbxContent>
                          <w:p w14:paraId="1AF2BD5F" w14:textId="77777777" w:rsidR="003A0522" w:rsidRDefault="003A0522">
                            <w:pPr>
                              <w:jc w:val="left"/>
                              <w:textDirection w:val="btLr"/>
                            </w:pPr>
                            <w:r>
                              <w:rPr>
                                <w:color w:val="000000"/>
                                <w:sz w:val="16"/>
                              </w:rPr>
                              <w:t>Cultural and creative industries discourse in South African cultural policy</w:t>
                            </w:r>
                          </w:p>
                        </w:txbxContent>
                      </wps:txbx>
                      <wps:bodyPr spcFirstLastPara="1" wrap="square" lIns="91425" tIns="45700" rIns="91425" bIns="45700" anchor="t" anchorCtr="0">
                        <a:noAutofit/>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372C98" id="Rectangle 66" o:spid="_x0000_s1058" style="position:absolute;left:0;text-align:left;margin-left:295pt;margin-top:3pt;width:174.65pt;height:30.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" fillcolor="white [3201]">
                <v:stroke startarrowwidth="narrow" startarrowlength="short" endarrowwidth="narrow" endarrowlength="short" joinstyle="round"/>
                <v:textbox inset="2.53958mm,1.2694mm,2.53958mm,1.2694mm">
                  <w:txbxContent>
                    <w:p w14:paraId="1AF2BD5F" w14:textId="77777777" w:rsidR="003A0522" w:rsidRDefault="003A0522">
                      <w:pPr>
                        <w:jc w:val="left"/>
                        <w:textDirection w:val="btLr"/>
                      </w:pPr>
                      <w:r>
                        <w:rPr>
                          <w:color w:val="000000"/>
                          <w:sz w:val="16"/>
                        </w:rPr>
                        <w:t>Cultural and creative industries discourse in South African cultural policy</w:t>
                      </w:r>
                    </w:p>
                  </w:txbxContent>
                </v:textbox>
              </v:rect>
            </w:pict>
          </mc:Fallback>
        </mc:AlternateContent>
      </w:r>
    </w:p>
    <w:p w14:paraId="0000006C" w14:textId="77777777" w:rsidR="0039297D" w:rsidRDefault="0039297D">
      <w:pPr>
        <w:pBdr>
          <w:top w:val="nil"/>
          <w:left w:val="nil"/>
          <w:bottom w:val="nil"/>
          <w:right w:val="nil"/>
          <w:between w:val="nil"/>
        </w:pBdr>
        <w:spacing w:after="280"/>
        <w:ind w:left="360"/>
        <w:rPr>
          <w:color w:val="000000"/>
          <w:sz w:val="22"/>
          <w:szCs w:val="22"/>
        </w:rPr>
      </w:pPr>
    </w:p>
    <w:p w14:paraId="0000006D" w14:textId="77777777" w:rsidR="0039297D" w:rsidRDefault="0039297D"/>
    <w:p w14:paraId="0000006E" w14:textId="7D5FBD70" w:rsidR="0039297D" w:rsidRPr="000F15C3" w:rsidRDefault="004273CA">
      <w:pPr>
        <w:pBdr>
          <w:top w:val="nil"/>
          <w:left w:val="nil"/>
          <w:bottom w:val="nil"/>
          <w:right w:val="nil"/>
          <w:between w:val="nil"/>
        </w:pBdr>
        <w:spacing w:after="200"/>
        <w:rPr>
          <w:i/>
          <w:color w:val="44546A"/>
        </w:rPr>
      </w:pPr>
      <w:bookmarkStart w:id="15" w:name="_heading=h.3rdcrjn" w:colFirst="0" w:colLast="0"/>
      <w:bookmarkEnd w:id="15"/>
      <w:r w:rsidRPr="000F15C3">
        <w:rPr>
          <w:i/>
          <w:color w:val="44546A"/>
        </w:rPr>
        <w:t>Figure 2</w:t>
      </w:r>
      <w:r w:rsidR="00252731" w:rsidRPr="000F15C3">
        <w:rPr>
          <w:i/>
          <w:color w:val="44546A"/>
        </w:rPr>
        <w:t>:</w:t>
      </w:r>
      <w:r w:rsidRPr="000F15C3">
        <w:rPr>
          <w:i/>
          <w:color w:val="44546A"/>
        </w:rPr>
        <w:t xml:space="preserve"> South African cultural policy development post-apartheid to the present</w:t>
      </w:r>
    </w:p>
    <w:p w14:paraId="0000006F" w14:textId="705E137D" w:rsidR="0039297D" w:rsidRDefault="004273CA" w:rsidP="000F15C3">
      <w:pPr>
        <w:spacing w:line="259" w:lineRule="auto"/>
        <w:rPr>
          <w:sz w:val="22"/>
          <w:szCs w:val="22"/>
        </w:rPr>
      </w:pPr>
      <w:r>
        <w:rPr>
          <w:sz w:val="22"/>
          <w:szCs w:val="22"/>
        </w:rPr>
        <w:lastRenderedPageBreak/>
        <w:t xml:space="preserve">The post-apartheid period saw the introduction of the document governing cultural policy: the 1996 White Paper on Arts, Culture and Heritage. </w:t>
      </w:r>
      <w:r w:rsidR="00FF2282">
        <w:rPr>
          <w:sz w:val="22"/>
          <w:szCs w:val="22"/>
        </w:rPr>
        <w:t>This</w:t>
      </w:r>
      <w:r>
        <w:rPr>
          <w:sz w:val="22"/>
          <w:szCs w:val="22"/>
        </w:rPr>
        <w:t xml:space="preserve"> White Paper was primarily concerned with redress and inclusion of previously disadvantaged Black, Coloured and Indian people, who were discriminated against under apartheid. </w:t>
      </w:r>
      <w:r w:rsidR="00FF2282">
        <w:rPr>
          <w:sz w:val="22"/>
          <w:szCs w:val="22"/>
        </w:rPr>
        <w:t>It</w:t>
      </w:r>
      <w:r>
        <w:rPr>
          <w:sz w:val="22"/>
          <w:szCs w:val="22"/>
        </w:rPr>
        <w:t xml:space="preserve"> emphasised the role of culture in “national reconciliation, as well as building a sense of pride in our diverse cultural heritage” (1996:</w:t>
      </w:r>
      <w:r w:rsidR="00FF2282">
        <w:rPr>
          <w:sz w:val="22"/>
          <w:szCs w:val="22"/>
        </w:rPr>
        <w:t xml:space="preserve"> </w:t>
      </w:r>
      <w:r>
        <w:rPr>
          <w:sz w:val="22"/>
          <w:szCs w:val="22"/>
        </w:rPr>
        <w:t xml:space="preserve">27). </w:t>
      </w:r>
    </w:p>
    <w:p w14:paraId="00000070" w14:textId="641E89E2" w:rsidR="0039297D" w:rsidRDefault="004273CA" w:rsidP="000F15C3">
      <w:pPr>
        <w:spacing w:line="259" w:lineRule="auto"/>
        <w:rPr>
          <w:sz w:val="22"/>
          <w:szCs w:val="22"/>
        </w:rPr>
      </w:pPr>
      <w:r>
        <w:rPr>
          <w:sz w:val="22"/>
          <w:szCs w:val="22"/>
        </w:rPr>
        <w:t xml:space="preserve">The White Paper (1996) established arms-length funding agencies, </w:t>
      </w:r>
      <w:r w:rsidR="00FF2282">
        <w:rPr>
          <w:sz w:val="22"/>
          <w:szCs w:val="22"/>
        </w:rPr>
        <w:t xml:space="preserve">such as </w:t>
      </w:r>
      <w:r>
        <w:rPr>
          <w:sz w:val="22"/>
          <w:szCs w:val="22"/>
        </w:rPr>
        <w:t xml:space="preserve">the National Arts Council (NAC), which have representative boards and programme specialists, to fund a much wider range of more diverse arts, culture, and heritage. The importance of cultural and linguistic diversity, and especially the empowerment of black South Africans post-apartheid through the preservation of South African heritage, was also a focus. There was a strong commitment to developing literature in previously marginalised African languages, and to expanding public infrastructure, such as libraries, and community arts centres, to township communities. The potential of the sector to create jobs and stimulate growth was acknowledged, but was given much less importance than the intrinsic and social values of culture. The focus was on justice, equitable and inclusive access, social cohesion and identity. </w:t>
      </w:r>
    </w:p>
    <w:p w14:paraId="00000071" w14:textId="5696CEA9" w:rsidR="0039297D" w:rsidRDefault="004273CA" w:rsidP="000F15C3">
      <w:pPr>
        <w:spacing w:line="259" w:lineRule="auto"/>
        <w:rPr>
          <w:sz w:val="22"/>
          <w:szCs w:val="22"/>
        </w:rPr>
      </w:pPr>
      <w:r>
        <w:rPr>
          <w:sz w:val="22"/>
          <w:szCs w:val="22"/>
        </w:rPr>
        <w:t xml:space="preserve">From 1998 onwards the idea of the cultural industries </w:t>
      </w:r>
      <w:sdt>
        <w:sdtPr>
          <w:tag w:val="goog_rdk_1"/>
          <w:id w:val="-626086990"/>
        </w:sdtPr>
        <w:sdtEndPr/>
        <w:sdtContent/>
      </w:sdt>
      <w:r>
        <w:rPr>
          <w:sz w:val="22"/>
          <w:szCs w:val="22"/>
        </w:rPr>
        <w:t>beg</w:t>
      </w:r>
      <w:r w:rsidR="00DE1208">
        <w:rPr>
          <w:sz w:val="22"/>
          <w:szCs w:val="22"/>
        </w:rPr>
        <w:t>an</w:t>
      </w:r>
      <w:r>
        <w:rPr>
          <w:sz w:val="22"/>
          <w:szCs w:val="22"/>
        </w:rPr>
        <w:t xml:space="preserve"> to emerge. One of the earliest official appearances can be found in the “Cultural Industries Growth Strategy” (CIGS), which led to “Creative South Africa: A strategy for realizing the potential of the cultural industries”, published in 1998. Sub-national governments recognised the importance of the sector</w:t>
      </w:r>
      <w:r w:rsidR="00FF2282">
        <w:rPr>
          <w:sz w:val="22"/>
          <w:szCs w:val="22"/>
        </w:rPr>
        <w:t>,</w:t>
      </w:r>
      <w:r>
        <w:rPr>
          <w:sz w:val="22"/>
          <w:szCs w:val="22"/>
        </w:rPr>
        <w:t xml:space="preserve"> and ten years later, the Gauteng province’s “Creative Industries Development Framework” (Culture and Jobs (CAJ), 2008), closely followed by two influential provincial mapping studies for Gauteng and the Western Cape, were published. They broadened the definition of the cultural industries to include more commercial sectors such as advertising and architecture, with the defining characteristic being creativity, rather than symbolic cultural meanings. </w:t>
      </w:r>
    </w:p>
    <w:p w14:paraId="00000072" w14:textId="54A90C4F" w:rsidR="0039297D" w:rsidRDefault="004273CA" w:rsidP="000F15C3">
      <w:pPr>
        <w:spacing w:line="259" w:lineRule="auto"/>
        <w:rPr>
          <w:sz w:val="22"/>
          <w:szCs w:val="22"/>
        </w:rPr>
      </w:pPr>
      <w:r>
        <w:rPr>
          <w:sz w:val="22"/>
          <w:szCs w:val="22"/>
        </w:rPr>
        <w:t>Creative Industries in South Africa (</w:t>
      </w:r>
      <w:r w:rsidR="007A1320">
        <w:rPr>
          <w:sz w:val="22"/>
          <w:szCs w:val="22"/>
        </w:rPr>
        <w:t xml:space="preserve">CAJ, </w:t>
      </w:r>
      <w:r>
        <w:rPr>
          <w:sz w:val="22"/>
          <w:szCs w:val="22"/>
        </w:rPr>
        <w:t>2008) focused directly on the link between the cultural sector, GDP growth and jobs. The report included a specific discussion of what the terms ‘cultural industry’, ‘cultural sector’ and ‘creative industry’ mean, and how they could be measured using Standard Industrial Classification (SIC) codes used to track the flows of goods and services at a national level. The definition of the ‘creative economy’ was broadened to include all sectors that produce goods and services protected by copyright.</w:t>
      </w:r>
    </w:p>
    <w:p w14:paraId="00000073" w14:textId="029C9D77" w:rsidR="0039297D" w:rsidRDefault="004273CA" w:rsidP="000F15C3">
      <w:pPr>
        <w:spacing w:line="259" w:lineRule="auto"/>
        <w:rPr>
          <w:sz w:val="22"/>
          <w:szCs w:val="22"/>
        </w:rPr>
      </w:pPr>
      <w:r>
        <w:rPr>
          <w:sz w:val="22"/>
          <w:szCs w:val="22"/>
        </w:rPr>
        <w:t>While the South African economy seemed to recover fairly quickly from the financial crisis of 2008/9, it marked the end of one of the longest business cycle upswings the South African economy has ever experienced. The recession was short-lived, but economic growth slowed dramatically, and has not yet recovered to the pre</w:t>
      </w:r>
      <w:r w:rsidR="00AE6355">
        <w:rPr>
          <w:sz w:val="22"/>
          <w:szCs w:val="22"/>
        </w:rPr>
        <w:t>-</w:t>
      </w:r>
      <w:r>
        <w:rPr>
          <w:sz w:val="22"/>
          <w:szCs w:val="22"/>
        </w:rPr>
        <w:t xml:space="preserve">2008 levels. National policy focus thus shifted to a strong focus on economic growth and job creation. </w:t>
      </w:r>
    </w:p>
    <w:p w14:paraId="00000074" w14:textId="77777777" w:rsidR="0039297D" w:rsidRDefault="004273CA" w:rsidP="000F15C3">
      <w:pPr>
        <w:spacing w:line="259" w:lineRule="auto"/>
        <w:rPr>
          <w:sz w:val="22"/>
          <w:szCs w:val="22"/>
        </w:rPr>
      </w:pPr>
      <w:r>
        <w:rPr>
          <w:sz w:val="22"/>
          <w:szCs w:val="22"/>
        </w:rPr>
        <w:t xml:space="preserve">Coming out of the 2011 National Consultative Summit, the Mzansi’s Golden Economy (MGE) programme was established in 2012 and positioned the Department of Arts and Culture as a contributor to the National Development Plan (NDP), which aims to create 11 million new jobs by 2030 (DAC, 2014). The MGE programme focuses on funding large-scale projects in the CCIs that could contribute to the creation of sustainable employment and economic growth and “reinforce the Arts, Culture and Heritage (ACH) Sector as an economic growth sector”. </w:t>
      </w:r>
    </w:p>
    <w:p w14:paraId="00000075" w14:textId="3969EB30" w:rsidR="0039297D" w:rsidRDefault="004273CA" w:rsidP="000F15C3">
      <w:pPr>
        <w:spacing w:line="259" w:lineRule="auto"/>
        <w:rPr>
          <w:sz w:val="22"/>
          <w:szCs w:val="22"/>
        </w:rPr>
      </w:pPr>
      <w:r>
        <w:rPr>
          <w:sz w:val="22"/>
          <w:szCs w:val="22"/>
        </w:rPr>
        <w:t>The 2013 Revised White Paper showed a dramatic swing in policy focus towards the CCIs, with a strong focus on the economic values associated with culture. The preamble to the 2013 White Paper described the 1996 version as “outdated and out-of-sync with the present political and sector approach to developing the Cultural and Creative Industries and increasing its contribution to addressing the country’s triple challenges of unemployment, inequality and poverty” (White Paper, 2013:</w:t>
      </w:r>
      <w:r w:rsidR="00AE6355">
        <w:rPr>
          <w:sz w:val="22"/>
          <w:szCs w:val="22"/>
        </w:rPr>
        <w:t xml:space="preserve"> </w:t>
      </w:r>
      <w:r>
        <w:rPr>
          <w:sz w:val="22"/>
          <w:szCs w:val="22"/>
        </w:rPr>
        <w:t xml:space="preserve">6). Although the 2013 White Paper was not at all well received </w:t>
      </w:r>
      <w:r>
        <w:rPr>
          <w:sz w:val="22"/>
          <w:szCs w:val="22"/>
        </w:rPr>
        <w:lastRenderedPageBreak/>
        <w:t>by stakeholders, primarily because of its very strong focus on the economic value of the CCIs, and was eventually withdrawn, it marks the start of a phase in which the economic, as well as the intrinsic and social, values of the cultural sector were recognised.</w:t>
      </w:r>
      <w:r w:rsidR="007E16E4">
        <w:rPr>
          <w:sz w:val="22"/>
          <w:szCs w:val="22"/>
        </w:rPr>
        <w:t xml:space="preserve"> </w:t>
      </w:r>
    </w:p>
    <w:p w14:paraId="00000076" w14:textId="6C77225F" w:rsidR="0039297D" w:rsidRDefault="004273CA" w:rsidP="000F15C3">
      <w:pPr>
        <w:spacing w:line="259" w:lineRule="auto"/>
        <w:rPr>
          <w:sz w:val="22"/>
          <w:szCs w:val="22"/>
        </w:rPr>
      </w:pPr>
      <w:r>
        <w:rPr>
          <w:sz w:val="22"/>
          <w:szCs w:val="22"/>
        </w:rPr>
        <w:t>The Revised White Paper (2017) went through four drafts, and was approved by Cabinet in 2018 following a Socio-Economic Impact Assessment conducted by the South African Cultural Observatory</w:t>
      </w:r>
      <w:r w:rsidR="00AE6355">
        <w:rPr>
          <w:sz w:val="22"/>
          <w:szCs w:val="22"/>
        </w:rPr>
        <w:t xml:space="preserve"> (SACO)</w:t>
      </w:r>
      <w:r>
        <w:rPr>
          <w:sz w:val="22"/>
          <w:szCs w:val="22"/>
        </w:rPr>
        <w:t>. It attempts a more balanced approach to recognising both the non-market and economic values associated with arts, culture and heritage (discussed in the first part of the White Paper) and the CCIs (discussed from Chapter 5 onwards). As in other countries (Rindzeviciute et al.</w:t>
      </w:r>
      <w:r w:rsidR="000E0B16">
        <w:rPr>
          <w:sz w:val="22"/>
          <w:szCs w:val="22"/>
        </w:rPr>
        <w:t>,</w:t>
      </w:r>
      <w:r>
        <w:rPr>
          <w:sz w:val="22"/>
          <w:szCs w:val="22"/>
        </w:rPr>
        <w:t xml:space="preserve"> 2016), the transfer of the cultural industries policy discourse has resulted in much disagreement within the sector, but also offered opportunities to debate what the role and value of the arts in society should be, as well as a critical discussion of funding mechanisms, and (in terms of defining the CCIs) the scope of cultural policy.</w:t>
      </w:r>
    </w:p>
    <w:p w14:paraId="00000077" w14:textId="77777777" w:rsidR="0039297D" w:rsidRDefault="004273CA">
      <w:pPr>
        <w:pStyle w:val="Heading1"/>
      </w:pPr>
      <w:bookmarkStart w:id="16" w:name="_Toc90193701"/>
      <w:bookmarkStart w:id="17" w:name="_Toc90193722"/>
      <w:bookmarkStart w:id="18" w:name="_Toc90193749"/>
      <w:r>
        <w:t>Data and Research Methods</w:t>
      </w:r>
      <w:bookmarkEnd w:id="16"/>
      <w:bookmarkEnd w:id="17"/>
      <w:bookmarkEnd w:id="18"/>
    </w:p>
    <w:p w14:paraId="00000078" w14:textId="77777777" w:rsidR="0039297D" w:rsidRDefault="004273CA" w:rsidP="000F15C3">
      <w:pPr>
        <w:pStyle w:val="Heading2"/>
        <w:ind w:left="578" w:hanging="578"/>
      </w:pPr>
      <w:bookmarkStart w:id="19" w:name="_Toc90193702"/>
      <w:bookmarkStart w:id="20" w:name="_Toc90193723"/>
      <w:bookmarkStart w:id="21" w:name="_Toc90193750"/>
      <w:r>
        <w:t>GDP contribution and growth rates</w:t>
      </w:r>
      <w:bookmarkEnd w:id="19"/>
      <w:bookmarkEnd w:id="20"/>
      <w:bookmarkEnd w:id="21"/>
    </w:p>
    <w:p w14:paraId="00000079" w14:textId="73D8B258" w:rsidR="0039297D" w:rsidRDefault="004273CA" w:rsidP="000F15C3">
      <w:pPr>
        <w:spacing w:line="259" w:lineRule="auto"/>
        <w:rPr>
          <w:sz w:val="22"/>
          <w:szCs w:val="22"/>
        </w:rPr>
      </w:pPr>
      <w:r>
        <w:rPr>
          <w:sz w:val="22"/>
          <w:szCs w:val="22"/>
        </w:rPr>
        <w:t xml:space="preserve">The UNESCO Framework for Cultural Statistics (2009) methodologies and classifications are used as far as they are available. UNESCO uses ISIC 4 while South African data is only available in the Standard Industrial Classification (SIC) of all Economic Activities Fifth Edition (Stats SA, 1993). By identifying the activities within the SIC framework that constitute arts and cultural activities and using the corresponding figures for these activities from these datasets, the economic characteristics of the creative economy and its direct macroeconomic impacts on the economy at a national level have been estimated. This set of activities defines the scope of the study in terms of the economic activities included in the definition of the cultural and creative industries </w:t>
      </w:r>
      <w:r w:rsidR="00331A96">
        <w:rPr>
          <w:sz w:val="22"/>
          <w:szCs w:val="22"/>
        </w:rPr>
        <w:t xml:space="preserve">which </w:t>
      </w:r>
      <w:r>
        <w:rPr>
          <w:sz w:val="22"/>
          <w:szCs w:val="22"/>
        </w:rPr>
        <w:t>cover seven main cultural domains: Cultural and Natural Heritage, Performance and Celebration, Visual Arts and Crafts, Books and Press, Audio-visual and Interactive Media, Design and Creative Services</w:t>
      </w:r>
      <w:r w:rsidR="000E0B16">
        <w:rPr>
          <w:sz w:val="22"/>
          <w:szCs w:val="22"/>
        </w:rPr>
        <w:t>,</w:t>
      </w:r>
      <w:r>
        <w:rPr>
          <w:sz w:val="22"/>
          <w:szCs w:val="22"/>
        </w:rPr>
        <w:t xml:space="preserve"> and Cultural Education.</w:t>
      </w:r>
    </w:p>
    <w:p w14:paraId="0000007A" w14:textId="14CBE12A" w:rsidR="0039297D" w:rsidRDefault="004273CA" w:rsidP="000F15C3">
      <w:pPr>
        <w:spacing w:line="259" w:lineRule="auto"/>
        <w:rPr>
          <w:sz w:val="22"/>
          <w:szCs w:val="22"/>
        </w:rPr>
      </w:pPr>
      <w:r>
        <w:rPr>
          <w:sz w:val="22"/>
          <w:szCs w:val="22"/>
        </w:rPr>
        <w:t>The sources of the data used include Quantec, Statistics South Africa (Stats SA) and the South African Reserve Bank (SARB). Economic indicators including revenues, costs of production and value</w:t>
      </w:r>
      <w:r>
        <w:rPr>
          <w:rFonts w:ascii="Cambria Math" w:eastAsia="Cambria Math" w:hAnsi="Cambria Math" w:cs="Cambria Math"/>
          <w:sz w:val="22"/>
          <w:szCs w:val="22"/>
        </w:rPr>
        <w:t>‐</w:t>
      </w:r>
      <w:r>
        <w:rPr>
          <w:sz w:val="22"/>
          <w:szCs w:val="22"/>
        </w:rPr>
        <w:t>added are provided for a number of disaggregated industries. These are broken down according to the SIC framework that gives the underlying data collection framework for much of the economic data produced by Stats SA in the 2019 Annual Financial Statistics (AFS) report (Statistical Release P0021).</w:t>
      </w:r>
    </w:p>
    <w:p w14:paraId="0000007B" w14:textId="7EDF1FD5" w:rsidR="0039297D" w:rsidRDefault="004273CA" w:rsidP="000F15C3">
      <w:pPr>
        <w:spacing w:line="259" w:lineRule="auto"/>
        <w:rPr>
          <w:sz w:val="22"/>
          <w:szCs w:val="22"/>
        </w:rPr>
      </w:pPr>
      <w:r>
        <w:rPr>
          <w:sz w:val="22"/>
          <w:szCs w:val="22"/>
        </w:rPr>
        <w:t>A CCI Social Accounting Matrix (SAM) and the CCI Input Output (CCI I-O) model was developed to ensure both internal consistency and alignment with official data provided by both Stats SA and SARB. This is a process that is consistent with international best</w:t>
      </w:r>
      <w:r w:rsidR="00331A96">
        <w:rPr>
          <w:sz w:val="22"/>
          <w:szCs w:val="22"/>
        </w:rPr>
        <w:t xml:space="preserve"> </w:t>
      </w:r>
      <w:r>
        <w:rPr>
          <w:sz w:val="22"/>
          <w:szCs w:val="22"/>
        </w:rPr>
        <w:t>practice. The macroeconomic impact assessment undertaken in this study, which is based on the Cultural and Creative Industries as they exist today, has also been benchmarked against similar international and local studies. In other words, this type of assessment takes the existing economic landscape as a given and measures the impacts of the industry under investigation, in this case, the Arts and Culture Industry</w:t>
      </w:r>
      <w:r w:rsidR="00331A96">
        <w:rPr>
          <w:sz w:val="22"/>
          <w:szCs w:val="22"/>
        </w:rPr>
        <w:t>,</w:t>
      </w:r>
      <w:r>
        <w:rPr>
          <w:sz w:val="22"/>
          <w:szCs w:val="22"/>
        </w:rPr>
        <w:t xml:space="preserve"> on that basis. </w:t>
      </w:r>
    </w:p>
    <w:p w14:paraId="0000007C" w14:textId="50D51B66" w:rsidR="0039297D" w:rsidRDefault="004273CA" w:rsidP="000F15C3">
      <w:pPr>
        <w:spacing w:line="259" w:lineRule="auto"/>
        <w:rPr>
          <w:sz w:val="22"/>
          <w:szCs w:val="22"/>
        </w:rPr>
      </w:pPr>
      <w:r>
        <w:rPr>
          <w:sz w:val="22"/>
          <w:szCs w:val="22"/>
        </w:rPr>
        <w:t xml:space="preserve">The CCIs were disaggregated into sets of product and industry components (SIC sectors or sub-sectors) defined under the SIC system (Stats SA, 1993). This allowed the </w:t>
      </w:r>
      <w:sdt>
        <w:sdtPr>
          <w:tag w:val="goog_rdk_2"/>
          <w:id w:val="-1555846762"/>
        </w:sdtPr>
        <w:sdtEndPr/>
        <w:sdtContent/>
      </w:sdt>
      <w:r>
        <w:rPr>
          <w:sz w:val="22"/>
          <w:szCs w:val="22"/>
        </w:rPr>
        <w:t xml:space="preserve">capture </w:t>
      </w:r>
      <w:r w:rsidR="00DE1208">
        <w:rPr>
          <w:sz w:val="22"/>
          <w:szCs w:val="22"/>
        </w:rPr>
        <w:t xml:space="preserve">of </w:t>
      </w:r>
      <w:r>
        <w:rPr>
          <w:sz w:val="22"/>
          <w:szCs w:val="22"/>
        </w:rPr>
        <w:t>the relevant CCI components after examination at the most disaggregated levels possible with the official data available. The disaggregated components were then reaggregated according to the UNESCO Domains.</w:t>
      </w:r>
    </w:p>
    <w:p w14:paraId="0000007D" w14:textId="469D7258" w:rsidR="0039297D" w:rsidRDefault="004273CA" w:rsidP="000F15C3">
      <w:pPr>
        <w:spacing w:line="259" w:lineRule="auto"/>
        <w:rPr>
          <w:sz w:val="22"/>
          <w:szCs w:val="22"/>
        </w:rPr>
      </w:pPr>
      <w:r>
        <w:rPr>
          <w:sz w:val="22"/>
          <w:szCs w:val="22"/>
        </w:rPr>
        <w:lastRenderedPageBreak/>
        <w:t>Using both Stats SA and Quantec data, as well as SARB data, it is possible to estimate the Gross Value Added (GVA) (at both factor prices and basic prices) and the Gross Domestic Product (GDP)</w:t>
      </w:r>
      <w:r w:rsidR="00331A96">
        <w:rPr>
          <w:sz w:val="22"/>
          <w:szCs w:val="22"/>
        </w:rPr>
        <w:t xml:space="preserve"> </w:t>
      </w:r>
      <w:r>
        <w:rPr>
          <w:sz w:val="22"/>
          <w:szCs w:val="22"/>
        </w:rPr>
        <w:t xml:space="preserve">(at market prices) as far back as 1993. </w:t>
      </w:r>
    </w:p>
    <w:p w14:paraId="0000007E" w14:textId="7980C27D" w:rsidR="0039297D" w:rsidRDefault="004273CA" w:rsidP="000F15C3">
      <w:pPr>
        <w:spacing w:line="259" w:lineRule="auto"/>
        <w:rPr>
          <w:sz w:val="22"/>
          <w:szCs w:val="22"/>
        </w:rPr>
      </w:pPr>
      <w:r>
        <w:rPr>
          <w:sz w:val="22"/>
          <w:szCs w:val="22"/>
        </w:rPr>
        <w:t xml:space="preserve">It is important to note that Stats SA finalised a comprehensive overhaul of the national accounts in September 2021. The GDP was rebased from 2010 prices to 2015 prices. During this process it was found necessary to revise the South African economy upward (the economy was 11% larger than previously estimated) and also to make changes to the composition of both the supply and demand sides of economic activity. </w:t>
      </w:r>
      <w:r w:rsidR="009C7CC1">
        <w:rPr>
          <w:sz w:val="22"/>
          <w:szCs w:val="22"/>
        </w:rPr>
        <w:t xml:space="preserve">A </w:t>
      </w:r>
      <w:r>
        <w:rPr>
          <w:sz w:val="22"/>
          <w:szCs w:val="22"/>
        </w:rPr>
        <w:t xml:space="preserve">full discussion of this process and implications on the economic size of the CCI domains </w:t>
      </w:r>
      <w:r w:rsidR="009C7CC1">
        <w:rPr>
          <w:sz w:val="22"/>
          <w:szCs w:val="22"/>
        </w:rPr>
        <w:t xml:space="preserve">are </w:t>
      </w:r>
      <w:r>
        <w:rPr>
          <w:sz w:val="22"/>
          <w:szCs w:val="22"/>
        </w:rPr>
        <w:t>discussed fully in Chapter 1 of this mapping study.</w:t>
      </w:r>
    </w:p>
    <w:p w14:paraId="0000007F" w14:textId="77777777" w:rsidR="0039297D" w:rsidRDefault="004273CA" w:rsidP="000F15C3">
      <w:pPr>
        <w:pStyle w:val="Heading2"/>
        <w:ind w:left="578" w:hanging="578"/>
      </w:pPr>
      <w:bookmarkStart w:id="22" w:name="_Toc90193703"/>
      <w:bookmarkStart w:id="23" w:name="_Toc90193724"/>
      <w:bookmarkStart w:id="24" w:name="_Toc90193751"/>
      <w:r>
        <w:t>Cultural employment</w:t>
      </w:r>
      <w:bookmarkEnd w:id="22"/>
      <w:bookmarkEnd w:id="23"/>
      <w:bookmarkEnd w:id="24"/>
    </w:p>
    <w:p w14:paraId="00000080" w14:textId="44B526B6" w:rsidR="0039297D" w:rsidRDefault="004273CA" w:rsidP="000F15C3">
      <w:pPr>
        <w:spacing w:line="259" w:lineRule="auto"/>
        <w:rPr>
          <w:sz w:val="22"/>
          <w:szCs w:val="22"/>
        </w:rPr>
      </w:pPr>
      <w:r>
        <w:rPr>
          <w:sz w:val="22"/>
          <w:szCs w:val="22"/>
        </w:rPr>
        <w:t>The UNESCO Framework for Cultural Statistics (2009) is used to identify cultural occupations in historical South African labour market data. (More information on the identification of cultural occupations can be found in Chapter 2 of this mapping study.)</w:t>
      </w:r>
    </w:p>
    <w:p w14:paraId="00000081" w14:textId="64624A10" w:rsidR="0039297D" w:rsidRDefault="004273CA" w:rsidP="000F15C3">
      <w:pPr>
        <w:spacing w:line="259" w:lineRule="auto"/>
        <w:rPr>
          <w:sz w:val="22"/>
          <w:szCs w:val="22"/>
        </w:rPr>
      </w:pPr>
      <w:r>
        <w:rPr>
          <w:sz w:val="22"/>
          <w:szCs w:val="22"/>
        </w:rPr>
        <w:t>The Post-Apartheid Labour Market Series (PALMS)</w:t>
      </w:r>
      <w:r w:rsidR="009C7CC1">
        <w:rPr>
          <w:sz w:val="22"/>
          <w:szCs w:val="22"/>
        </w:rPr>
        <w:t>,</w:t>
      </w:r>
      <w:r>
        <w:rPr>
          <w:sz w:val="22"/>
          <w:szCs w:val="22"/>
        </w:rPr>
        <w:t xml:space="preserve"> </w:t>
      </w:r>
      <w:r w:rsidR="009C7CC1">
        <w:rPr>
          <w:sz w:val="22"/>
          <w:szCs w:val="22"/>
        </w:rPr>
        <w:t xml:space="preserve">compiled by DataFirst, </w:t>
      </w:r>
      <w:r>
        <w:rPr>
          <w:sz w:val="22"/>
          <w:szCs w:val="22"/>
        </w:rPr>
        <w:t>is a survey dataset at the individual level from 1993 to the present. The data is collated from a number of different surveys</w:t>
      </w:r>
      <w:r>
        <w:rPr>
          <w:sz w:val="22"/>
          <w:szCs w:val="22"/>
          <w:vertAlign w:val="superscript"/>
        </w:rPr>
        <w:footnoteReference w:id="1"/>
      </w:r>
      <w:r>
        <w:rPr>
          <w:sz w:val="22"/>
          <w:szCs w:val="22"/>
        </w:rPr>
        <w:t xml:space="preserve">, which have been carefully matched so that analysis of about 120 variables is possible over time. There are currently more than 5 million observations in the dataset. Variables include labour market variables (e.g. real incomes, education level, occupations) and some household variables (e.g. dwelling types, access to social grants). The PALMS dataset is regarded as a reliable source for labour market data for South Africa (Kerr and Wittenberg, 2017). </w:t>
      </w:r>
    </w:p>
    <w:p w14:paraId="7D429579" w14:textId="0B03E677" w:rsidR="0022585A" w:rsidRDefault="004273CA" w:rsidP="000F15C3">
      <w:pPr>
        <w:spacing w:line="259" w:lineRule="auto"/>
        <w:rPr>
          <w:sz w:val="22"/>
          <w:szCs w:val="22"/>
          <w:lang w:val="en-US"/>
        </w:rPr>
      </w:pPr>
      <w:r w:rsidRPr="004273CA">
        <w:rPr>
          <w:sz w:val="22"/>
          <w:szCs w:val="22"/>
          <w:lang w:val="en-US"/>
        </w:rPr>
        <w:t>For the update</w:t>
      </w:r>
      <w:r>
        <w:rPr>
          <w:sz w:val="22"/>
          <w:szCs w:val="22"/>
          <w:lang w:val="en-US"/>
        </w:rPr>
        <w:t>d</w:t>
      </w:r>
      <w:r w:rsidRPr="004273CA">
        <w:rPr>
          <w:sz w:val="22"/>
          <w:szCs w:val="22"/>
          <w:lang w:val="en-US"/>
        </w:rPr>
        <w:t xml:space="preserve"> PALM</w:t>
      </w:r>
      <w:r>
        <w:rPr>
          <w:sz w:val="22"/>
          <w:szCs w:val="22"/>
          <w:lang w:val="en-US"/>
        </w:rPr>
        <w:t>S</w:t>
      </w:r>
      <w:r w:rsidRPr="004273CA">
        <w:rPr>
          <w:sz w:val="22"/>
          <w:szCs w:val="22"/>
          <w:lang w:val="en-US"/>
        </w:rPr>
        <w:t xml:space="preserve"> 1993</w:t>
      </w:r>
      <w:r w:rsidR="0031060E">
        <w:rPr>
          <w:sz w:val="22"/>
          <w:szCs w:val="22"/>
          <w:lang w:val="en-US"/>
        </w:rPr>
        <w:t>–</w:t>
      </w:r>
      <w:r w:rsidRPr="004273CA">
        <w:rPr>
          <w:sz w:val="22"/>
          <w:szCs w:val="22"/>
          <w:lang w:val="en-US"/>
        </w:rPr>
        <w:t xml:space="preserve">2019 series, </w:t>
      </w:r>
      <w:r w:rsidR="0022585A">
        <w:rPr>
          <w:sz w:val="22"/>
          <w:szCs w:val="22"/>
          <w:lang w:val="en-US"/>
        </w:rPr>
        <w:t xml:space="preserve">weighting for variables were updated, causing slight differences in the PALMS 1993–2017 series. The </w:t>
      </w:r>
      <w:r w:rsidR="00AD437D">
        <w:rPr>
          <w:sz w:val="22"/>
          <w:szCs w:val="22"/>
          <w:lang w:val="en-US"/>
        </w:rPr>
        <w:t xml:space="preserve">updated </w:t>
      </w:r>
      <w:r w:rsidR="0022585A">
        <w:rPr>
          <w:sz w:val="22"/>
          <w:szCs w:val="22"/>
          <w:lang w:val="en-US"/>
        </w:rPr>
        <w:t>weights take into account factors such as changing population growth rates as a result of factors such as the roll-out of anti-retroviral drugs which resulted in higher survival rates (Kerr and Wittenberg, 2019).</w:t>
      </w:r>
    </w:p>
    <w:p w14:paraId="00000082" w14:textId="77777777" w:rsidR="0039297D" w:rsidRDefault="004273CA" w:rsidP="000F15C3">
      <w:pPr>
        <w:spacing w:line="259" w:lineRule="auto"/>
        <w:rPr>
          <w:sz w:val="22"/>
          <w:szCs w:val="22"/>
        </w:rPr>
      </w:pPr>
      <w:r>
        <w:rPr>
          <w:sz w:val="22"/>
          <w:szCs w:val="22"/>
        </w:rPr>
        <w:t xml:space="preserve">The analysis of PALMS data was performed according to the availability of the data for a specific year and relevance of the variables. A very useful variable, for example, is the </w:t>
      </w:r>
      <w:r>
        <w:rPr>
          <w:i/>
          <w:sz w:val="22"/>
          <w:szCs w:val="22"/>
        </w:rPr>
        <w:t>real-earnings</w:t>
      </w:r>
      <w:r>
        <w:rPr>
          <w:sz w:val="22"/>
          <w:szCs w:val="22"/>
        </w:rPr>
        <w:t xml:space="preserve"> variable, which represents the monthly earnings (in constant 2015 prices) of people in different occupations across all waves, except the October Household Survey (1996) and the Quarterly Labour Force Survey (2008, 2009 and 2012). </w:t>
      </w:r>
    </w:p>
    <w:p w14:paraId="00000083" w14:textId="77777777" w:rsidR="0039297D" w:rsidRDefault="004273CA" w:rsidP="000F15C3">
      <w:pPr>
        <w:spacing w:line="259" w:lineRule="auto"/>
        <w:rPr>
          <w:sz w:val="22"/>
          <w:szCs w:val="22"/>
        </w:rPr>
      </w:pPr>
      <w:r>
        <w:rPr>
          <w:sz w:val="22"/>
          <w:szCs w:val="22"/>
        </w:rPr>
        <w:t>There are some limitations in the PALMS dataset, such as some data not being available for all years, and not all the variables in the current Labour Market Dynamics Survey (LMDS) being present in PALMS. It is important to note that the PALMS data presented here only analyses cultural occupations, not the whole cultural trident (people working in non-cultural support occupations in cultural industries are not included). More detailed analysis of the most recent data on cultural occupations and industries can be found in Chapter 2 of this mapping study.</w:t>
      </w:r>
    </w:p>
    <w:p w14:paraId="00000084" w14:textId="77777777" w:rsidR="0039297D" w:rsidRDefault="004273CA" w:rsidP="000F15C3">
      <w:pPr>
        <w:pStyle w:val="Heading2"/>
        <w:ind w:left="578" w:hanging="578"/>
      </w:pPr>
      <w:bookmarkStart w:id="25" w:name="_Toc90193704"/>
      <w:bookmarkStart w:id="26" w:name="_Toc90193725"/>
      <w:bookmarkStart w:id="27" w:name="_Toc90193752"/>
      <w:r>
        <w:t>International cultural trade</w:t>
      </w:r>
      <w:bookmarkEnd w:id="25"/>
      <w:bookmarkEnd w:id="26"/>
      <w:bookmarkEnd w:id="27"/>
    </w:p>
    <w:p w14:paraId="00000085" w14:textId="3A41BED1" w:rsidR="0039297D" w:rsidRDefault="004273CA" w:rsidP="000F15C3">
      <w:pPr>
        <w:spacing w:line="259" w:lineRule="auto"/>
        <w:rPr>
          <w:sz w:val="22"/>
          <w:szCs w:val="22"/>
        </w:rPr>
      </w:pPr>
      <w:r>
        <w:rPr>
          <w:sz w:val="22"/>
          <w:szCs w:val="22"/>
        </w:rPr>
        <w:t>The UNESCO (2009) Framework for Cultural Statistics (FCS) identifies 85 six-digit Harmonised System (HS) 2007 codes as comprising cultural goods trade across the six cultural domains (see Chapter 3, Appendix 1).</w:t>
      </w:r>
      <w:r w:rsidR="007E16E4">
        <w:rPr>
          <w:sz w:val="22"/>
          <w:szCs w:val="22"/>
        </w:rPr>
        <w:t xml:space="preserve"> </w:t>
      </w:r>
      <w:r>
        <w:rPr>
          <w:sz w:val="22"/>
          <w:szCs w:val="22"/>
        </w:rPr>
        <w:t>As explained in Chapter 3, two of these six-</w:t>
      </w:r>
      <w:r>
        <w:rPr>
          <w:sz w:val="22"/>
          <w:szCs w:val="22"/>
        </w:rPr>
        <w:lastRenderedPageBreak/>
        <w:t>digit codes (those for Photographic plates and film, 370510 and 370590) were subsequently combined into a single code (370500) in HS 2017.</w:t>
      </w:r>
      <w:r w:rsidR="007E16E4">
        <w:rPr>
          <w:sz w:val="22"/>
          <w:szCs w:val="22"/>
        </w:rPr>
        <w:t xml:space="preserve"> </w:t>
      </w:r>
      <w:r>
        <w:rPr>
          <w:sz w:val="22"/>
          <w:szCs w:val="22"/>
        </w:rPr>
        <w:t>Furthermore, in the 2012 HS revision, another six-digit code (for Video games, 950410) was moved into a broader category that is not recognised as part of cultural goods trade in the UNESCO FCS.</w:t>
      </w:r>
      <w:r w:rsidR="007E16E4">
        <w:rPr>
          <w:sz w:val="22"/>
          <w:szCs w:val="22"/>
        </w:rPr>
        <w:t xml:space="preserve"> </w:t>
      </w:r>
      <w:r>
        <w:rPr>
          <w:sz w:val="22"/>
          <w:szCs w:val="22"/>
        </w:rPr>
        <w:t>In this chapter, product codes 370510 and 370590 are combined into 370500 from the start of the analysis.</w:t>
      </w:r>
      <w:r w:rsidR="007E16E4">
        <w:rPr>
          <w:sz w:val="22"/>
          <w:szCs w:val="22"/>
        </w:rPr>
        <w:t xml:space="preserve"> </w:t>
      </w:r>
      <w:r>
        <w:rPr>
          <w:sz w:val="22"/>
          <w:szCs w:val="22"/>
        </w:rPr>
        <w:t>In addition, the reallocation of product code 950410 away from cultural goods trade is highlighted at the appropriate point in the discussion of trade trends in Section 5 below.</w:t>
      </w:r>
      <w:r w:rsidR="007E16E4">
        <w:rPr>
          <w:sz w:val="22"/>
          <w:szCs w:val="22"/>
        </w:rPr>
        <w:t xml:space="preserve"> </w:t>
      </w:r>
      <w:r>
        <w:rPr>
          <w:sz w:val="22"/>
          <w:szCs w:val="22"/>
        </w:rPr>
        <w:t>More recent years in the cultural trade dataset therefore include 83 six-digit HS codes in the analysis.</w:t>
      </w:r>
    </w:p>
    <w:p w14:paraId="00000086" w14:textId="084C1EF0" w:rsidR="0039297D" w:rsidRDefault="004273CA" w:rsidP="000F15C3">
      <w:pPr>
        <w:spacing w:line="259" w:lineRule="auto"/>
        <w:rPr>
          <w:sz w:val="22"/>
          <w:szCs w:val="22"/>
        </w:rPr>
      </w:pPr>
      <w:r>
        <w:rPr>
          <w:sz w:val="22"/>
          <w:szCs w:val="22"/>
        </w:rPr>
        <w:t>The time series analysis of South Africa’s cultural goods trade covers the period 2001 to 2020, with some discussion of the most recent trends in the first two quarters of 2021.</w:t>
      </w:r>
      <w:r w:rsidR="007E16E4">
        <w:rPr>
          <w:sz w:val="22"/>
          <w:szCs w:val="22"/>
        </w:rPr>
        <w:t xml:space="preserve"> </w:t>
      </w:r>
      <w:r>
        <w:rPr>
          <w:sz w:val="22"/>
          <w:szCs w:val="22"/>
        </w:rPr>
        <w:t>The trade data have been obtained from the International Trade Centre’s Trade Map Database (ITC, 2021), supplemented where necessary with data from UN Comtrade (2021).</w:t>
      </w:r>
      <w:r>
        <w:rPr>
          <w:sz w:val="22"/>
          <w:szCs w:val="22"/>
          <w:vertAlign w:val="superscript"/>
        </w:rPr>
        <w:footnoteReference w:id="2"/>
      </w:r>
      <w:r>
        <w:rPr>
          <w:sz w:val="22"/>
          <w:szCs w:val="22"/>
        </w:rPr>
        <w:t xml:space="preserve"> Statistical and graphical analysis is used to explore the evolving contribution of cultural goods trade to South Africa’s total trade and the composition of the country’s cultural goods trade by domain.</w:t>
      </w:r>
      <w:r w:rsidR="007E16E4">
        <w:rPr>
          <w:sz w:val="22"/>
          <w:szCs w:val="22"/>
        </w:rPr>
        <w:t xml:space="preserve"> </w:t>
      </w:r>
      <w:r>
        <w:rPr>
          <w:sz w:val="22"/>
          <w:szCs w:val="22"/>
        </w:rPr>
        <w:t>This is followed by an analysis of the origin and destination of South Africa’s cultural goods exports and imports respectively.</w:t>
      </w:r>
    </w:p>
    <w:p w14:paraId="00000087" w14:textId="77777777" w:rsidR="0039297D" w:rsidRDefault="004273CA" w:rsidP="000F15C3">
      <w:pPr>
        <w:spacing w:line="259" w:lineRule="auto"/>
        <w:rPr>
          <w:sz w:val="22"/>
          <w:szCs w:val="22"/>
        </w:rPr>
      </w:pPr>
      <w:r>
        <w:rPr>
          <w:sz w:val="22"/>
          <w:szCs w:val="22"/>
        </w:rPr>
        <w:t>For cultural goods trade in the aggregate, cultural goods exports and imports are graphed over time and compared with total commodity trade, with a focus on trends in the trade balance in each case. The share of cultural goods trade in total commodity trade over time is computed next, and examined in both graphical and tabular form. Exports and imports of cultural goods are then illustrated separately and discussed by domain.</w:t>
      </w:r>
    </w:p>
    <w:p w14:paraId="00000088" w14:textId="77777777" w:rsidR="0039297D" w:rsidRDefault="004273CA" w:rsidP="000F15C3">
      <w:pPr>
        <w:spacing w:line="259" w:lineRule="auto"/>
        <w:rPr>
          <w:sz w:val="22"/>
          <w:szCs w:val="22"/>
        </w:rPr>
      </w:pPr>
      <w:r>
        <w:rPr>
          <w:sz w:val="22"/>
          <w:szCs w:val="22"/>
        </w:rPr>
        <w:t>The analysis of South Africa’s main cultural goods trading partners over time on both the export and import side is then studied using share analysis for selected years since 2001. Changes in the composition of the top twenty trading partners over the period are examined. This analysis complements the regional discussion in Chapter 3 of the mapping study.</w:t>
      </w:r>
    </w:p>
    <w:p w14:paraId="00000089" w14:textId="77777777" w:rsidR="0039297D" w:rsidRDefault="004273CA">
      <w:pPr>
        <w:pStyle w:val="Heading1"/>
      </w:pPr>
      <w:bookmarkStart w:id="28" w:name="_Toc90193705"/>
      <w:bookmarkStart w:id="29" w:name="_Toc90193726"/>
      <w:bookmarkStart w:id="30" w:name="_Toc90193753"/>
      <w:r>
        <w:t>GDP Contribution and Growth Rates</w:t>
      </w:r>
      <w:bookmarkEnd w:id="28"/>
      <w:bookmarkEnd w:id="29"/>
      <w:bookmarkEnd w:id="30"/>
      <w:r>
        <w:t xml:space="preserve"> </w:t>
      </w:r>
    </w:p>
    <w:p w14:paraId="0000008A" w14:textId="77777777" w:rsidR="0039297D" w:rsidRDefault="004273CA" w:rsidP="000F15C3">
      <w:pPr>
        <w:pStyle w:val="Heading2"/>
        <w:ind w:left="578" w:hanging="578"/>
      </w:pPr>
      <w:bookmarkStart w:id="31" w:name="_Toc90193706"/>
      <w:bookmarkStart w:id="32" w:name="_Toc90193727"/>
      <w:bookmarkStart w:id="33" w:name="_Toc90193754"/>
      <w:r>
        <w:t>The contribution of the CCIs to South Africa’s GDP</w:t>
      </w:r>
      <w:bookmarkEnd w:id="31"/>
      <w:bookmarkEnd w:id="32"/>
      <w:bookmarkEnd w:id="33"/>
    </w:p>
    <w:p w14:paraId="0000008B" w14:textId="0ABF967A" w:rsidR="0039297D" w:rsidRDefault="004273CA" w:rsidP="000F15C3">
      <w:pPr>
        <w:spacing w:line="259" w:lineRule="auto"/>
        <w:rPr>
          <w:sz w:val="22"/>
          <w:szCs w:val="22"/>
        </w:rPr>
      </w:pPr>
      <w:r>
        <w:rPr>
          <w:sz w:val="22"/>
          <w:szCs w:val="22"/>
        </w:rPr>
        <w:t>Although the CCIs are not officially consolidated as a sector</w:t>
      </w:r>
      <w:r>
        <w:rPr>
          <w:sz w:val="22"/>
          <w:szCs w:val="22"/>
          <w:vertAlign w:val="superscript"/>
        </w:rPr>
        <w:footnoteReference w:id="3"/>
      </w:r>
      <w:r>
        <w:rPr>
          <w:sz w:val="22"/>
          <w:szCs w:val="22"/>
        </w:rPr>
        <w:t xml:space="preserve"> (or divided into domains) in the System of National Accounts</w:t>
      </w:r>
      <w:r w:rsidR="00D56D65">
        <w:rPr>
          <w:sz w:val="22"/>
          <w:szCs w:val="22"/>
        </w:rPr>
        <w:t xml:space="preserve"> (SNA)</w:t>
      </w:r>
      <w:r>
        <w:rPr>
          <w:sz w:val="22"/>
          <w:szCs w:val="22"/>
        </w:rPr>
        <w:t xml:space="preserve">, the creative economy is nonetheless an important sector. As a percentage of its contribution to the GDP, Figure 5 shows that in 2010 the CCIs contributed to just under 3% of South Africa’s GDP. There was continuous growth from 1997 until 2010 after which there has been a slowing down of the sector’s contribution to the country’s GDP. </w:t>
      </w:r>
    </w:p>
    <w:p w14:paraId="0000008C" w14:textId="2069956B" w:rsidR="0039297D" w:rsidRDefault="004273CA" w:rsidP="000F15C3">
      <w:pPr>
        <w:spacing w:line="259" w:lineRule="auto"/>
        <w:rPr>
          <w:sz w:val="22"/>
          <w:szCs w:val="22"/>
        </w:rPr>
      </w:pPr>
      <w:r>
        <w:rPr>
          <w:sz w:val="22"/>
          <w:szCs w:val="22"/>
        </w:rPr>
        <w:t>The impacts of the 2008/9 financial crisis, and the very adverse economic conditions in 2015 because of “subdued business and consumer confidence levels, muted demand conditions, ongoing supply-side constraints, a further decline in the prices of key export commodities, and the knock-on effects of the widespread drought conditions in many parts of the country” (SARB, 201</w:t>
      </w:r>
      <w:r w:rsidR="00E267B1">
        <w:rPr>
          <w:sz w:val="22"/>
          <w:szCs w:val="22"/>
        </w:rPr>
        <w:t>6</w:t>
      </w:r>
      <w:r>
        <w:rPr>
          <w:sz w:val="22"/>
          <w:szCs w:val="22"/>
        </w:rPr>
        <w:t xml:space="preserve">) can clearly be seen. The expectation is that the COVID-19 pandemic will have a similarly dramatic impact. </w:t>
      </w:r>
    </w:p>
    <w:p w14:paraId="0000008D" w14:textId="77777777" w:rsidR="0039297D" w:rsidRDefault="004273CA">
      <w:pPr>
        <w:keepNext/>
      </w:pPr>
      <w:bookmarkStart w:id="34" w:name="_heading=h.z337ya" w:colFirst="0" w:colLast="0"/>
      <w:bookmarkEnd w:id="34"/>
      <w:r>
        <w:rPr>
          <w:noProof/>
          <w:lang w:val="en-ZA"/>
        </w:rPr>
        <w:lastRenderedPageBreak/>
        <w:drawing>
          <wp:inline distT="0" distB="0" distL="0" distR="0" wp14:anchorId="135D86FC" wp14:editId="0610289F">
            <wp:extent cx="5479366" cy="2560320"/>
            <wp:effectExtent l="0" t="0" r="0" b="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000008E" w14:textId="3EA0EA96" w:rsidR="0039297D" w:rsidRPr="000F15C3" w:rsidRDefault="004273CA">
      <w:pPr>
        <w:pBdr>
          <w:top w:val="nil"/>
          <w:left w:val="nil"/>
          <w:bottom w:val="nil"/>
          <w:right w:val="nil"/>
          <w:between w:val="nil"/>
        </w:pBdr>
        <w:spacing w:after="200"/>
        <w:rPr>
          <w:iCs/>
          <w:color w:val="44546A"/>
        </w:rPr>
      </w:pPr>
      <w:bookmarkStart w:id="35" w:name="_heading=h.3j2qqm3" w:colFirst="0" w:colLast="0"/>
      <w:bookmarkEnd w:id="35"/>
      <w:r w:rsidRPr="000F15C3">
        <w:rPr>
          <w:iCs/>
          <w:color w:val="44546A"/>
        </w:rPr>
        <w:t>Figure 3: CCI</w:t>
      </w:r>
      <w:r w:rsidR="00792E6B" w:rsidRPr="000F15C3">
        <w:rPr>
          <w:iCs/>
          <w:color w:val="44546A"/>
        </w:rPr>
        <w:t>’</w:t>
      </w:r>
      <w:r w:rsidRPr="000F15C3">
        <w:rPr>
          <w:iCs/>
          <w:color w:val="44546A"/>
        </w:rPr>
        <w:t>s contribution as a percentage to South Africa</w:t>
      </w:r>
      <w:r w:rsidR="00792E6B" w:rsidRPr="000F15C3">
        <w:rPr>
          <w:iCs/>
          <w:color w:val="44546A"/>
        </w:rPr>
        <w:t>’</w:t>
      </w:r>
      <w:r w:rsidRPr="000F15C3">
        <w:rPr>
          <w:iCs/>
          <w:color w:val="44546A"/>
        </w:rPr>
        <w:t>s GDP</w:t>
      </w:r>
      <w:r w:rsidRPr="000F15C3">
        <w:rPr>
          <w:iCs/>
          <w:color w:val="44546A"/>
          <w:vertAlign w:val="superscript"/>
        </w:rPr>
        <w:footnoteReference w:id="4"/>
      </w:r>
    </w:p>
    <w:p w14:paraId="0000008F" w14:textId="77777777" w:rsidR="0039297D" w:rsidRDefault="004273CA" w:rsidP="000F15C3">
      <w:pPr>
        <w:spacing w:line="259" w:lineRule="auto"/>
        <w:rPr>
          <w:sz w:val="22"/>
          <w:szCs w:val="22"/>
        </w:rPr>
      </w:pPr>
      <w:r>
        <w:rPr>
          <w:sz w:val="22"/>
          <w:szCs w:val="22"/>
        </w:rPr>
        <w:t>Figure 3 shows the contribution of the CCIs to South Africa’s GDP by domain (holding all prices constant at the 2015 rate so that real changes can be observed without distortions caused by inflation).</w:t>
      </w:r>
    </w:p>
    <w:p w14:paraId="00000090" w14:textId="77777777" w:rsidR="0039297D" w:rsidRDefault="004273CA">
      <w:pPr>
        <w:keepNext/>
      </w:pPr>
      <w:r>
        <w:rPr>
          <w:noProof/>
          <w:lang w:val="en-ZA"/>
        </w:rPr>
        <w:lastRenderedPageBreak/>
        <w:drawing>
          <wp:inline distT="0" distB="0" distL="0" distR="0" wp14:anchorId="34F322A5" wp14:editId="6E84E756">
            <wp:extent cx="5731510" cy="5038725"/>
            <wp:effectExtent l="0" t="0" r="0" b="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000091" w14:textId="77777777" w:rsidR="0039297D" w:rsidRPr="000F15C3" w:rsidRDefault="004273CA">
      <w:pPr>
        <w:pBdr>
          <w:top w:val="nil"/>
          <w:left w:val="nil"/>
          <w:bottom w:val="nil"/>
          <w:right w:val="nil"/>
          <w:between w:val="nil"/>
        </w:pBdr>
        <w:spacing w:after="200"/>
        <w:rPr>
          <w:i/>
          <w:color w:val="44546A"/>
        </w:rPr>
      </w:pPr>
      <w:bookmarkStart w:id="36" w:name="_heading=h.1y810tw" w:colFirst="0" w:colLast="0"/>
      <w:bookmarkEnd w:id="36"/>
      <w:r w:rsidRPr="000F15C3">
        <w:rPr>
          <w:i/>
          <w:color w:val="44546A"/>
        </w:rPr>
        <w:t>Figure 4: GDP per domain and South African GDP</w:t>
      </w:r>
    </w:p>
    <w:p w14:paraId="00000092" w14:textId="43B1D5DD" w:rsidR="0039297D" w:rsidRDefault="004273CA" w:rsidP="000F15C3">
      <w:pPr>
        <w:spacing w:line="259" w:lineRule="auto"/>
        <w:rPr>
          <w:sz w:val="22"/>
          <w:szCs w:val="22"/>
        </w:rPr>
      </w:pPr>
      <w:r>
        <w:rPr>
          <w:sz w:val="22"/>
          <w:szCs w:val="22"/>
        </w:rPr>
        <w:t>Two points are immediately evident from this analysis</w:t>
      </w:r>
      <w:r w:rsidR="00D56D65">
        <w:rPr>
          <w:sz w:val="22"/>
          <w:szCs w:val="22"/>
        </w:rPr>
        <w:t>:</w:t>
      </w:r>
      <w:r>
        <w:rPr>
          <w:sz w:val="22"/>
          <w:szCs w:val="22"/>
        </w:rPr>
        <w:t xml:space="preserve"> (i) the contribution of the CCIs to South Africa’s GDP has increased significantly since 1997, especially from the commercial application domains of Design and Creative Services and Audio-visual and Interactive Media</w:t>
      </w:r>
      <w:r w:rsidR="00DA3345">
        <w:rPr>
          <w:sz w:val="22"/>
          <w:szCs w:val="22"/>
        </w:rPr>
        <w:t>; and</w:t>
      </w:r>
      <w:r>
        <w:rPr>
          <w:sz w:val="22"/>
          <w:szCs w:val="22"/>
        </w:rPr>
        <w:t xml:space="preserve"> (ii) CCI growth has generally tracked South Africa’s GDP, although it can be more volatile – increasing quickly when the economy is growing, but falling more quickly when the economy is in a downswing, or growing more slowly. </w:t>
      </w:r>
    </w:p>
    <w:p w14:paraId="00000093" w14:textId="6FD1B82C" w:rsidR="0039297D" w:rsidRDefault="004273CA" w:rsidP="000F15C3">
      <w:pPr>
        <w:spacing w:line="259" w:lineRule="auto"/>
        <w:rPr>
          <w:sz w:val="22"/>
          <w:szCs w:val="22"/>
        </w:rPr>
      </w:pPr>
      <w:r>
        <w:rPr>
          <w:sz w:val="22"/>
          <w:szCs w:val="22"/>
        </w:rPr>
        <w:t xml:space="preserve">As discussed in </w:t>
      </w:r>
      <w:r w:rsidR="00DA3345">
        <w:rPr>
          <w:sz w:val="22"/>
          <w:szCs w:val="22"/>
        </w:rPr>
        <w:t xml:space="preserve">Section </w:t>
      </w:r>
      <w:r w:rsidR="00081A72">
        <w:rPr>
          <w:sz w:val="22"/>
          <w:szCs w:val="22"/>
        </w:rPr>
        <w:t>3.</w:t>
      </w:r>
      <w:r>
        <w:rPr>
          <w:sz w:val="22"/>
          <w:szCs w:val="22"/>
        </w:rPr>
        <w:t>2, cultural policy in South Africa has undergone a few significant shifts since the advent of democracy in 1994. While the first White Paper on Arts, Culture and Heritage (</w:t>
      </w:r>
      <w:r w:rsidR="00DA3345">
        <w:rPr>
          <w:sz w:val="22"/>
          <w:szCs w:val="22"/>
        </w:rPr>
        <w:t xml:space="preserve">DACST, </w:t>
      </w:r>
      <w:r>
        <w:rPr>
          <w:sz w:val="22"/>
          <w:szCs w:val="22"/>
        </w:rPr>
        <w:t xml:space="preserve">1996) focused on the social and intrinsic value of culture, from around 2012 (when the Mzansi’s Golden Economy Programme began) the potential of the sector to contribute to jobs and growth was also recognised. </w:t>
      </w:r>
    </w:p>
    <w:p w14:paraId="00000094" w14:textId="77777777" w:rsidR="0039297D" w:rsidRDefault="004273CA" w:rsidP="000F15C3">
      <w:pPr>
        <w:spacing w:line="259" w:lineRule="auto"/>
        <w:rPr>
          <w:sz w:val="22"/>
          <w:szCs w:val="22"/>
        </w:rPr>
      </w:pPr>
      <w:r>
        <w:rPr>
          <w:sz w:val="22"/>
          <w:szCs w:val="22"/>
        </w:rPr>
        <w:t>Starting from a low base in 1993, creative industries production grew quickly from about 1997 until the financial crisis in 2008/9. Cultural policy focused on creative industries may have helped sector recovery, and real creative industries production increased to its highest rate ever between 2017 and 2019, before the significant decrease in 2020 due to the COVID-19 pandemic.</w:t>
      </w:r>
    </w:p>
    <w:p w14:paraId="00000095" w14:textId="77777777" w:rsidR="0039297D" w:rsidRDefault="004273CA" w:rsidP="000F15C3">
      <w:pPr>
        <w:spacing w:line="259" w:lineRule="auto"/>
      </w:pPr>
      <w:r>
        <w:rPr>
          <w:sz w:val="22"/>
          <w:szCs w:val="22"/>
        </w:rPr>
        <w:t>Figure 5 shows the relative size of each domain to the South African economy. It is immediately observable that the six domains can be classified into three groups</w:t>
      </w:r>
      <w:r>
        <w:t>.</w:t>
      </w:r>
    </w:p>
    <w:p w14:paraId="00000096" w14:textId="77777777" w:rsidR="0039297D" w:rsidRDefault="004273CA">
      <w:pPr>
        <w:keepNext/>
      </w:pPr>
      <w:r>
        <w:rPr>
          <w:noProof/>
          <w:lang w:val="en-ZA"/>
        </w:rPr>
        <w:lastRenderedPageBreak/>
        <w:drawing>
          <wp:inline distT="0" distB="0" distL="0" distR="0" wp14:anchorId="7BABAE72" wp14:editId="04505450">
            <wp:extent cx="5731510" cy="4914900"/>
            <wp:effectExtent l="0" t="0" r="0" b="0"/>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0000097" w14:textId="77777777" w:rsidR="0039297D" w:rsidRPr="000F15C3" w:rsidRDefault="004273CA">
      <w:pPr>
        <w:pBdr>
          <w:top w:val="nil"/>
          <w:left w:val="nil"/>
          <w:bottom w:val="nil"/>
          <w:right w:val="nil"/>
          <w:between w:val="nil"/>
        </w:pBdr>
        <w:spacing w:after="200"/>
        <w:rPr>
          <w:i/>
          <w:color w:val="44546A"/>
        </w:rPr>
      </w:pPr>
      <w:bookmarkStart w:id="37" w:name="_heading=h.4i7ojhp" w:colFirst="0" w:colLast="0"/>
      <w:bookmarkEnd w:id="37"/>
      <w:r w:rsidRPr="000F15C3">
        <w:rPr>
          <w:i/>
          <w:color w:val="44546A"/>
        </w:rPr>
        <w:t>Figure 5: CCI Domain Contribution to GDP</w:t>
      </w:r>
    </w:p>
    <w:p w14:paraId="00000098" w14:textId="01CE6A87" w:rsidR="0039297D" w:rsidRDefault="004273CA" w:rsidP="000F15C3">
      <w:pPr>
        <w:spacing w:line="259" w:lineRule="auto"/>
        <w:rPr>
          <w:sz w:val="22"/>
          <w:szCs w:val="22"/>
        </w:rPr>
      </w:pPr>
      <w:r>
        <w:rPr>
          <w:sz w:val="22"/>
          <w:szCs w:val="22"/>
        </w:rPr>
        <w:t xml:space="preserve">The first group, comprising the Cultural and Natural Heritage and the Performance and Celebration domains, contributes a relatively small share to South Africa’s GDP, although both </w:t>
      </w:r>
      <w:r w:rsidR="00DA3345">
        <w:rPr>
          <w:sz w:val="22"/>
          <w:szCs w:val="22"/>
        </w:rPr>
        <w:t xml:space="preserve">domains </w:t>
      </w:r>
      <w:r>
        <w:rPr>
          <w:sz w:val="22"/>
          <w:szCs w:val="22"/>
        </w:rPr>
        <w:t>have other important social, cultural, and intrinsic values associated with them. It is however noteworthy that there was a possible structural break from approximately 2000 until 2008 that caused the two sectors to grow relative to the South African economy, after which their share of GDP contribution remains constant. From 2009, the two domains have been growing in tandem with the economy.</w:t>
      </w:r>
    </w:p>
    <w:p w14:paraId="00000099" w14:textId="2896F1EB" w:rsidR="0039297D" w:rsidRDefault="004273CA" w:rsidP="000F15C3">
      <w:pPr>
        <w:spacing w:line="259" w:lineRule="auto"/>
        <w:rPr>
          <w:sz w:val="22"/>
          <w:szCs w:val="22"/>
        </w:rPr>
      </w:pPr>
      <w:r>
        <w:rPr>
          <w:sz w:val="22"/>
          <w:szCs w:val="22"/>
        </w:rPr>
        <w:t xml:space="preserve">The second group comprises the Visual Arts and Crafts </w:t>
      </w:r>
      <w:r w:rsidR="00DA3345">
        <w:rPr>
          <w:sz w:val="22"/>
          <w:szCs w:val="22"/>
        </w:rPr>
        <w:t>and</w:t>
      </w:r>
      <w:r>
        <w:rPr>
          <w:sz w:val="22"/>
          <w:szCs w:val="22"/>
        </w:rPr>
        <w:t xml:space="preserve"> Books and Press domains. While still important contributors to GDP, their contribution to the South African economy has been gradually diminishing. The </w:t>
      </w:r>
      <w:r w:rsidR="00DA3345">
        <w:rPr>
          <w:sz w:val="22"/>
          <w:szCs w:val="22"/>
        </w:rPr>
        <w:t xml:space="preserve">contribution of the  </w:t>
      </w:r>
      <w:r>
        <w:rPr>
          <w:sz w:val="22"/>
          <w:szCs w:val="22"/>
        </w:rPr>
        <w:t>Books and Press domain dropp</w:t>
      </w:r>
      <w:r w:rsidR="00C507D3">
        <w:rPr>
          <w:sz w:val="22"/>
          <w:szCs w:val="22"/>
        </w:rPr>
        <w:t>ed</w:t>
      </w:r>
      <w:r>
        <w:rPr>
          <w:sz w:val="22"/>
          <w:szCs w:val="22"/>
        </w:rPr>
        <w:t xml:space="preserve"> until approximately 2005 when the domain stabilised and grew slowly until 2012 after which the downward trend continued. The Visual Arts and Crafts domain has exhibited a relatively smooth decline.</w:t>
      </w:r>
    </w:p>
    <w:p w14:paraId="0000009A" w14:textId="41CB9EBC" w:rsidR="0039297D" w:rsidRDefault="004273CA" w:rsidP="000F15C3">
      <w:pPr>
        <w:spacing w:line="259" w:lineRule="auto"/>
        <w:rPr>
          <w:sz w:val="22"/>
          <w:szCs w:val="22"/>
        </w:rPr>
      </w:pPr>
      <w:r>
        <w:rPr>
          <w:sz w:val="22"/>
          <w:szCs w:val="22"/>
        </w:rPr>
        <w:t xml:space="preserve">The third group are the more commercial application domains. These domains are sometimes designated as “creative” rather than cultural, and while they use ideas and content generated by the “core” cultural domains, they may produce products with lower level of intrinsic, cultural or social value. In recent times, these domains have also been able to harness the shift to online content delivery and digitisation to improve output and productivity. As shown in Figure 5, </w:t>
      </w:r>
      <w:r w:rsidR="00C507D3">
        <w:rPr>
          <w:sz w:val="22"/>
          <w:szCs w:val="22"/>
        </w:rPr>
        <w:t xml:space="preserve">the </w:t>
      </w:r>
      <w:r>
        <w:rPr>
          <w:sz w:val="22"/>
          <w:szCs w:val="22"/>
        </w:rPr>
        <w:t xml:space="preserve">Audio-visual and Interactive Media </w:t>
      </w:r>
      <w:r w:rsidR="00C507D3">
        <w:rPr>
          <w:sz w:val="22"/>
          <w:szCs w:val="22"/>
        </w:rPr>
        <w:t>and</w:t>
      </w:r>
      <w:r>
        <w:rPr>
          <w:sz w:val="22"/>
          <w:szCs w:val="22"/>
        </w:rPr>
        <w:t xml:space="preserve"> Design and Creative Services domains have </w:t>
      </w:r>
      <w:r>
        <w:rPr>
          <w:sz w:val="22"/>
          <w:szCs w:val="22"/>
        </w:rPr>
        <w:lastRenderedPageBreak/>
        <w:t xml:space="preserve">been growing more rapidly relative to the South African economy over the study period, and more quickly than other domains. </w:t>
      </w:r>
    </w:p>
    <w:p w14:paraId="0000009B" w14:textId="5946665C" w:rsidR="0039297D" w:rsidRDefault="004273CA" w:rsidP="000F15C3">
      <w:pPr>
        <w:spacing w:line="259" w:lineRule="auto"/>
        <w:rPr>
          <w:sz w:val="22"/>
          <w:szCs w:val="22"/>
        </w:rPr>
      </w:pPr>
      <w:r>
        <w:rPr>
          <w:sz w:val="22"/>
          <w:szCs w:val="22"/>
        </w:rPr>
        <w:t>Figure 6 shows the composition of the domains and their relative sizes in 2016, 2018 and 2020. The two smallest domains from the first group</w:t>
      </w:r>
      <w:sdt>
        <w:sdtPr>
          <w:tag w:val="goog_rdk_3"/>
          <w:id w:val="1412737318"/>
        </w:sdtPr>
        <w:sdtEndPr/>
        <w:sdtContent/>
      </w:sdt>
      <w:r>
        <w:rPr>
          <w:sz w:val="22"/>
          <w:szCs w:val="22"/>
        </w:rPr>
        <w:t xml:space="preserve"> includ</w:t>
      </w:r>
      <w:r w:rsidR="00DE1208">
        <w:rPr>
          <w:sz w:val="22"/>
          <w:szCs w:val="22"/>
        </w:rPr>
        <w:t>e</w:t>
      </w:r>
      <w:r>
        <w:rPr>
          <w:sz w:val="22"/>
          <w:szCs w:val="22"/>
        </w:rPr>
        <w:t xml:space="preserve"> Cultural and Natural Heritage (4% of CCI’s contribution to South Africa’s GDP) and the Performance and Celebration domain (6%). The second group of the next two largest contributors: Visual Arts and Crafts domain (15%) and Books and Press (18%). The third group includes Audio-visual and Interactive Media (25%), as well as the largest domain, Design and Creative Services (32%). From an economic perspective, the third group is the most important, contributing 57% of the total CCI contribution to the country’s GDP.</w:t>
      </w:r>
    </w:p>
    <w:p w14:paraId="0000009C" w14:textId="77777777" w:rsidR="0039297D" w:rsidRDefault="004273CA">
      <w:r>
        <w:rPr>
          <w:noProof/>
          <w:lang w:val="en-ZA"/>
        </w:rPr>
        <w:drawing>
          <wp:inline distT="0" distB="0" distL="0" distR="0" wp14:anchorId="18BF2F25" wp14:editId="79806D1D">
            <wp:extent cx="5932800" cy="4834800"/>
            <wp:effectExtent l="0" t="0" r="0" b="0"/>
            <wp:docPr id="7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l="12178" t="13447" r="11900" b="1329"/>
                    <a:stretch>
                      <a:fillRect/>
                    </a:stretch>
                  </pic:blipFill>
                  <pic:spPr>
                    <a:xfrm>
                      <a:off x="0" y="0"/>
                      <a:ext cx="5932800" cy="4834800"/>
                    </a:xfrm>
                    <a:prstGeom prst="rect">
                      <a:avLst/>
                    </a:prstGeom>
                    <a:ln/>
                  </pic:spPr>
                </pic:pic>
              </a:graphicData>
            </a:graphic>
          </wp:inline>
        </w:drawing>
      </w:r>
    </w:p>
    <w:p w14:paraId="0000009D" w14:textId="77777777" w:rsidR="0039297D" w:rsidRPr="000F15C3" w:rsidRDefault="004273CA">
      <w:pPr>
        <w:pBdr>
          <w:top w:val="nil"/>
          <w:left w:val="nil"/>
          <w:bottom w:val="nil"/>
          <w:right w:val="nil"/>
          <w:between w:val="nil"/>
        </w:pBdr>
        <w:spacing w:after="200"/>
        <w:rPr>
          <w:i/>
          <w:color w:val="44546A"/>
        </w:rPr>
      </w:pPr>
      <w:bookmarkStart w:id="38" w:name="_heading=h.2xcytpi" w:colFirst="0" w:colLast="0"/>
      <w:bookmarkEnd w:id="38"/>
      <w:r w:rsidRPr="000F15C3">
        <w:rPr>
          <w:i/>
          <w:color w:val="44546A"/>
        </w:rPr>
        <w:t>Figure 6: Composition of the GDP, 2016, 2018 and 2020</w:t>
      </w:r>
    </w:p>
    <w:p w14:paraId="0000009E" w14:textId="77777777" w:rsidR="0039297D" w:rsidRDefault="004273CA" w:rsidP="000F15C3">
      <w:pPr>
        <w:pStyle w:val="Heading2"/>
        <w:ind w:left="578" w:hanging="578"/>
        <w:jc w:val="left"/>
      </w:pPr>
      <w:bookmarkStart w:id="39" w:name="_Toc90193707"/>
      <w:bookmarkStart w:id="40" w:name="_Toc90193728"/>
      <w:bookmarkStart w:id="41" w:name="_Toc90193755"/>
      <w:r>
        <w:t>CCI growth rates</w:t>
      </w:r>
      <w:bookmarkEnd w:id="39"/>
      <w:bookmarkEnd w:id="40"/>
      <w:bookmarkEnd w:id="41"/>
    </w:p>
    <w:p w14:paraId="0000009F" w14:textId="4D17C919" w:rsidR="0039297D" w:rsidRDefault="004273CA" w:rsidP="000F15C3">
      <w:pPr>
        <w:spacing w:line="259" w:lineRule="auto"/>
        <w:rPr>
          <w:sz w:val="22"/>
          <w:szCs w:val="22"/>
        </w:rPr>
      </w:pPr>
      <w:r>
        <w:rPr>
          <w:sz w:val="22"/>
          <w:szCs w:val="22"/>
        </w:rPr>
        <w:t>As can be seen from Figure 6, the middle do</w:t>
      </w:r>
      <w:r w:rsidR="00081A72">
        <w:rPr>
          <w:sz w:val="22"/>
          <w:szCs w:val="22"/>
        </w:rPr>
        <w:t>ughnut (2020)</w:t>
      </w:r>
      <w:r>
        <w:rPr>
          <w:sz w:val="22"/>
          <w:szCs w:val="22"/>
        </w:rPr>
        <w:t xml:space="preserve"> shows how Audio-visual and Interactive Media (27.7%), and Design and Creative Services (32.4%) continue their dominance and are growing relatively quickly compared to the other domains. By 2020 the Audio-visual and Interactive Media (28%) and the Design and Creative Services (32%) domains made up 60% of CCI’s contribution to South Africa’s economic performance.</w:t>
      </w:r>
    </w:p>
    <w:p w14:paraId="000000A0" w14:textId="62778AAE" w:rsidR="0039297D" w:rsidRDefault="004273CA" w:rsidP="000F15C3">
      <w:pPr>
        <w:spacing w:line="259" w:lineRule="auto"/>
        <w:rPr>
          <w:sz w:val="22"/>
          <w:szCs w:val="22"/>
        </w:rPr>
      </w:pPr>
      <w:r>
        <w:rPr>
          <w:sz w:val="22"/>
          <w:szCs w:val="22"/>
        </w:rPr>
        <w:t xml:space="preserve">Unfortunately, the Books and Press domain is losing ground in its contribution to South Africa’s GDP, and has exhibited negative growth more than the other domains. It is also clear that the </w:t>
      </w:r>
      <w:r>
        <w:rPr>
          <w:sz w:val="22"/>
          <w:szCs w:val="22"/>
        </w:rPr>
        <w:lastRenderedPageBreak/>
        <w:t xml:space="preserve">COVID-19 pandemic had a devastating impact on all the domains but especially </w:t>
      </w:r>
      <w:r w:rsidR="004D115E">
        <w:rPr>
          <w:sz w:val="22"/>
          <w:szCs w:val="22"/>
        </w:rPr>
        <w:t>on</w:t>
      </w:r>
      <w:r>
        <w:rPr>
          <w:sz w:val="22"/>
          <w:szCs w:val="22"/>
        </w:rPr>
        <w:t>Visual Arts and Crafts and</w:t>
      </w:r>
      <w:r w:rsidR="007E16E4">
        <w:rPr>
          <w:sz w:val="22"/>
          <w:szCs w:val="22"/>
        </w:rPr>
        <w:t xml:space="preserve"> </w:t>
      </w:r>
      <w:r>
        <w:rPr>
          <w:sz w:val="22"/>
          <w:szCs w:val="22"/>
        </w:rPr>
        <w:t>Books and Press.</w:t>
      </w:r>
    </w:p>
    <w:p w14:paraId="000000A1" w14:textId="77777777" w:rsidR="0039297D" w:rsidRDefault="004273CA" w:rsidP="000F15C3">
      <w:pPr>
        <w:spacing w:line="259" w:lineRule="auto"/>
        <w:rPr>
          <w:sz w:val="22"/>
          <w:szCs w:val="22"/>
        </w:rPr>
      </w:pPr>
      <w:r>
        <w:rPr>
          <w:sz w:val="22"/>
          <w:szCs w:val="22"/>
        </w:rPr>
        <w:t xml:space="preserve">Figure 7 shows the growth rates of the domains over time, as well as South Africa’s GDP growth rate from 1998 to 2020. Although further econometric analysis would be necessary to confirm the relationship, it would appear that there is a strong correlation between the growth of the economy and the growth of CCIs until 2009 (that coincides with the global financial crisis), particularly for Performance and Celebration, and Cultural and Natural Heritage. </w:t>
      </w:r>
    </w:p>
    <w:p w14:paraId="000000A2" w14:textId="77777777" w:rsidR="0039297D" w:rsidRDefault="004273CA">
      <w:r>
        <w:rPr>
          <w:noProof/>
          <w:lang w:val="en-ZA"/>
        </w:rPr>
        <w:drawing>
          <wp:inline distT="0" distB="0" distL="0" distR="0" wp14:anchorId="4EE6E719" wp14:editId="0B3C83C6">
            <wp:extent cx="5731510" cy="4157980"/>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00000A3" w14:textId="1F102588" w:rsidR="0039297D" w:rsidRPr="000F15C3" w:rsidRDefault="004273CA">
      <w:pPr>
        <w:pBdr>
          <w:top w:val="nil"/>
          <w:left w:val="nil"/>
          <w:bottom w:val="nil"/>
          <w:right w:val="nil"/>
          <w:between w:val="nil"/>
        </w:pBdr>
        <w:spacing w:after="200"/>
        <w:rPr>
          <w:i/>
          <w:color w:val="44546A"/>
        </w:rPr>
      </w:pPr>
      <w:bookmarkStart w:id="42" w:name="_heading=h.3whwml4" w:colFirst="0" w:colLast="0"/>
      <w:bookmarkEnd w:id="42"/>
      <w:r w:rsidRPr="000F15C3">
        <w:rPr>
          <w:i/>
          <w:color w:val="44546A"/>
        </w:rPr>
        <w:t>Figure 7</w:t>
      </w:r>
      <w:r w:rsidR="004D115E">
        <w:rPr>
          <w:i/>
          <w:color w:val="44546A"/>
        </w:rPr>
        <w:t>:</w:t>
      </w:r>
      <w:r w:rsidRPr="000F15C3">
        <w:rPr>
          <w:i/>
          <w:color w:val="44546A"/>
        </w:rPr>
        <w:t xml:space="preserve"> Percentage change per domain per annum</w:t>
      </w:r>
    </w:p>
    <w:p w14:paraId="000000A4" w14:textId="497C9099" w:rsidR="0039297D" w:rsidRPr="000F15C3" w:rsidRDefault="004D115E" w:rsidP="000F15C3">
      <w:pPr>
        <w:spacing w:line="259" w:lineRule="auto"/>
        <w:rPr>
          <w:sz w:val="22"/>
          <w:szCs w:val="22"/>
        </w:rPr>
      </w:pPr>
      <w:r w:rsidRPr="000F15C3">
        <w:rPr>
          <w:sz w:val="22"/>
          <w:szCs w:val="22"/>
        </w:rPr>
        <w:t xml:space="preserve">Table 1 </w:t>
      </w:r>
      <w:r w:rsidR="004273CA" w:rsidRPr="000F15C3">
        <w:rPr>
          <w:sz w:val="22"/>
          <w:szCs w:val="22"/>
        </w:rPr>
        <w:t>below shows compound annual growth rates for each period, for each domain, and for the CCIs overall. For almost all domains (with the exceptions of Books and Press and Visual Arts and Crafts) the period from 1993 to 2002 saw significant growth in output. The trend continued for the next decade (2003 to 2012), despite the financial crisis. After 2012, average annual growth rates in all domains slowed, also the fastest growing domains (Audio-visual and Interactive Media and Design and Creative Services) continued to take the lead.</w:t>
      </w:r>
    </w:p>
    <w:p w14:paraId="000000A5" w14:textId="4AC40E48" w:rsidR="0039297D" w:rsidRPr="000F15C3" w:rsidRDefault="004273CA">
      <w:pPr>
        <w:pBdr>
          <w:top w:val="nil"/>
          <w:left w:val="nil"/>
          <w:bottom w:val="nil"/>
          <w:right w:val="nil"/>
          <w:between w:val="nil"/>
        </w:pBdr>
        <w:spacing w:after="200"/>
        <w:rPr>
          <w:i/>
          <w:color w:val="44546A"/>
        </w:rPr>
      </w:pPr>
      <w:r w:rsidRPr="000F15C3">
        <w:rPr>
          <w:i/>
          <w:color w:val="44546A"/>
        </w:rPr>
        <w:t>Table 1</w:t>
      </w:r>
      <w:r w:rsidR="00A42A79">
        <w:rPr>
          <w:i/>
          <w:color w:val="44546A"/>
        </w:rPr>
        <w:t>:</w:t>
      </w:r>
      <w:r w:rsidRPr="000F15C3">
        <w:rPr>
          <w:i/>
          <w:color w:val="44546A"/>
        </w:rPr>
        <w:t xml:space="preserve"> Average annual growth rates by domain over time</w:t>
      </w:r>
    </w:p>
    <w:tbl>
      <w:tblPr>
        <w:tblStyle w:val="TableGrid1"/>
        <w:tblW w:w="9356" w:type="dxa"/>
        <w:jc w:val="center"/>
        <w:tblLayout w:type="fixed"/>
        <w:tblLook w:val="0400" w:firstRow="0" w:lastRow="0" w:firstColumn="0" w:lastColumn="0" w:noHBand="0" w:noVBand="1"/>
      </w:tblPr>
      <w:tblGrid>
        <w:gridCol w:w="1106"/>
        <w:gridCol w:w="1178"/>
        <w:gridCol w:w="1179"/>
        <w:gridCol w:w="1178"/>
        <w:gridCol w:w="1179"/>
        <w:gridCol w:w="1178"/>
        <w:gridCol w:w="1179"/>
        <w:gridCol w:w="1179"/>
      </w:tblGrid>
      <w:tr w:rsidR="001A08B7" w14:paraId="34C1FFCE" w14:textId="77777777" w:rsidTr="000F15C3">
        <w:trPr>
          <w:trHeight w:val="315"/>
          <w:jc w:val="center"/>
        </w:trPr>
        <w:tc>
          <w:tcPr>
            <w:tcW w:w="1106" w:type="dxa"/>
            <w:tcMar>
              <w:left w:w="57" w:type="dxa"/>
              <w:right w:w="57" w:type="dxa"/>
            </w:tcMar>
          </w:tcPr>
          <w:p w14:paraId="000000A6" w14:textId="77777777" w:rsidR="001A08B7" w:rsidRDefault="001A08B7" w:rsidP="000F15C3">
            <w:pPr>
              <w:spacing w:before="60" w:after="60"/>
              <w:rPr>
                <w:rFonts w:ascii="Calibri" w:eastAsia="Calibri" w:hAnsi="Calibri" w:cs="Calibri"/>
              </w:rPr>
            </w:pPr>
            <w:r>
              <w:rPr>
                <w:rFonts w:ascii="Calibri" w:eastAsia="Calibri" w:hAnsi="Calibri" w:cs="Calibri"/>
                <w:color w:val="000000"/>
              </w:rPr>
              <w:t>Compound Annual Growth Rate</w:t>
            </w:r>
          </w:p>
        </w:tc>
        <w:tc>
          <w:tcPr>
            <w:tcW w:w="1178" w:type="dxa"/>
            <w:tcMar>
              <w:left w:w="57" w:type="dxa"/>
              <w:right w:w="57" w:type="dxa"/>
            </w:tcMar>
          </w:tcPr>
          <w:p w14:paraId="000000A7" w14:textId="3D98CDEF" w:rsidR="001A08B7" w:rsidRDefault="001A08B7" w:rsidP="000F15C3">
            <w:pPr>
              <w:spacing w:before="60" w:after="60"/>
              <w:jc w:val="center"/>
              <w:rPr>
                <w:rFonts w:ascii="Calibri" w:eastAsia="Calibri" w:hAnsi="Calibri" w:cs="Calibri"/>
              </w:rPr>
            </w:pPr>
            <w:r>
              <w:rPr>
                <w:rFonts w:ascii="Calibri" w:eastAsia="Calibri" w:hAnsi="Calibri" w:cs="Calibri"/>
                <w:color w:val="000000"/>
              </w:rPr>
              <w:t>Cultural and Natural Heritage</w:t>
            </w:r>
          </w:p>
        </w:tc>
        <w:tc>
          <w:tcPr>
            <w:tcW w:w="1179" w:type="dxa"/>
            <w:tcMar>
              <w:left w:w="57" w:type="dxa"/>
              <w:right w:w="57" w:type="dxa"/>
            </w:tcMar>
          </w:tcPr>
          <w:p w14:paraId="000000A8"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Performance and Celebration</w:t>
            </w:r>
          </w:p>
        </w:tc>
        <w:tc>
          <w:tcPr>
            <w:tcW w:w="1178" w:type="dxa"/>
            <w:tcMar>
              <w:left w:w="57" w:type="dxa"/>
              <w:right w:w="57" w:type="dxa"/>
            </w:tcMar>
          </w:tcPr>
          <w:p w14:paraId="000000A9"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Visual Arts and Crafts</w:t>
            </w:r>
          </w:p>
        </w:tc>
        <w:tc>
          <w:tcPr>
            <w:tcW w:w="1179" w:type="dxa"/>
            <w:tcMar>
              <w:left w:w="57" w:type="dxa"/>
              <w:right w:w="57" w:type="dxa"/>
            </w:tcMar>
          </w:tcPr>
          <w:p w14:paraId="000000AA"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Books and Press</w:t>
            </w:r>
          </w:p>
        </w:tc>
        <w:tc>
          <w:tcPr>
            <w:tcW w:w="1178" w:type="dxa"/>
            <w:tcMar>
              <w:left w:w="57" w:type="dxa"/>
              <w:right w:w="57" w:type="dxa"/>
            </w:tcMar>
          </w:tcPr>
          <w:p w14:paraId="000000AB"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Audio-visual and Interactive Media</w:t>
            </w:r>
          </w:p>
        </w:tc>
        <w:tc>
          <w:tcPr>
            <w:tcW w:w="1179" w:type="dxa"/>
            <w:tcMar>
              <w:left w:w="57" w:type="dxa"/>
              <w:right w:w="57" w:type="dxa"/>
            </w:tcMar>
          </w:tcPr>
          <w:p w14:paraId="000000AC"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Design and Creative Services</w:t>
            </w:r>
          </w:p>
        </w:tc>
        <w:tc>
          <w:tcPr>
            <w:tcW w:w="1179" w:type="dxa"/>
            <w:tcMar>
              <w:left w:w="57" w:type="dxa"/>
              <w:right w:w="57" w:type="dxa"/>
            </w:tcMar>
          </w:tcPr>
          <w:p w14:paraId="000000AD" w14:textId="77777777" w:rsidR="001A08B7" w:rsidRDefault="001A08B7" w:rsidP="000F15C3">
            <w:pPr>
              <w:spacing w:before="60" w:after="60"/>
              <w:jc w:val="center"/>
              <w:rPr>
                <w:rFonts w:ascii="Calibri" w:eastAsia="Calibri" w:hAnsi="Calibri" w:cs="Calibri"/>
              </w:rPr>
            </w:pPr>
            <w:r>
              <w:rPr>
                <w:rFonts w:ascii="Calibri" w:eastAsia="Calibri" w:hAnsi="Calibri" w:cs="Calibri"/>
                <w:color w:val="000000"/>
              </w:rPr>
              <w:t>Total</w:t>
            </w:r>
          </w:p>
        </w:tc>
      </w:tr>
      <w:tr w:rsidR="001A08B7" w14:paraId="117F56A8" w14:textId="77777777" w:rsidTr="000F15C3">
        <w:trPr>
          <w:trHeight w:val="315"/>
          <w:jc w:val="center"/>
        </w:trPr>
        <w:tc>
          <w:tcPr>
            <w:tcW w:w="1106" w:type="dxa"/>
            <w:tcMar>
              <w:left w:w="57" w:type="dxa"/>
              <w:right w:w="57" w:type="dxa"/>
            </w:tcMar>
          </w:tcPr>
          <w:p w14:paraId="000000AE" w14:textId="5E64ABAF" w:rsidR="001A08B7" w:rsidRDefault="001A08B7" w:rsidP="000F15C3">
            <w:pPr>
              <w:spacing w:before="60" w:after="60"/>
              <w:jc w:val="center"/>
              <w:rPr>
                <w:rFonts w:ascii="Calibri" w:eastAsia="Calibri" w:hAnsi="Calibri" w:cs="Calibri"/>
              </w:rPr>
            </w:pPr>
            <w:r>
              <w:rPr>
                <w:rFonts w:ascii="Calibri" w:eastAsia="Calibri" w:hAnsi="Calibri" w:cs="Calibri"/>
                <w:color w:val="000000"/>
              </w:rPr>
              <w:t>1993–2002</w:t>
            </w:r>
          </w:p>
        </w:tc>
        <w:tc>
          <w:tcPr>
            <w:tcW w:w="1178" w:type="dxa"/>
            <w:tcMar>
              <w:right w:w="284" w:type="dxa"/>
            </w:tcMar>
          </w:tcPr>
          <w:p w14:paraId="000000AF" w14:textId="55E8F0D7" w:rsidR="001A08B7" w:rsidRDefault="001A08B7" w:rsidP="000F15C3">
            <w:pPr>
              <w:spacing w:before="60" w:after="60"/>
              <w:jc w:val="right"/>
              <w:rPr>
                <w:rFonts w:ascii="Calibri" w:eastAsia="Calibri" w:hAnsi="Calibri" w:cs="Calibri"/>
              </w:rPr>
            </w:pPr>
            <w:r>
              <w:rPr>
                <w:rFonts w:ascii="Calibri" w:eastAsia="Calibri" w:hAnsi="Calibri" w:cs="Calibri"/>
                <w:color w:val="000000"/>
              </w:rPr>
              <w:t>4.80%</w:t>
            </w:r>
          </w:p>
        </w:tc>
        <w:tc>
          <w:tcPr>
            <w:tcW w:w="1179" w:type="dxa"/>
            <w:tcMar>
              <w:right w:w="284" w:type="dxa"/>
            </w:tcMar>
          </w:tcPr>
          <w:p w14:paraId="000000B0"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4.63%</w:t>
            </w:r>
          </w:p>
        </w:tc>
        <w:tc>
          <w:tcPr>
            <w:tcW w:w="1178" w:type="dxa"/>
            <w:tcMar>
              <w:right w:w="284" w:type="dxa"/>
            </w:tcMar>
          </w:tcPr>
          <w:p w14:paraId="000000B1"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1.20%</w:t>
            </w:r>
          </w:p>
        </w:tc>
        <w:tc>
          <w:tcPr>
            <w:tcW w:w="1179" w:type="dxa"/>
            <w:tcMar>
              <w:right w:w="284" w:type="dxa"/>
            </w:tcMar>
          </w:tcPr>
          <w:p w14:paraId="000000B2"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-0.08%</w:t>
            </w:r>
          </w:p>
        </w:tc>
        <w:tc>
          <w:tcPr>
            <w:tcW w:w="1178" w:type="dxa"/>
            <w:tcMar>
              <w:right w:w="284" w:type="dxa"/>
            </w:tcMar>
          </w:tcPr>
          <w:p w14:paraId="000000B3"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3.93%</w:t>
            </w:r>
          </w:p>
        </w:tc>
        <w:tc>
          <w:tcPr>
            <w:tcW w:w="1179" w:type="dxa"/>
            <w:tcMar>
              <w:right w:w="284" w:type="dxa"/>
            </w:tcMar>
          </w:tcPr>
          <w:p w14:paraId="000000B4"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7.08%</w:t>
            </w:r>
          </w:p>
        </w:tc>
        <w:tc>
          <w:tcPr>
            <w:tcW w:w="1179" w:type="dxa"/>
            <w:tcMar>
              <w:right w:w="284" w:type="dxa"/>
            </w:tcMar>
          </w:tcPr>
          <w:p w14:paraId="000000B5"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2.99%</w:t>
            </w:r>
          </w:p>
        </w:tc>
      </w:tr>
      <w:tr w:rsidR="001A08B7" w14:paraId="5D2C362F" w14:textId="77777777" w:rsidTr="000F15C3">
        <w:trPr>
          <w:trHeight w:val="300"/>
          <w:jc w:val="center"/>
        </w:trPr>
        <w:tc>
          <w:tcPr>
            <w:tcW w:w="1106" w:type="dxa"/>
            <w:tcMar>
              <w:left w:w="57" w:type="dxa"/>
              <w:right w:w="57" w:type="dxa"/>
            </w:tcMar>
          </w:tcPr>
          <w:p w14:paraId="000000B6" w14:textId="571B3602" w:rsidR="001A08B7" w:rsidRDefault="001A08B7" w:rsidP="000F15C3">
            <w:pPr>
              <w:spacing w:before="60" w:after="60"/>
              <w:jc w:val="center"/>
              <w:rPr>
                <w:rFonts w:ascii="Calibri" w:eastAsia="Calibri" w:hAnsi="Calibri" w:cs="Calibri"/>
              </w:rPr>
            </w:pPr>
            <w:r>
              <w:rPr>
                <w:rFonts w:ascii="Calibri" w:eastAsia="Calibri" w:hAnsi="Calibri" w:cs="Calibri"/>
                <w:color w:val="000000"/>
              </w:rPr>
              <w:t>2003–2012</w:t>
            </w:r>
          </w:p>
        </w:tc>
        <w:tc>
          <w:tcPr>
            <w:tcW w:w="1178" w:type="dxa"/>
            <w:tcMar>
              <w:right w:w="284" w:type="dxa"/>
            </w:tcMar>
          </w:tcPr>
          <w:p w14:paraId="000000B7" w14:textId="2A585980" w:rsidR="001A08B7" w:rsidRDefault="001A08B7" w:rsidP="000F15C3">
            <w:pPr>
              <w:spacing w:before="60" w:after="60"/>
              <w:jc w:val="right"/>
              <w:rPr>
                <w:rFonts w:ascii="Calibri" w:eastAsia="Calibri" w:hAnsi="Calibri" w:cs="Calibri"/>
              </w:rPr>
            </w:pPr>
            <w:r>
              <w:rPr>
                <w:rFonts w:ascii="Calibri" w:eastAsia="Calibri" w:hAnsi="Calibri" w:cs="Calibri"/>
                <w:color w:val="000000"/>
              </w:rPr>
              <w:t>9.96%</w:t>
            </w:r>
          </w:p>
        </w:tc>
        <w:tc>
          <w:tcPr>
            <w:tcW w:w="1179" w:type="dxa"/>
            <w:tcMar>
              <w:right w:w="284" w:type="dxa"/>
            </w:tcMar>
          </w:tcPr>
          <w:p w14:paraId="000000B8"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11.46%</w:t>
            </w:r>
          </w:p>
        </w:tc>
        <w:tc>
          <w:tcPr>
            <w:tcW w:w="1178" w:type="dxa"/>
            <w:tcMar>
              <w:right w:w="284" w:type="dxa"/>
            </w:tcMar>
          </w:tcPr>
          <w:p w14:paraId="000000B9"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2.61%</w:t>
            </w:r>
          </w:p>
        </w:tc>
        <w:tc>
          <w:tcPr>
            <w:tcW w:w="1179" w:type="dxa"/>
            <w:tcMar>
              <w:right w:w="284" w:type="dxa"/>
            </w:tcMar>
          </w:tcPr>
          <w:p w14:paraId="000000BA"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3.78%</w:t>
            </w:r>
          </w:p>
        </w:tc>
        <w:tc>
          <w:tcPr>
            <w:tcW w:w="1178" w:type="dxa"/>
            <w:tcMar>
              <w:right w:w="284" w:type="dxa"/>
            </w:tcMar>
          </w:tcPr>
          <w:p w14:paraId="000000BB"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6.26%</w:t>
            </w:r>
          </w:p>
        </w:tc>
        <w:tc>
          <w:tcPr>
            <w:tcW w:w="1179" w:type="dxa"/>
            <w:tcMar>
              <w:right w:w="284" w:type="dxa"/>
            </w:tcMar>
          </w:tcPr>
          <w:p w14:paraId="000000BC"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4.89%</w:t>
            </w:r>
          </w:p>
        </w:tc>
        <w:tc>
          <w:tcPr>
            <w:tcW w:w="1179" w:type="dxa"/>
            <w:tcMar>
              <w:right w:w="284" w:type="dxa"/>
            </w:tcMar>
          </w:tcPr>
          <w:p w14:paraId="000000BD"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4.99%</w:t>
            </w:r>
          </w:p>
        </w:tc>
      </w:tr>
      <w:tr w:rsidR="001A08B7" w14:paraId="04278A09" w14:textId="77777777" w:rsidTr="000F15C3">
        <w:trPr>
          <w:trHeight w:val="315"/>
          <w:jc w:val="center"/>
        </w:trPr>
        <w:tc>
          <w:tcPr>
            <w:tcW w:w="1106" w:type="dxa"/>
            <w:tcMar>
              <w:left w:w="57" w:type="dxa"/>
              <w:right w:w="57" w:type="dxa"/>
            </w:tcMar>
          </w:tcPr>
          <w:p w14:paraId="000000BE" w14:textId="49F3D7F9" w:rsidR="001A08B7" w:rsidRDefault="001A08B7" w:rsidP="000F15C3">
            <w:pPr>
              <w:spacing w:before="60" w:after="60"/>
              <w:jc w:val="center"/>
              <w:rPr>
                <w:rFonts w:ascii="Calibri" w:eastAsia="Calibri" w:hAnsi="Calibri" w:cs="Calibri"/>
              </w:rPr>
            </w:pPr>
            <w:r>
              <w:rPr>
                <w:rFonts w:ascii="Calibri" w:eastAsia="Calibri" w:hAnsi="Calibri" w:cs="Calibri"/>
                <w:color w:val="000000"/>
              </w:rPr>
              <w:t>2013–2019</w:t>
            </w:r>
          </w:p>
        </w:tc>
        <w:tc>
          <w:tcPr>
            <w:tcW w:w="1178" w:type="dxa"/>
            <w:tcMar>
              <w:right w:w="284" w:type="dxa"/>
            </w:tcMar>
          </w:tcPr>
          <w:p w14:paraId="000000BF" w14:textId="121A5CAB" w:rsidR="001A08B7" w:rsidRDefault="001A08B7" w:rsidP="000F15C3">
            <w:pPr>
              <w:spacing w:before="60" w:after="60"/>
              <w:jc w:val="right"/>
              <w:rPr>
                <w:rFonts w:ascii="Calibri" w:eastAsia="Calibri" w:hAnsi="Calibri" w:cs="Calibri"/>
              </w:rPr>
            </w:pPr>
            <w:r>
              <w:rPr>
                <w:rFonts w:ascii="Calibri" w:eastAsia="Calibri" w:hAnsi="Calibri" w:cs="Calibri"/>
                <w:color w:val="000000"/>
              </w:rPr>
              <w:t>0.28%</w:t>
            </w:r>
          </w:p>
        </w:tc>
        <w:tc>
          <w:tcPr>
            <w:tcW w:w="1179" w:type="dxa"/>
            <w:tcMar>
              <w:right w:w="284" w:type="dxa"/>
            </w:tcMar>
          </w:tcPr>
          <w:p w14:paraId="000000C0"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-0.07%</w:t>
            </w:r>
          </w:p>
        </w:tc>
        <w:tc>
          <w:tcPr>
            <w:tcW w:w="1178" w:type="dxa"/>
            <w:tcMar>
              <w:right w:w="284" w:type="dxa"/>
            </w:tcMar>
          </w:tcPr>
          <w:p w14:paraId="000000C1"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-0.46%</w:t>
            </w:r>
          </w:p>
        </w:tc>
        <w:tc>
          <w:tcPr>
            <w:tcW w:w="1179" w:type="dxa"/>
            <w:tcMar>
              <w:right w:w="284" w:type="dxa"/>
            </w:tcMar>
          </w:tcPr>
          <w:p w14:paraId="000000C2"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-1.50%</w:t>
            </w:r>
          </w:p>
        </w:tc>
        <w:tc>
          <w:tcPr>
            <w:tcW w:w="1178" w:type="dxa"/>
            <w:tcMar>
              <w:right w:w="284" w:type="dxa"/>
            </w:tcMar>
          </w:tcPr>
          <w:p w14:paraId="000000C3"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2.04%</w:t>
            </w:r>
          </w:p>
        </w:tc>
        <w:tc>
          <w:tcPr>
            <w:tcW w:w="1179" w:type="dxa"/>
            <w:tcMar>
              <w:right w:w="284" w:type="dxa"/>
            </w:tcMar>
          </w:tcPr>
          <w:p w14:paraId="000000C4"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0.47%</w:t>
            </w:r>
          </w:p>
        </w:tc>
        <w:tc>
          <w:tcPr>
            <w:tcW w:w="1179" w:type="dxa"/>
            <w:tcMar>
              <w:right w:w="284" w:type="dxa"/>
            </w:tcMar>
          </w:tcPr>
          <w:p w14:paraId="000000C5"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0.32%</w:t>
            </w:r>
          </w:p>
        </w:tc>
      </w:tr>
      <w:tr w:rsidR="001A08B7" w14:paraId="7BE73064" w14:textId="77777777" w:rsidTr="000F15C3">
        <w:trPr>
          <w:trHeight w:val="300"/>
          <w:jc w:val="center"/>
        </w:trPr>
        <w:tc>
          <w:tcPr>
            <w:tcW w:w="1106" w:type="dxa"/>
            <w:tcMar>
              <w:left w:w="57" w:type="dxa"/>
              <w:right w:w="57" w:type="dxa"/>
            </w:tcMar>
          </w:tcPr>
          <w:p w14:paraId="000000C6" w14:textId="2AB13EDB" w:rsidR="001A08B7" w:rsidRDefault="001A08B7" w:rsidP="000F15C3">
            <w:pPr>
              <w:spacing w:before="60" w:after="60"/>
              <w:jc w:val="center"/>
              <w:rPr>
                <w:rFonts w:ascii="Calibri" w:eastAsia="Calibri" w:hAnsi="Calibri" w:cs="Calibri"/>
              </w:rPr>
            </w:pPr>
            <w:r>
              <w:rPr>
                <w:rFonts w:ascii="Calibri" w:eastAsia="Calibri" w:hAnsi="Calibri" w:cs="Calibri"/>
                <w:color w:val="000000"/>
              </w:rPr>
              <w:lastRenderedPageBreak/>
              <w:t>2018–2020</w:t>
            </w:r>
          </w:p>
        </w:tc>
        <w:tc>
          <w:tcPr>
            <w:tcW w:w="1178" w:type="dxa"/>
            <w:tcMar>
              <w:right w:w="284" w:type="dxa"/>
            </w:tcMar>
          </w:tcPr>
          <w:p w14:paraId="000000C7" w14:textId="77FD6DE4" w:rsidR="001A08B7" w:rsidRDefault="001A08B7" w:rsidP="000F15C3">
            <w:pPr>
              <w:spacing w:before="60" w:after="60"/>
              <w:jc w:val="right"/>
              <w:rPr>
                <w:rFonts w:ascii="Calibri" w:eastAsia="Calibri" w:hAnsi="Calibri" w:cs="Calibri"/>
              </w:rPr>
            </w:pPr>
            <w:r>
              <w:rPr>
                <w:rFonts w:ascii="Calibri" w:eastAsia="Calibri" w:hAnsi="Calibri" w:cs="Calibri"/>
                <w:color w:val="000000"/>
              </w:rPr>
              <w:t>-0.50%</w:t>
            </w:r>
          </w:p>
        </w:tc>
        <w:tc>
          <w:tcPr>
            <w:tcW w:w="1179" w:type="dxa"/>
            <w:tcMar>
              <w:right w:w="284" w:type="dxa"/>
            </w:tcMar>
          </w:tcPr>
          <w:p w14:paraId="000000C8"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-0.49%</w:t>
            </w:r>
          </w:p>
        </w:tc>
        <w:tc>
          <w:tcPr>
            <w:tcW w:w="1178" w:type="dxa"/>
            <w:tcMar>
              <w:right w:w="284" w:type="dxa"/>
            </w:tcMar>
          </w:tcPr>
          <w:p w14:paraId="000000C9"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-2.13%</w:t>
            </w:r>
          </w:p>
        </w:tc>
        <w:tc>
          <w:tcPr>
            <w:tcW w:w="1179" w:type="dxa"/>
            <w:tcMar>
              <w:right w:w="284" w:type="dxa"/>
            </w:tcMar>
          </w:tcPr>
          <w:p w14:paraId="000000CA"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-1.81%</w:t>
            </w:r>
          </w:p>
        </w:tc>
        <w:tc>
          <w:tcPr>
            <w:tcW w:w="1178" w:type="dxa"/>
            <w:tcMar>
              <w:right w:w="284" w:type="dxa"/>
            </w:tcMar>
          </w:tcPr>
          <w:p w14:paraId="000000CB"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-0.29%</w:t>
            </w:r>
          </w:p>
        </w:tc>
        <w:tc>
          <w:tcPr>
            <w:tcW w:w="1179" w:type="dxa"/>
            <w:tcMar>
              <w:right w:w="284" w:type="dxa"/>
            </w:tcMar>
          </w:tcPr>
          <w:p w14:paraId="000000CC"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-0.60%</w:t>
            </w:r>
          </w:p>
        </w:tc>
        <w:tc>
          <w:tcPr>
            <w:tcW w:w="1179" w:type="dxa"/>
            <w:tcMar>
              <w:right w:w="284" w:type="dxa"/>
            </w:tcMar>
          </w:tcPr>
          <w:p w14:paraId="000000CD" w14:textId="77777777" w:rsidR="001A08B7" w:rsidRDefault="001A08B7" w:rsidP="000F15C3">
            <w:pPr>
              <w:spacing w:before="60" w:after="60"/>
              <w:jc w:val="right"/>
              <w:rPr>
                <w:rFonts w:ascii="Calibri" w:eastAsia="Calibri" w:hAnsi="Calibri" w:cs="Calibri"/>
              </w:rPr>
            </w:pPr>
            <w:r>
              <w:rPr>
                <w:rFonts w:ascii="Calibri" w:eastAsia="Calibri" w:hAnsi="Calibri" w:cs="Calibri"/>
                <w:color w:val="000000"/>
              </w:rPr>
              <w:t>-0.93%</w:t>
            </w:r>
          </w:p>
        </w:tc>
      </w:tr>
    </w:tbl>
    <w:p w14:paraId="000000CE" w14:textId="77777777" w:rsidR="0039297D" w:rsidRDefault="0039297D">
      <w:pPr>
        <w:rPr>
          <w:highlight w:val="yellow"/>
        </w:rPr>
      </w:pPr>
    </w:p>
    <w:p w14:paraId="000000CF" w14:textId="5F397EF2" w:rsidR="0039297D" w:rsidRPr="000F15C3" w:rsidRDefault="004273CA" w:rsidP="000F15C3">
      <w:pPr>
        <w:spacing w:line="259" w:lineRule="auto"/>
        <w:rPr>
          <w:sz w:val="22"/>
          <w:szCs w:val="22"/>
        </w:rPr>
      </w:pPr>
      <w:r w:rsidRPr="000F15C3">
        <w:rPr>
          <w:sz w:val="22"/>
          <w:szCs w:val="22"/>
        </w:rPr>
        <w:t xml:space="preserve">The most recent period (2018–2020) saw negative growth rates for all domains, and for the sector as a whole because of the general slow-down since 2018, and of course, the impact of the lockdown measures to control the COVID-19 pandemic. </w:t>
      </w:r>
    </w:p>
    <w:p w14:paraId="000000D0" w14:textId="77777777" w:rsidR="0039297D" w:rsidRDefault="004273CA">
      <w:pPr>
        <w:pStyle w:val="Heading1"/>
      </w:pPr>
      <w:bookmarkStart w:id="43" w:name="_Toc90193708"/>
      <w:bookmarkStart w:id="44" w:name="_Toc90193729"/>
      <w:bookmarkStart w:id="45" w:name="_Toc90193756"/>
      <w:r>
        <w:t>Job Creation and Transformation</w:t>
      </w:r>
      <w:bookmarkEnd w:id="43"/>
      <w:bookmarkEnd w:id="44"/>
      <w:bookmarkEnd w:id="45"/>
    </w:p>
    <w:p w14:paraId="000000D1" w14:textId="6F55A798" w:rsidR="0039297D" w:rsidRDefault="004273CA" w:rsidP="000F15C3">
      <w:pPr>
        <w:spacing w:line="259" w:lineRule="auto"/>
        <w:rPr>
          <w:sz w:val="22"/>
          <w:szCs w:val="22"/>
        </w:rPr>
      </w:pPr>
      <w:r>
        <w:rPr>
          <w:sz w:val="22"/>
          <w:szCs w:val="22"/>
        </w:rPr>
        <w:t xml:space="preserve">To determine the changes in cultural occupations over time, the PALMS dataset was used (available up to 2018 at the time of writing), as described in the </w:t>
      </w:r>
      <w:r w:rsidR="008C6AE5">
        <w:rPr>
          <w:sz w:val="22"/>
          <w:szCs w:val="22"/>
        </w:rPr>
        <w:t xml:space="preserve">Data and Research </w:t>
      </w:r>
      <w:r>
        <w:rPr>
          <w:sz w:val="22"/>
          <w:szCs w:val="22"/>
        </w:rPr>
        <w:t>Methods section</w:t>
      </w:r>
      <w:r w:rsidR="008C6AE5">
        <w:rPr>
          <w:sz w:val="22"/>
          <w:szCs w:val="22"/>
        </w:rPr>
        <w:t xml:space="preserve"> (Section 3)</w:t>
      </w:r>
      <w:r>
        <w:rPr>
          <w:sz w:val="22"/>
          <w:szCs w:val="22"/>
        </w:rPr>
        <w:t>. The analysis was divided into three 5-year periods:</w:t>
      </w:r>
    </w:p>
    <w:p w14:paraId="000000D2" w14:textId="0279F5B8" w:rsidR="0039297D" w:rsidRDefault="004273CA" w:rsidP="000F15C3">
      <w:pPr>
        <w:numPr>
          <w:ilvl w:val="0"/>
          <w:numId w:val="2"/>
        </w:numPr>
        <w:pBdr>
          <w:top w:val="nil"/>
          <w:left w:val="nil"/>
          <w:bottom w:val="nil"/>
          <w:right w:val="nil"/>
          <w:between w:val="nil"/>
        </w:pBdr>
        <w:spacing w:after="0" w:line="259" w:lineRule="auto"/>
        <w:ind w:left="714" w:hanging="357"/>
        <w:jc w:val="left"/>
        <w:rPr>
          <w:color w:val="000000"/>
          <w:sz w:val="22"/>
          <w:szCs w:val="22"/>
        </w:rPr>
      </w:pPr>
      <w:r>
        <w:rPr>
          <w:color w:val="000000"/>
          <w:sz w:val="22"/>
          <w:szCs w:val="22"/>
        </w:rPr>
        <w:t>Period 1: 2005–2009, ending with the financial crisis,</w:t>
      </w:r>
    </w:p>
    <w:p w14:paraId="000000D3" w14:textId="37232499" w:rsidR="0039297D" w:rsidRDefault="004273CA" w:rsidP="000F15C3">
      <w:pPr>
        <w:numPr>
          <w:ilvl w:val="0"/>
          <w:numId w:val="2"/>
        </w:numPr>
        <w:pBdr>
          <w:top w:val="nil"/>
          <w:left w:val="nil"/>
          <w:bottom w:val="nil"/>
          <w:right w:val="nil"/>
          <w:between w:val="nil"/>
        </w:pBdr>
        <w:spacing w:after="0" w:line="259" w:lineRule="auto"/>
        <w:ind w:left="714" w:hanging="357"/>
        <w:jc w:val="left"/>
        <w:rPr>
          <w:color w:val="000000"/>
          <w:sz w:val="22"/>
          <w:szCs w:val="22"/>
        </w:rPr>
      </w:pPr>
      <w:r>
        <w:rPr>
          <w:color w:val="000000"/>
          <w:sz w:val="22"/>
          <w:szCs w:val="22"/>
        </w:rPr>
        <w:t>Period 2: 2010–2014, the post-financial crisis recovery period,</w:t>
      </w:r>
    </w:p>
    <w:p w14:paraId="000000D4" w14:textId="5C9E2941" w:rsidR="0039297D" w:rsidRDefault="004273CA" w:rsidP="00091E8B">
      <w:pPr>
        <w:numPr>
          <w:ilvl w:val="0"/>
          <w:numId w:val="2"/>
        </w:numPr>
        <w:pBdr>
          <w:top w:val="nil"/>
          <w:left w:val="nil"/>
          <w:bottom w:val="nil"/>
          <w:right w:val="nil"/>
          <w:between w:val="nil"/>
        </w:pBdr>
        <w:spacing w:line="259" w:lineRule="auto"/>
        <w:jc w:val="left"/>
        <w:rPr>
          <w:color w:val="000000"/>
          <w:sz w:val="22"/>
          <w:szCs w:val="22"/>
        </w:rPr>
      </w:pPr>
      <w:r>
        <w:rPr>
          <w:color w:val="000000"/>
          <w:sz w:val="22"/>
          <w:szCs w:val="22"/>
        </w:rPr>
        <w:t>Period 3: 2015–2018, the most recent period.</w:t>
      </w:r>
    </w:p>
    <w:p w14:paraId="000000D5" w14:textId="77777777" w:rsidR="0039297D" w:rsidRDefault="004273CA" w:rsidP="000F15C3">
      <w:pPr>
        <w:spacing w:line="259" w:lineRule="auto"/>
        <w:rPr>
          <w:sz w:val="22"/>
          <w:szCs w:val="22"/>
        </w:rPr>
      </w:pPr>
      <w:r>
        <w:rPr>
          <w:sz w:val="22"/>
          <w:szCs w:val="22"/>
        </w:rPr>
        <w:t>As explained earlier in the report, the analysis is for “cultural occupations”, that is, for people in what are classified as cultural or creative jobs, some of which may be in a cultural industry, and some of which may be embedded in non-cultural industries.</w:t>
      </w:r>
    </w:p>
    <w:p w14:paraId="000000D6" w14:textId="77777777" w:rsidR="0039297D" w:rsidRDefault="004273CA" w:rsidP="000F15C3">
      <w:pPr>
        <w:pStyle w:val="Heading2"/>
        <w:ind w:left="578" w:hanging="578"/>
        <w:jc w:val="left"/>
      </w:pPr>
      <w:bookmarkStart w:id="46" w:name="_Toc90193709"/>
      <w:bookmarkStart w:id="47" w:name="_Toc90193730"/>
      <w:bookmarkStart w:id="48" w:name="_Toc90193757"/>
      <w:r>
        <w:t>The contribution of the CCIs to job creation in South Africa</w:t>
      </w:r>
      <w:bookmarkEnd w:id="46"/>
      <w:bookmarkEnd w:id="47"/>
      <w:bookmarkEnd w:id="48"/>
    </w:p>
    <w:p w14:paraId="000000D7" w14:textId="77777777" w:rsidR="0039297D" w:rsidRDefault="004273CA" w:rsidP="000F15C3">
      <w:pPr>
        <w:spacing w:line="259" w:lineRule="auto"/>
        <w:rPr>
          <w:sz w:val="22"/>
          <w:szCs w:val="22"/>
        </w:rPr>
      </w:pPr>
      <w:r>
        <w:rPr>
          <w:sz w:val="22"/>
          <w:szCs w:val="22"/>
        </w:rPr>
        <w:t>In 2008, before the financial crisis, cultural occupations provided 475 000 jobs, and made up 2.6% of the workforce. The following year saw a significant drop in both the number and percentage of cultural occupations, which reached a low point in 2015 with 323 500 people in cultural occupations (2% of the workforce).</w:t>
      </w:r>
    </w:p>
    <w:p w14:paraId="000000D8" w14:textId="77777777" w:rsidR="0039297D" w:rsidRDefault="004273CA" w:rsidP="000F15C3">
      <w:pPr>
        <w:spacing w:line="259" w:lineRule="auto"/>
        <w:rPr>
          <w:sz w:val="22"/>
          <w:szCs w:val="22"/>
        </w:rPr>
      </w:pPr>
      <w:r>
        <w:rPr>
          <w:sz w:val="22"/>
          <w:szCs w:val="22"/>
        </w:rPr>
        <w:t xml:space="preserve">Since 2015, there has been significant recovery (assisted perhaps by increased policy focus on the cultural and creative industries, and marginally better GDP growth), although never reaching the pre-financial-crisis levels. The number of people working in cultural occupations in South Africa in 2019 was 385 600, which made up 2.3% of the workforce (as further discussed in Chapter 2). </w:t>
      </w:r>
    </w:p>
    <w:p w14:paraId="000000D9" w14:textId="1B8207BA" w:rsidR="0039297D" w:rsidRDefault="00BD0C3D">
      <w:pPr>
        <w:spacing w:line="259" w:lineRule="auto"/>
        <w:jc w:val="left"/>
        <w:rPr>
          <w:b/>
          <w:color w:val="2E75B5"/>
          <w:sz w:val="26"/>
          <w:szCs w:val="26"/>
        </w:rPr>
      </w:pPr>
      <w:r>
        <w:rPr>
          <w:noProof/>
          <w:lang w:val="en-ZA"/>
        </w:rPr>
        <w:drawing>
          <wp:inline distT="0" distB="0" distL="0" distR="0" wp14:anchorId="666F2E27" wp14:editId="7FC018B2">
            <wp:extent cx="5731510" cy="2823210"/>
            <wp:effectExtent l="0" t="0" r="2540" b="15240"/>
            <wp:docPr id="24" name="Chart 24">
              <a:extLst xmlns:a="http://schemas.openxmlformats.org/drawingml/2006/main">
                <a:ext uri="{FF2B5EF4-FFF2-40B4-BE49-F238E27FC236}">
                  <a16:creationId xmlns:a16="http://schemas.microsoft.com/office/drawing/2014/main" id="{AA33DB86-D841-4EB1-9FA7-CB5FD77D5E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00000DA" w14:textId="32363696" w:rsidR="0039297D" w:rsidRPr="000F15C3" w:rsidRDefault="004273CA">
      <w:pPr>
        <w:pBdr>
          <w:top w:val="nil"/>
          <w:left w:val="nil"/>
          <w:bottom w:val="nil"/>
          <w:right w:val="nil"/>
          <w:between w:val="nil"/>
        </w:pBdr>
        <w:spacing w:after="200"/>
        <w:rPr>
          <w:b/>
          <w:i/>
          <w:color w:val="2E75B5"/>
          <w:sz w:val="28"/>
          <w:szCs w:val="28"/>
        </w:rPr>
      </w:pPr>
      <w:bookmarkStart w:id="49" w:name="_heading=h.1pxezwc" w:colFirst="0" w:colLast="0"/>
      <w:bookmarkEnd w:id="49"/>
      <w:r w:rsidRPr="000F15C3">
        <w:rPr>
          <w:i/>
          <w:color w:val="44546A"/>
        </w:rPr>
        <w:t>Figure 8</w:t>
      </w:r>
      <w:r w:rsidR="008C6AE5" w:rsidRPr="000F15C3">
        <w:rPr>
          <w:i/>
          <w:color w:val="44546A"/>
        </w:rPr>
        <w:t>:</w:t>
      </w:r>
      <w:r w:rsidRPr="000F15C3">
        <w:rPr>
          <w:i/>
          <w:color w:val="44546A"/>
        </w:rPr>
        <w:t xml:space="preserve"> The number and percentage of people in cultural occupations 2008</w:t>
      </w:r>
      <w:r w:rsidR="008C6AE5" w:rsidRPr="000F15C3">
        <w:rPr>
          <w:i/>
          <w:color w:val="44546A"/>
        </w:rPr>
        <w:t>–</w:t>
      </w:r>
      <w:r w:rsidRPr="000F15C3">
        <w:rPr>
          <w:i/>
          <w:color w:val="44546A"/>
        </w:rPr>
        <w:t>2019</w:t>
      </w:r>
    </w:p>
    <w:p w14:paraId="000000DC" w14:textId="7A86A6A2" w:rsidR="0039297D" w:rsidRDefault="004273CA">
      <w:pPr>
        <w:spacing w:line="259" w:lineRule="auto"/>
        <w:jc w:val="left"/>
        <w:rPr>
          <w:i/>
          <w:color w:val="44546A"/>
          <w:sz w:val="18"/>
          <w:szCs w:val="18"/>
        </w:rPr>
      </w:pPr>
      <w:r>
        <w:t>Source: LMDS data 2008</w:t>
      </w:r>
      <w:r w:rsidR="008C6AE5">
        <w:t>–</w:t>
      </w:r>
      <w:r>
        <w:t>2019; Authors’ own analysis</w:t>
      </w:r>
      <w:r>
        <w:br w:type="page"/>
      </w:r>
    </w:p>
    <w:p w14:paraId="000000DD" w14:textId="1AB38240" w:rsidR="0039297D" w:rsidRDefault="004273CA">
      <w:pPr>
        <w:pBdr>
          <w:top w:val="nil"/>
          <w:left w:val="nil"/>
          <w:bottom w:val="nil"/>
          <w:right w:val="nil"/>
          <w:between w:val="nil"/>
        </w:pBdr>
        <w:spacing w:after="200"/>
        <w:rPr>
          <w:i/>
          <w:color w:val="44546A"/>
          <w:sz w:val="18"/>
          <w:szCs w:val="18"/>
        </w:rPr>
      </w:pPr>
      <w:r>
        <w:rPr>
          <w:i/>
          <w:color w:val="44546A"/>
          <w:sz w:val="18"/>
          <w:szCs w:val="18"/>
        </w:rPr>
        <w:lastRenderedPageBreak/>
        <w:t>Table 2</w:t>
      </w:r>
      <w:r w:rsidR="008C6AE5">
        <w:rPr>
          <w:i/>
          <w:color w:val="44546A"/>
          <w:sz w:val="18"/>
          <w:szCs w:val="18"/>
        </w:rPr>
        <w:t>:</w:t>
      </w:r>
      <w:r>
        <w:rPr>
          <w:i/>
          <w:color w:val="44546A"/>
          <w:sz w:val="18"/>
          <w:szCs w:val="18"/>
        </w:rPr>
        <w:t xml:space="preserve"> Average percentage of cultural occupations in each domain by time period</w:t>
      </w:r>
    </w:p>
    <w:tbl>
      <w:tblPr>
        <w:tblStyle w:val="TableGrid1"/>
        <w:tblW w:w="9072" w:type="dxa"/>
        <w:jc w:val="center"/>
        <w:tblLayout w:type="fixed"/>
        <w:tblLook w:val="0400" w:firstRow="0" w:lastRow="0" w:firstColumn="0" w:lastColumn="0" w:noHBand="0" w:noVBand="1"/>
      </w:tblPr>
      <w:tblGrid>
        <w:gridCol w:w="3564"/>
        <w:gridCol w:w="1377"/>
        <w:gridCol w:w="1377"/>
        <w:gridCol w:w="1377"/>
        <w:gridCol w:w="1377"/>
      </w:tblGrid>
      <w:tr w:rsidR="0039297D" w14:paraId="6F386436" w14:textId="77777777" w:rsidTr="000F15C3">
        <w:trPr>
          <w:trHeight w:val="590"/>
          <w:jc w:val="center"/>
        </w:trPr>
        <w:tc>
          <w:tcPr>
            <w:tcW w:w="3564" w:type="dxa"/>
          </w:tcPr>
          <w:p w14:paraId="000000DE" w14:textId="77777777" w:rsidR="0039297D" w:rsidRDefault="0039297D" w:rsidP="000F15C3">
            <w:pPr>
              <w:spacing w:before="60" w:after="60"/>
              <w:rPr>
                <w:rFonts w:ascii="Calibri" w:eastAsia="Calibri" w:hAnsi="Calibri" w:cs="Calibri"/>
                <w:b/>
                <w:color w:val="000000"/>
              </w:rPr>
            </w:pPr>
          </w:p>
        </w:tc>
        <w:tc>
          <w:tcPr>
            <w:tcW w:w="1377" w:type="dxa"/>
          </w:tcPr>
          <w:p w14:paraId="000000E0" w14:textId="3E48184F" w:rsidR="0039297D" w:rsidRDefault="004273CA" w:rsidP="000F15C3">
            <w:pPr>
              <w:spacing w:before="60" w:after="60"/>
              <w:jc w:val="center"/>
              <w:rPr>
                <w:rFonts w:ascii="Calibri" w:eastAsia="Calibri" w:hAnsi="Calibri" w:cs="Calibri"/>
                <w:color w:val="000000"/>
              </w:rPr>
            </w:pPr>
            <w:r>
              <w:rPr>
                <w:rFonts w:ascii="Calibri" w:eastAsia="Calibri" w:hAnsi="Calibri" w:cs="Calibri"/>
                <w:b/>
                <w:color w:val="000000"/>
              </w:rPr>
              <w:t>Period 1:</w:t>
            </w:r>
            <w:r w:rsidR="00C9172C">
              <w:rPr>
                <w:rFonts w:ascii="Calibri" w:eastAsia="Calibri" w:hAnsi="Calibri" w:cs="Calibri"/>
                <w:b/>
                <w:color w:val="000000"/>
              </w:rPr>
              <w:br/>
            </w:r>
            <w:r>
              <w:rPr>
                <w:rFonts w:ascii="Calibri" w:eastAsia="Calibri" w:hAnsi="Calibri" w:cs="Calibri"/>
                <w:b/>
                <w:color w:val="000000"/>
              </w:rPr>
              <w:t>2005</w:t>
            </w:r>
            <w:r w:rsidR="008C6AE5">
              <w:rPr>
                <w:rFonts w:ascii="Calibri" w:eastAsia="Calibri" w:hAnsi="Calibri" w:cs="Calibri"/>
                <w:b/>
                <w:color w:val="000000"/>
              </w:rPr>
              <w:t>–20</w:t>
            </w:r>
            <w:r>
              <w:rPr>
                <w:rFonts w:ascii="Calibri" w:eastAsia="Calibri" w:hAnsi="Calibri" w:cs="Calibri"/>
                <w:b/>
                <w:color w:val="000000"/>
              </w:rPr>
              <w:t>09</w:t>
            </w:r>
          </w:p>
        </w:tc>
        <w:tc>
          <w:tcPr>
            <w:tcW w:w="1377" w:type="dxa"/>
          </w:tcPr>
          <w:p w14:paraId="000000E2" w14:textId="26FC3741" w:rsidR="0039297D" w:rsidRDefault="004273CA" w:rsidP="000F15C3">
            <w:pPr>
              <w:spacing w:before="60" w:after="60"/>
              <w:jc w:val="center"/>
              <w:rPr>
                <w:rFonts w:ascii="Calibri" w:eastAsia="Calibri" w:hAnsi="Calibri" w:cs="Calibri"/>
                <w:color w:val="000000"/>
              </w:rPr>
            </w:pPr>
            <w:r>
              <w:rPr>
                <w:rFonts w:ascii="Calibri" w:eastAsia="Calibri" w:hAnsi="Calibri" w:cs="Calibri"/>
                <w:b/>
                <w:color w:val="000000"/>
              </w:rPr>
              <w:t>Period 2:</w:t>
            </w:r>
            <w:r w:rsidR="00C9172C">
              <w:rPr>
                <w:rFonts w:ascii="Calibri" w:eastAsia="Calibri" w:hAnsi="Calibri" w:cs="Calibri"/>
                <w:b/>
                <w:color w:val="000000"/>
              </w:rPr>
              <w:br/>
            </w:r>
            <w:r>
              <w:rPr>
                <w:rFonts w:ascii="Calibri" w:eastAsia="Calibri" w:hAnsi="Calibri" w:cs="Calibri"/>
                <w:b/>
                <w:color w:val="000000"/>
              </w:rPr>
              <w:t>2010</w:t>
            </w:r>
            <w:r w:rsidR="008C6AE5">
              <w:rPr>
                <w:rFonts w:ascii="Calibri" w:eastAsia="Calibri" w:hAnsi="Calibri" w:cs="Calibri"/>
                <w:b/>
                <w:color w:val="000000"/>
              </w:rPr>
              <w:t>–20</w:t>
            </w:r>
            <w:r>
              <w:rPr>
                <w:rFonts w:ascii="Calibri" w:eastAsia="Calibri" w:hAnsi="Calibri" w:cs="Calibri"/>
                <w:b/>
                <w:color w:val="000000"/>
              </w:rPr>
              <w:t>14</w:t>
            </w:r>
          </w:p>
        </w:tc>
        <w:tc>
          <w:tcPr>
            <w:tcW w:w="1377" w:type="dxa"/>
          </w:tcPr>
          <w:p w14:paraId="000000E4" w14:textId="2203EFFE" w:rsidR="0039297D" w:rsidRDefault="004273CA" w:rsidP="000F15C3">
            <w:pPr>
              <w:spacing w:before="60" w:after="60"/>
              <w:jc w:val="center"/>
              <w:rPr>
                <w:rFonts w:ascii="Calibri" w:eastAsia="Calibri" w:hAnsi="Calibri" w:cs="Calibri"/>
                <w:color w:val="000000"/>
              </w:rPr>
            </w:pPr>
            <w:r>
              <w:rPr>
                <w:rFonts w:ascii="Calibri" w:eastAsia="Calibri" w:hAnsi="Calibri" w:cs="Calibri"/>
                <w:b/>
                <w:color w:val="000000"/>
              </w:rPr>
              <w:t>Period 3:</w:t>
            </w:r>
            <w:r w:rsidR="00C9172C">
              <w:rPr>
                <w:rFonts w:ascii="Calibri" w:eastAsia="Calibri" w:hAnsi="Calibri" w:cs="Calibri"/>
                <w:b/>
                <w:color w:val="000000"/>
              </w:rPr>
              <w:br/>
            </w:r>
            <w:r>
              <w:rPr>
                <w:rFonts w:ascii="Calibri" w:eastAsia="Calibri" w:hAnsi="Calibri" w:cs="Calibri"/>
                <w:b/>
                <w:color w:val="000000"/>
              </w:rPr>
              <w:t>2015</w:t>
            </w:r>
            <w:r w:rsidR="008C6AE5">
              <w:rPr>
                <w:rFonts w:ascii="Calibri" w:eastAsia="Calibri" w:hAnsi="Calibri" w:cs="Calibri"/>
                <w:b/>
                <w:color w:val="000000"/>
              </w:rPr>
              <w:t>–20</w:t>
            </w:r>
            <w:r>
              <w:rPr>
                <w:rFonts w:ascii="Calibri" w:eastAsia="Calibri" w:hAnsi="Calibri" w:cs="Calibri"/>
                <w:b/>
                <w:color w:val="000000"/>
              </w:rPr>
              <w:t>18</w:t>
            </w:r>
          </w:p>
        </w:tc>
        <w:tc>
          <w:tcPr>
            <w:tcW w:w="1377" w:type="dxa"/>
            <w:tcMar>
              <w:left w:w="28" w:type="dxa"/>
              <w:right w:w="28" w:type="dxa"/>
            </w:tcMar>
          </w:tcPr>
          <w:p w14:paraId="000000E5" w14:textId="2491CDBF" w:rsidR="0039297D" w:rsidRPr="000F15C3" w:rsidRDefault="004273CA" w:rsidP="000F15C3">
            <w:pPr>
              <w:spacing w:before="60" w:after="60"/>
              <w:jc w:val="center"/>
              <w:rPr>
                <w:rFonts w:ascii="Calibri" w:eastAsia="Calibri" w:hAnsi="Calibri" w:cs="Calibri"/>
                <w:b/>
                <w:bCs/>
                <w:color w:val="000000"/>
              </w:rPr>
            </w:pPr>
            <w:r w:rsidRPr="000F15C3">
              <w:rPr>
                <w:rFonts w:ascii="Calibri" w:eastAsia="Calibri" w:hAnsi="Calibri" w:cs="Calibri"/>
                <w:b/>
                <w:bCs/>
                <w:color w:val="000000"/>
              </w:rPr>
              <w:t>Percentage</w:t>
            </w:r>
            <w:r w:rsidR="007E16E4" w:rsidRPr="000F15C3">
              <w:rPr>
                <w:rFonts w:ascii="Calibri" w:eastAsia="Calibri" w:hAnsi="Calibri" w:cs="Calibri"/>
                <w:b/>
                <w:bCs/>
                <w:color w:val="000000"/>
              </w:rPr>
              <w:t xml:space="preserve"> </w:t>
            </w:r>
            <w:r w:rsidRPr="000F15C3">
              <w:rPr>
                <w:rFonts w:ascii="Calibri" w:eastAsia="Calibri" w:hAnsi="Calibri" w:cs="Calibri"/>
                <w:b/>
                <w:bCs/>
                <w:color w:val="000000"/>
              </w:rPr>
              <w:t>change</w:t>
            </w:r>
            <w:r w:rsidR="007E16E4" w:rsidRPr="000F15C3">
              <w:rPr>
                <w:rFonts w:ascii="Calibri" w:eastAsia="Calibri" w:hAnsi="Calibri" w:cs="Calibri"/>
                <w:b/>
                <w:bCs/>
                <w:color w:val="000000"/>
              </w:rPr>
              <w:t xml:space="preserve"> </w:t>
            </w:r>
            <w:r w:rsidRPr="000F15C3">
              <w:rPr>
                <w:rFonts w:ascii="Calibri" w:eastAsia="Calibri" w:hAnsi="Calibri" w:cs="Calibri"/>
                <w:b/>
                <w:bCs/>
                <w:color w:val="000000"/>
              </w:rPr>
              <w:t>P1 to P3</w:t>
            </w:r>
          </w:p>
        </w:tc>
      </w:tr>
      <w:tr w:rsidR="0039297D" w14:paraId="61695D6E" w14:textId="77777777" w:rsidTr="000F15C3">
        <w:trPr>
          <w:trHeight w:val="295"/>
          <w:jc w:val="center"/>
        </w:trPr>
        <w:tc>
          <w:tcPr>
            <w:tcW w:w="3564" w:type="dxa"/>
          </w:tcPr>
          <w:p w14:paraId="000000E6"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Cultural and Natural Heritage</w:t>
            </w:r>
          </w:p>
        </w:tc>
        <w:tc>
          <w:tcPr>
            <w:tcW w:w="1377" w:type="dxa"/>
            <w:tcMar>
              <w:left w:w="284" w:type="dxa"/>
              <w:right w:w="284" w:type="dxa"/>
            </w:tcMar>
          </w:tcPr>
          <w:p w14:paraId="000000E7"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0.3%</w:t>
            </w:r>
          </w:p>
        </w:tc>
        <w:tc>
          <w:tcPr>
            <w:tcW w:w="1377" w:type="dxa"/>
            <w:tcMar>
              <w:left w:w="284" w:type="dxa"/>
              <w:right w:w="284" w:type="dxa"/>
            </w:tcMar>
          </w:tcPr>
          <w:p w14:paraId="000000E8"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0.6%</w:t>
            </w:r>
          </w:p>
        </w:tc>
        <w:tc>
          <w:tcPr>
            <w:tcW w:w="1377" w:type="dxa"/>
            <w:tcMar>
              <w:left w:w="284" w:type="dxa"/>
              <w:right w:w="284" w:type="dxa"/>
            </w:tcMar>
          </w:tcPr>
          <w:p w14:paraId="000000E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0.5%</w:t>
            </w:r>
          </w:p>
        </w:tc>
        <w:tc>
          <w:tcPr>
            <w:tcW w:w="1377" w:type="dxa"/>
            <w:tcMar>
              <w:left w:w="284" w:type="dxa"/>
              <w:right w:w="284" w:type="dxa"/>
            </w:tcMar>
          </w:tcPr>
          <w:p w14:paraId="000000EA"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60.0%</w:t>
            </w:r>
          </w:p>
        </w:tc>
      </w:tr>
      <w:tr w:rsidR="0039297D" w14:paraId="223241DE" w14:textId="77777777" w:rsidTr="000F15C3">
        <w:trPr>
          <w:trHeight w:val="295"/>
          <w:jc w:val="center"/>
        </w:trPr>
        <w:tc>
          <w:tcPr>
            <w:tcW w:w="3564" w:type="dxa"/>
          </w:tcPr>
          <w:p w14:paraId="000000EB"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Performance and Celebration</w:t>
            </w:r>
          </w:p>
        </w:tc>
        <w:tc>
          <w:tcPr>
            <w:tcW w:w="1377" w:type="dxa"/>
            <w:tcMar>
              <w:left w:w="284" w:type="dxa"/>
              <w:right w:w="284" w:type="dxa"/>
            </w:tcMar>
          </w:tcPr>
          <w:p w14:paraId="000000EC"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2.7%</w:t>
            </w:r>
          </w:p>
        </w:tc>
        <w:tc>
          <w:tcPr>
            <w:tcW w:w="1377" w:type="dxa"/>
            <w:tcMar>
              <w:left w:w="284" w:type="dxa"/>
              <w:right w:w="284" w:type="dxa"/>
            </w:tcMar>
          </w:tcPr>
          <w:p w14:paraId="000000ED"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4.0%</w:t>
            </w:r>
          </w:p>
        </w:tc>
        <w:tc>
          <w:tcPr>
            <w:tcW w:w="1377" w:type="dxa"/>
            <w:tcMar>
              <w:left w:w="284" w:type="dxa"/>
              <w:right w:w="284" w:type="dxa"/>
            </w:tcMar>
          </w:tcPr>
          <w:p w14:paraId="000000EE"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4.6%</w:t>
            </w:r>
          </w:p>
        </w:tc>
        <w:tc>
          <w:tcPr>
            <w:tcW w:w="1377" w:type="dxa"/>
            <w:tcMar>
              <w:left w:w="284" w:type="dxa"/>
              <w:right w:w="284" w:type="dxa"/>
            </w:tcMar>
          </w:tcPr>
          <w:p w14:paraId="000000EF"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68.5%</w:t>
            </w:r>
          </w:p>
        </w:tc>
      </w:tr>
      <w:tr w:rsidR="0039297D" w14:paraId="7D15B39E" w14:textId="77777777" w:rsidTr="000F15C3">
        <w:trPr>
          <w:trHeight w:val="295"/>
          <w:jc w:val="center"/>
        </w:trPr>
        <w:tc>
          <w:tcPr>
            <w:tcW w:w="3564" w:type="dxa"/>
          </w:tcPr>
          <w:p w14:paraId="000000F0"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Visual Arts and Crafts</w:t>
            </w:r>
          </w:p>
        </w:tc>
        <w:tc>
          <w:tcPr>
            <w:tcW w:w="1377" w:type="dxa"/>
            <w:tcMar>
              <w:left w:w="284" w:type="dxa"/>
              <w:right w:w="284" w:type="dxa"/>
            </w:tcMar>
          </w:tcPr>
          <w:p w14:paraId="000000F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46.9%</w:t>
            </w:r>
          </w:p>
        </w:tc>
        <w:tc>
          <w:tcPr>
            <w:tcW w:w="1377" w:type="dxa"/>
            <w:tcMar>
              <w:left w:w="284" w:type="dxa"/>
              <w:right w:w="284" w:type="dxa"/>
            </w:tcMar>
          </w:tcPr>
          <w:p w14:paraId="000000F2"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42.6%</w:t>
            </w:r>
          </w:p>
        </w:tc>
        <w:tc>
          <w:tcPr>
            <w:tcW w:w="1377" w:type="dxa"/>
            <w:tcMar>
              <w:left w:w="284" w:type="dxa"/>
              <w:right w:w="284" w:type="dxa"/>
            </w:tcMar>
          </w:tcPr>
          <w:p w14:paraId="000000F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42.9%</w:t>
            </w:r>
          </w:p>
        </w:tc>
        <w:tc>
          <w:tcPr>
            <w:tcW w:w="1377" w:type="dxa"/>
            <w:tcMar>
              <w:left w:w="284" w:type="dxa"/>
              <w:right w:w="284" w:type="dxa"/>
            </w:tcMar>
          </w:tcPr>
          <w:p w14:paraId="000000F4"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-8.6%</w:t>
            </w:r>
          </w:p>
        </w:tc>
      </w:tr>
      <w:tr w:rsidR="0039297D" w14:paraId="4498A9A9" w14:textId="77777777" w:rsidTr="000F15C3">
        <w:trPr>
          <w:trHeight w:val="295"/>
          <w:jc w:val="center"/>
        </w:trPr>
        <w:tc>
          <w:tcPr>
            <w:tcW w:w="3564" w:type="dxa"/>
          </w:tcPr>
          <w:p w14:paraId="000000F5" w14:textId="0C1AB061"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 xml:space="preserve">Books and Press </w:t>
            </w:r>
          </w:p>
        </w:tc>
        <w:tc>
          <w:tcPr>
            <w:tcW w:w="1377" w:type="dxa"/>
            <w:tcMar>
              <w:left w:w="284" w:type="dxa"/>
              <w:right w:w="284" w:type="dxa"/>
            </w:tcMar>
          </w:tcPr>
          <w:p w14:paraId="000000F6"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18.5%</w:t>
            </w:r>
          </w:p>
        </w:tc>
        <w:tc>
          <w:tcPr>
            <w:tcW w:w="1377" w:type="dxa"/>
            <w:tcMar>
              <w:left w:w="284" w:type="dxa"/>
              <w:right w:w="284" w:type="dxa"/>
            </w:tcMar>
          </w:tcPr>
          <w:p w14:paraId="000000F7"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17.4%</w:t>
            </w:r>
          </w:p>
        </w:tc>
        <w:tc>
          <w:tcPr>
            <w:tcW w:w="1377" w:type="dxa"/>
            <w:tcMar>
              <w:left w:w="284" w:type="dxa"/>
              <w:right w:w="284" w:type="dxa"/>
            </w:tcMar>
          </w:tcPr>
          <w:p w14:paraId="000000F8"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14.9%</w:t>
            </w:r>
          </w:p>
        </w:tc>
        <w:tc>
          <w:tcPr>
            <w:tcW w:w="1377" w:type="dxa"/>
            <w:tcMar>
              <w:left w:w="284" w:type="dxa"/>
              <w:right w:w="284" w:type="dxa"/>
            </w:tcMar>
          </w:tcPr>
          <w:p w14:paraId="000000F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-19.5%</w:t>
            </w:r>
          </w:p>
        </w:tc>
      </w:tr>
      <w:tr w:rsidR="0039297D" w14:paraId="2FB19C93" w14:textId="77777777" w:rsidTr="000F15C3">
        <w:trPr>
          <w:trHeight w:val="295"/>
          <w:jc w:val="center"/>
        </w:trPr>
        <w:tc>
          <w:tcPr>
            <w:tcW w:w="3564" w:type="dxa"/>
          </w:tcPr>
          <w:p w14:paraId="000000FA" w14:textId="76ED2930"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 xml:space="preserve">Audio-visual and Interactive Media </w:t>
            </w:r>
          </w:p>
        </w:tc>
        <w:tc>
          <w:tcPr>
            <w:tcW w:w="1377" w:type="dxa"/>
            <w:tcMar>
              <w:left w:w="284" w:type="dxa"/>
              <w:right w:w="284" w:type="dxa"/>
            </w:tcMar>
          </w:tcPr>
          <w:p w14:paraId="000000FB"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0.9%</w:t>
            </w:r>
          </w:p>
        </w:tc>
        <w:tc>
          <w:tcPr>
            <w:tcW w:w="1377" w:type="dxa"/>
            <w:tcMar>
              <w:left w:w="284" w:type="dxa"/>
              <w:right w:w="284" w:type="dxa"/>
            </w:tcMar>
          </w:tcPr>
          <w:p w14:paraId="000000FC"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1.9%</w:t>
            </w:r>
          </w:p>
        </w:tc>
        <w:tc>
          <w:tcPr>
            <w:tcW w:w="1377" w:type="dxa"/>
            <w:tcMar>
              <w:left w:w="284" w:type="dxa"/>
              <w:right w:w="284" w:type="dxa"/>
            </w:tcMar>
          </w:tcPr>
          <w:p w14:paraId="000000FD"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2.6%</w:t>
            </w:r>
          </w:p>
        </w:tc>
        <w:tc>
          <w:tcPr>
            <w:tcW w:w="1377" w:type="dxa"/>
            <w:tcMar>
              <w:left w:w="284" w:type="dxa"/>
              <w:right w:w="284" w:type="dxa"/>
            </w:tcMar>
          </w:tcPr>
          <w:p w14:paraId="000000FE"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207.0%</w:t>
            </w:r>
          </w:p>
        </w:tc>
      </w:tr>
      <w:tr w:rsidR="0039297D" w14:paraId="4BD0879F" w14:textId="77777777" w:rsidTr="000F15C3">
        <w:trPr>
          <w:trHeight w:val="295"/>
          <w:jc w:val="center"/>
        </w:trPr>
        <w:tc>
          <w:tcPr>
            <w:tcW w:w="3564" w:type="dxa"/>
          </w:tcPr>
          <w:p w14:paraId="000000FF" w14:textId="0352203C"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 xml:space="preserve">Design and Creative Services </w:t>
            </w:r>
          </w:p>
        </w:tc>
        <w:tc>
          <w:tcPr>
            <w:tcW w:w="1377" w:type="dxa"/>
            <w:tcMar>
              <w:left w:w="284" w:type="dxa"/>
              <w:right w:w="284" w:type="dxa"/>
            </w:tcMar>
          </w:tcPr>
          <w:p w14:paraId="00000100"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11.6%</w:t>
            </w:r>
          </w:p>
        </w:tc>
        <w:tc>
          <w:tcPr>
            <w:tcW w:w="1377" w:type="dxa"/>
            <w:tcMar>
              <w:left w:w="284" w:type="dxa"/>
              <w:right w:w="284" w:type="dxa"/>
            </w:tcMar>
          </w:tcPr>
          <w:p w14:paraId="0000010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13.5%</w:t>
            </w:r>
          </w:p>
        </w:tc>
        <w:tc>
          <w:tcPr>
            <w:tcW w:w="1377" w:type="dxa"/>
            <w:tcMar>
              <w:left w:w="284" w:type="dxa"/>
              <w:right w:w="284" w:type="dxa"/>
            </w:tcMar>
          </w:tcPr>
          <w:p w14:paraId="00000102"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12.5%</w:t>
            </w:r>
          </w:p>
        </w:tc>
        <w:tc>
          <w:tcPr>
            <w:tcW w:w="1377" w:type="dxa"/>
            <w:tcMar>
              <w:left w:w="284" w:type="dxa"/>
              <w:right w:w="284" w:type="dxa"/>
            </w:tcMar>
          </w:tcPr>
          <w:p w14:paraId="0000010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7.3%</w:t>
            </w:r>
          </w:p>
        </w:tc>
      </w:tr>
      <w:tr w:rsidR="0039297D" w14:paraId="19EFBEE6" w14:textId="77777777" w:rsidTr="000F15C3">
        <w:trPr>
          <w:trHeight w:val="295"/>
          <w:jc w:val="center"/>
        </w:trPr>
        <w:tc>
          <w:tcPr>
            <w:tcW w:w="3564" w:type="dxa"/>
          </w:tcPr>
          <w:p w14:paraId="00000104"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Intangible Cultural Heritage</w:t>
            </w:r>
          </w:p>
        </w:tc>
        <w:tc>
          <w:tcPr>
            <w:tcW w:w="1377" w:type="dxa"/>
            <w:tcMar>
              <w:left w:w="284" w:type="dxa"/>
              <w:right w:w="284" w:type="dxa"/>
            </w:tcMar>
          </w:tcPr>
          <w:p w14:paraId="00000105"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19.2%</w:t>
            </w:r>
          </w:p>
        </w:tc>
        <w:tc>
          <w:tcPr>
            <w:tcW w:w="1377" w:type="dxa"/>
            <w:tcMar>
              <w:left w:w="284" w:type="dxa"/>
              <w:right w:w="284" w:type="dxa"/>
            </w:tcMar>
          </w:tcPr>
          <w:p w14:paraId="00000106"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20.1%</w:t>
            </w:r>
          </w:p>
        </w:tc>
        <w:tc>
          <w:tcPr>
            <w:tcW w:w="1377" w:type="dxa"/>
            <w:tcMar>
              <w:left w:w="284" w:type="dxa"/>
              <w:right w:w="284" w:type="dxa"/>
            </w:tcMar>
          </w:tcPr>
          <w:p w14:paraId="00000107"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22.1%</w:t>
            </w:r>
          </w:p>
        </w:tc>
        <w:tc>
          <w:tcPr>
            <w:tcW w:w="1377" w:type="dxa"/>
            <w:tcMar>
              <w:left w:w="284" w:type="dxa"/>
              <w:right w:w="284" w:type="dxa"/>
            </w:tcMar>
          </w:tcPr>
          <w:p w14:paraId="00000108"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15.4%</w:t>
            </w:r>
          </w:p>
        </w:tc>
      </w:tr>
      <w:tr w:rsidR="0039297D" w14:paraId="1D7B32C2" w14:textId="77777777" w:rsidTr="000F15C3">
        <w:trPr>
          <w:trHeight w:val="295"/>
          <w:jc w:val="center"/>
        </w:trPr>
        <w:tc>
          <w:tcPr>
            <w:tcW w:w="3564" w:type="dxa"/>
          </w:tcPr>
          <w:p w14:paraId="0000010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Total</w:t>
            </w:r>
          </w:p>
        </w:tc>
        <w:tc>
          <w:tcPr>
            <w:tcW w:w="1377" w:type="dxa"/>
            <w:tcMar>
              <w:left w:w="284" w:type="dxa"/>
              <w:right w:w="284" w:type="dxa"/>
            </w:tcMar>
          </w:tcPr>
          <w:p w14:paraId="0000010A"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100.0%</w:t>
            </w:r>
          </w:p>
        </w:tc>
        <w:tc>
          <w:tcPr>
            <w:tcW w:w="1377" w:type="dxa"/>
            <w:tcMar>
              <w:left w:w="284" w:type="dxa"/>
              <w:right w:w="284" w:type="dxa"/>
            </w:tcMar>
          </w:tcPr>
          <w:p w14:paraId="0000010B"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100.0%</w:t>
            </w:r>
          </w:p>
        </w:tc>
        <w:tc>
          <w:tcPr>
            <w:tcW w:w="1377" w:type="dxa"/>
            <w:tcMar>
              <w:left w:w="284" w:type="dxa"/>
              <w:right w:w="284" w:type="dxa"/>
            </w:tcMar>
          </w:tcPr>
          <w:p w14:paraId="0000010C"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100.0%</w:t>
            </w:r>
          </w:p>
        </w:tc>
        <w:tc>
          <w:tcPr>
            <w:tcW w:w="1377" w:type="dxa"/>
            <w:tcMar>
              <w:left w:w="284" w:type="dxa"/>
              <w:right w:w="284" w:type="dxa"/>
            </w:tcMar>
          </w:tcPr>
          <w:p w14:paraId="0000010D" w14:textId="77777777" w:rsidR="0039297D" w:rsidRDefault="0039297D" w:rsidP="000F15C3">
            <w:pPr>
              <w:spacing w:before="60" w:after="60"/>
              <w:jc w:val="right"/>
              <w:rPr>
                <w:rFonts w:ascii="Calibri" w:eastAsia="Calibri" w:hAnsi="Calibri" w:cs="Calibri"/>
                <w:color w:val="000000"/>
              </w:rPr>
            </w:pPr>
          </w:p>
        </w:tc>
      </w:tr>
    </w:tbl>
    <w:p w14:paraId="0000010E" w14:textId="3B1F04DA" w:rsidR="0039297D" w:rsidRDefault="004273CA" w:rsidP="000F15C3">
      <w:pPr>
        <w:spacing w:before="120" w:line="259" w:lineRule="auto"/>
      </w:pPr>
      <w:r>
        <w:t>Source: PALMS data 2005–2018; Authors’ own analysis</w:t>
      </w:r>
    </w:p>
    <w:p w14:paraId="0000010F" w14:textId="3009E5DB" w:rsidR="0039297D" w:rsidRDefault="004273CA" w:rsidP="000F15C3">
      <w:pPr>
        <w:spacing w:line="259" w:lineRule="auto"/>
        <w:rPr>
          <w:sz w:val="22"/>
          <w:szCs w:val="22"/>
        </w:rPr>
      </w:pPr>
      <w:r>
        <w:rPr>
          <w:sz w:val="22"/>
          <w:szCs w:val="22"/>
        </w:rPr>
        <w:t xml:space="preserve">The relative number of people employed in cultural domains has also changed over time. Although the largest domain (in terms of the number of jobs) remains Visual Arts and Crafts (making up 43.9% between 2015 and 2018), it has been slowly declining in relative size over the period of analysis. The same is true for Books and Press, which made up 18.5% of all cultural occupations between 2005 and 2009, but has fallen quite significantly over time, and makes up only 14.9% of cultural occupations in Period 3. </w:t>
      </w:r>
    </w:p>
    <w:p w14:paraId="00000110" w14:textId="3873DF95" w:rsidR="0039297D" w:rsidRDefault="004273CA" w:rsidP="000F15C3">
      <w:pPr>
        <w:spacing w:line="259" w:lineRule="auto"/>
        <w:rPr>
          <w:sz w:val="22"/>
          <w:szCs w:val="22"/>
        </w:rPr>
      </w:pPr>
      <w:r>
        <w:rPr>
          <w:sz w:val="22"/>
          <w:szCs w:val="22"/>
        </w:rPr>
        <w:t>By far the fastest growing domain, although it is currently small, is Audio-visual and Interactive Media, which increased from less than 1% of cultural occupations in Period 1, to 2.6% in Period 3. Design and Creative Services is the 4</w:t>
      </w:r>
      <w:r>
        <w:rPr>
          <w:sz w:val="22"/>
          <w:szCs w:val="22"/>
          <w:vertAlign w:val="superscript"/>
        </w:rPr>
        <w:t>th</w:t>
      </w:r>
      <w:r>
        <w:rPr>
          <w:sz w:val="22"/>
          <w:szCs w:val="22"/>
        </w:rPr>
        <w:t xml:space="preserve"> largest cultural employment domain (12.5% of cultural occupations in Period 3) and has also increased its share over time. Similarly, Performance and Celebration has grown from only 2.7% of cultural occupation</w:t>
      </w:r>
      <w:r w:rsidR="00553126">
        <w:rPr>
          <w:sz w:val="22"/>
          <w:szCs w:val="22"/>
        </w:rPr>
        <w:t>s</w:t>
      </w:r>
      <w:r>
        <w:rPr>
          <w:sz w:val="22"/>
          <w:szCs w:val="22"/>
        </w:rPr>
        <w:t xml:space="preserve"> in Period 1, to 4.6% in Period 3.</w:t>
      </w:r>
    </w:p>
    <w:p w14:paraId="00000111" w14:textId="5055365D" w:rsidR="0039297D" w:rsidRDefault="004273CA" w:rsidP="000F15C3">
      <w:pPr>
        <w:spacing w:line="259" w:lineRule="auto"/>
        <w:rPr>
          <w:b/>
          <w:sz w:val="22"/>
          <w:szCs w:val="22"/>
        </w:rPr>
      </w:pPr>
      <w:bookmarkStart w:id="50" w:name="_heading=h.2p2csry" w:colFirst="0" w:colLast="0"/>
      <w:bookmarkEnd w:id="50"/>
      <w:r>
        <w:rPr>
          <w:sz w:val="22"/>
          <w:szCs w:val="22"/>
        </w:rPr>
        <w:t>The second largest cultural employment domain is the transversal domain “Intangible Cultural Heritage”, which includes categories such as “Traditional chiefs and heads of villages” and “Religious and associated professionals”. This domain made up 22.1% of cultural occupation</w:t>
      </w:r>
      <w:r w:rsidR="00553126">
        <w:rPr>
          <w:sz w:val="22"/>
          <w:szCs w:val="22"/>
        </w:rPr>
        <w:t>s</w:t>
      </w:r>
      <w:r>
        <w:rPr>
          <w:sz w:val="22"/>
          <w:szCs w:val="22"/>
        </w:rPr>
        <w:t xml:space="preserve"> in Period 3. Cultural and Natural Heritage, although small, has also increased its share of cultural occupations between Periods 1 and 3.</w:t>
      </w:r>
      <w:r>
        <w:rPr>
          <w:b/>
          <w:sz w:val="22"/>
          <w:szCs w:val="22"/>
        </w:rPr>
        <w:t xml:space="preserve"> </w:t>
      </w:r>
    </w:p>
    <w:p w14:paraId="00000112" w14:textId="77777777" w:rsidR="0039297D" w:rsidRDefault="004273CA" w:rsidP="000F15C3">
      <w:pPr>
        <w:pStyle w:val="Heading2"/>
        <w:spacing w:before="0" w:after="160" w:line="259" w:lineRule="auto"/>
        <w:ind w:left="578" w:hanging="578"/>
        <w:jc w:val="left"/>
      </w:pPr>
      <w:bookmarkStart w:id="51" w:name="_Toc90193710"/>
      <w:bookmarkStart w:id="52" w:name="_Toc90193731"/>
      <w:bookmarkStart w:id="53" w:name="_Toc90193758"/>
      <w:r>
        <w:t>Socio-demographic profile of those working in cultural occupations over time</w:t>
      </w:r>
      <w:bookmarkEnd w:id="51"/>
      <w:bookmarkEnd w:id="52"/>
      <w:bookmarkEnd w:id="53"/>
    </w:p>
    <w:p w14:paraId="00000113" w14:textId="0D2907BF" w:rsidR="0039297D" w:rsidRDefault="004273CA" w:rsidP="000F15C3">
      <w:pPr>
        <w:spacing w:line="259" w:lineRule="auto"/>
        <w:rPr>
          <w:sz w:val="22"/>
          <w:szCs w:val="22"/>
        </w:rPr>
      </w:pPr>
      <w:r>
        <w:rPr>
          <w:sz w:val="22"/>
          <w:szCs w:val="22"/>
        </w:rPr>
        <w:t xml:space="preserve">An important part of tracking changes in cultural occupations over time is the gender and transformation profile of those working in cultural jobs. As noted in Chapter 2 of this mapping study, gender bias is still evident in cultural occupations in South Africa and does not appear to be improving: In period 1 (2005–2009), 51.4% of people in cultural occupations were women, falling to 42.3% in Period 3 (2015–2018). </w:t>
      </w:r>
    </w:p>
    <w:p w14:paraId="00000114" w14:textId="7A1AF41D" w:rsidR="0039297D" w:rsidRDefault="004273CA" w:rsidP="000F15C3">
      <w:pPr>
        <w:spacing w:line="259" w:lineRule="auto"/>
        <w:rPr>
          <w:sz w:val="22"/>
          <w:szCs w:val="22"/>
        </w:rPr>
      </w:pPr>
      <w:r>
        <w:rPr>
          <w:sz w:val="22"/>
          <w:szCs w:val="22"/>
        </w:rPr>
        <w:t xml:space="preserve">However, there has been some transformation in terms of population group representation: </w:t>
      </w:r>
      <w:r w:rsidR="00553126">
        <w:rPr>
          <w:sz w:val="22"/>
          <w:szCs w:val="22"/>
        </w:rPr>
        <w:t xml:space="preserve">the </w:t>
      </w:r>
      <w:r>
        <w:rPr>
          <w:sz w:val="22"/>
          <w:szCs w:val="22"/>
        </w:rPr>
        <w:t>percentage of black African, coloured and people of Indian or Asian origin in cultural occupations has increased from 81.5% in Period 1 to 84.3% in Period 3. While not yet representative of the population make-up of the country, this does show steady transformation progress.</w:t>
      </w:r>
    </w:p>
    <w:p w14:paraId="00000115" w14:textId="77777777" w:rsidR="0039297D" w:rsidRDefault="004273CA">
      <w:pPr>
        <w:spacing w:line="259" w:lineRule="auto"/>
        <w:jc w:val="left"/>
        <w:rPr>
          <w:i/>
          <w:color w:val="44546A"/>
          <w:sz w:val="18"/>
          <w:szCs w:val="18"/>
        </w:rPr>
      </w:pPr>
      <w:r>
        <w:br w:type="page"/>
      </w:r>
    </w:p>
    <w:p w14:paraId="00000116" w14:textId="7713F28B" w:rsidR="0039297D" w:rsidRPr="000F15C3" w:rsidRDefault="004273CA">
      <w:pPr>
        <w:pBdr>
          <w:top w:val="nil"/>
          <w:left w:val="nil"/>
          <w:bottom w:val="nil"/>
          <w:right w:val="nil"/>
          <w:between w:val="nil"/>
        </w:pBdr>
        <w:spacing w:after="200"/>
        <w:rPr>
          <w:b/>
          <w:i/>
          <w:color w:val="44546A"/>
        </w:rPr>
      </w:pPr>
      <w:r w:rsidRPr="000F15C3">
        <w:rPr>
          <w:i/>
          <w:color w:val="44546A"/>
        </w:rPr>
        <w:lastRenderedPageBreak/>
        <w:t>Table 3</w:t>
      </w:r>
      <w:r w:rsidR="003A76EC" w:rsidRPr="000F15C3">
        <w:rPr>
          <w:i/>
          <w:color w:val="44546A"/>
        </w:rPr>
        <w:t>:</w:t>
      </w:r>
      <w:r w:rsidRPr="000F15C3">
        <w:rPr>
          <w:i/>
          <w:color w:val="44546A"/>
        </w:rPr>
        <w:t xml:space="preserve"> Gender, population group and youth in cultural occupations over time</w:t>
      </w:r>
    </w:p>
    <w:tbl>
      <w:tblPr>
        <w:tblStyle w:val="TableGrid1"/>
        <w:tblW w:w="9072" w:type="dxa"/>
        <w:jc w:val="center"/>
        <w:tblLayout w:type="fixed"/>
        <w:tblLook w:val="0400" w:firstRow="0" w:lastRow="0" w:firstColumn="0" w:lastColumn="0" w:noHBand="0" w:noVBand="1"/>
      </w:tblPr>
      <w:tblGrid>
        <w:gridCol w:w="4702"/>
        <w:gridCol w:w="1456"/>
        <w:gridCol w:w="1457"/>
        <w:gridCol w:w="1457"/>
      </w:tblGrid>
      <w:tr w:rsidR="0039297D" w14:paraId="1A56EE9B" w14:textId="77777777" w:rsidTr="000F15C3">
        <w:trPr>
          <w:trHeight w:val="283"/>
          <w:jc w:val="center"/>
        </w:trPr>
        <w:tc>
          <w:tcPr>
            <w:tcW w:w="4702" w:type="dxa"/>
          </w:tcPr>
          <w:p w14:paraId="00000117" w14:textId="77777777" w:rsidR="0039297D" w:rsidRDefault="0039297D" w:rsidP="000F15C3">
            <w:pPr>
              <w:spacing w:before="60" w:after="60"/>
              <w:jc w:val="left"/>
              <w:rPr>
                <w:rFonts w:ascii="Calibri" w:eastAsia="Calibri" w:hAnsi="Calibri" w:cs="Calibri"/>
                <w:b/>
                <w:color w:val="000000"/>
              </w:rPr>
            </w:pPr>
          </w:p>
        </w:tc>
        <w:tc>
          <w:tcPr>
            <w:tcW w:w="1456" w:type="dxa"/>
          </w:tcPr>
          <w:p w14:paraId="00000119" w14:textId="42BB2515" w:rsidR="0039297D" w:rsidRDefault="004273CA" w:rsidP="000F15C3">
            <w:pPr>
              <w:spacing w:before="60" w:after="60"/>
              <w:jc w:val="center"/>
              <w:rPr>
                <w:rFonts w:ascii="Calibri" w:eastAsia="Calibri" w:hAnsi="Calibri" w:cs="Calibri"/>
                <w:b/>
                <w:color w:val="000000"/>
              </w:rPr>
            </w:pPr>
            <w:r>
              <w:rPr>
                <w:rFonts w:ascii="Calibri" w:eastAsia="Calibri" w:hAnsi="Calibri" w:cs="Calibri"/>
                <w:b/>
                <w:color w:val="000000"/>
              </w:rPr>
              <w:t xml:space="preserve">Period 1: </w:t>
            </w:r>
            <w:r w:rsidR="00553126">
              <w:rPr>
                <w:rFonts w:ascii="Calibri" w:eastAsia="Calibri" w:hAnsi="Calibri" w:cs="Calibri"/>
                <w:b/>
                <w:color w:val="000000"/>
              </w:rPr>
              <w:br/>
            </w:r>
            <w:r>
              <w:rPr>
                <w:rFonts w:ascii="Calibri" w:eastAsia="Calibri" w:hAnsi="Calibri" w:cs="Calibri"/>
                <w:b/>
                <w:color w:val="000000"/>
              </w:rPr>
              <w:t>2005</w:t>
            </w:r>
            <w:r w:rsidR="00553126">
              <w:rPr>
                <w:rFonts w:ascii="Calibri" w:eastAsia="Calibri" w:hAnsi="Calibri" w:cs="Calibri"/>
                <w:b/>
                <w:color w:val="000000"/>
              </w:rPr>
              <w:t>–20</w:t>
            </w:r>
            <w:r>
              <w:rPr>
                <w:rFonts w:ascii="Calibri" w:eastAsia="Calibri" w:hAnsi="Calibri" w:cs="Calibri"/>
                <w:b/>
                <w:color w:val="000000"/>
              </w:rPr>
              <w:t>09</w:t>
            </w:r>
          </w:p>
        </w:tc>
        <w:tc>
          <w:tcPr>
            <w:tcW w:w="1457" w:type="dxa"/>
          </w:tcPr>
          <w:p w14:paraId="0000011B" w14:textId="7C95FFE8" w:rsidR="0039297D" w:rsidRDefault="004273CA" w:rsidP="000F15C3">
            <w:pPr>
              <w:spacing w:before="60" w:after="60"/>
              <w:jc w:val="center"/>
              <w:rPr>
                <w:rFonts w:ascii="Calibri" w:eastAsia="Calibri" w:hAnsi="Calibri" w:cs="Calibri"/>
                <w:b/>
                <w:color w:val="000000"/>
              </w:rPr>
            </w:pPr>
            <w:r>
              <w:rPr>
                <w:rFonts w:ascii="Calibri" w:eastAsia="Calibri" w:hAnsi="Calibri" w:cs="Calibri"/>
                <w:b/>
                <w:color w:val="000000"/>
              </w:rPr>
              <w:t>Period 2:</w:t>
            </w:r>
            <w:r w:rsidR="00553126">
              <w:rPr>
                <w:rFonts w:ascii="Calibri" w:eastAsia="Calibri" w:hAnsi="Calibri" w:cs="Calibri"/>
                <w:b/>
                <w:color w:val="000000"/>
              </w:rPr>
              <w:br/>
            </w:r>
            <w:r>
              <w:rPr>
                <w:rFonts w:ascii="Calibri" w:eastAsia="Calibri" w:hAnsi="Calibri" w:cs="Calibri"/>
                <w:b/>
                <w:color w:val="000000"/>
              </w:rPr>
              <w:t>2010</w:t>
            </w:r>
            <w:r w:rsidR="00553126">
              <w:rPr>
                <w:rFonts w:ascii="Calibri" w:eastAsia="Calibri" w:hAnsi="Calibri" w:cs="Calibri"/>
                <w:b/>
                <w:color w:val="000000"/>
              </w:rPr>
              <w:t>–20</w:t>
            </w:r>
            <w:r>
              <w:rPr>
                <w:rFonts w:ascii="Calibri" w:eastAsia="Calibri" w:hAnsi="Calibri" w:cs="Calibri"/>
                <w:b/>
                <w:color w:val="000000"/>
              </w:rPr>
              <w:t>14</w:t>
            </w:r>
          </w:p>
        </w:tc>
        <w:tc>
          <w:tcPr>
            <w:tcW w:w="1457" w:type="dxa"/>
          </w:tcPr>
          <w:p w14:paraId="0000011D" w14:textId="60524BF8" w:rsidR="0039297D" w:rsidRDefault="004273CA" w:rsidP="000F15C3">
            <w:pPr>
              <w:spacing w:before="60" w:after="60"/>
              <w:jc w:val="center"/>
              <w:rPr>
                <w:rFonts w:ascii="Calibri" w:eastAsia="Calibri" w:hAnsi="Calibri" w:cs="Calibri"/>
                <w:b/>
                <w:color w:val="000000"/>
              </w:rPr>
            </w:pPr>
            <w:r>
              <w:rPr>
                <w:rFonts w:ascii="Calibri" w:eastAsia="Calibri" w:hAnsi="Calibri" w:cs="Calibri"/>
                <w:b/>
                <w:color w:val="000000"/>
              </w:rPr>
              <w:t>Period 3:</w:t>
            </w:r>
            <w:r w:rsidR="00553126">
              <w:rPr>
                <w:rFonts w:ascii="Calibri" w:eastAsia="Calibri" w:hAnsi="Calibri" w:cs="Calibri"/>
                <w:b/>
                <w:color w:val="000000"/>
              </w:rPr>
              <w:br/>
            </w:r>
            <w:r>
              <w:rPr>
                <w:rFonts w:ascii="Calibri" w:eastAsia="Calibri" w:hAnsi="Calibri" w:cs="Calibri"/>
                <w:b/>
                <w:color w:val="000000"/>
              </w:rPr>
              <w:t>2015</w:t>
            </w:r>
            <w:r w:rsidR="00553126">
              <w:rPr>
                <w:rFonts w:ascii="Calibri" w:eastAsia="Calibri" w:hAnsi="Calibri" w:cs="Calibri"/>
                <w:b/>
                <w:color w:val="000000"/>
              </w:rPr>
              <w:t>–20</w:t>
            </w:r>
            <w:r>
              <w:rPr>
                <w:rFonts w:ascii="Calibri" w:eastAsia="Calibri" w:hAnsi="Calibri" w:cs="Calibri"/>
                <w:b/>
                <w:color w:val="000000"/>
              </w:rPr>
              <w:t>18</w:t>
            </w:r>
          </w:p>
        </w:tc>
      </w:tr>
      <w:tr w:rsidR="0039297D" w14:paraId="140C77A5" w14:textId="77777777" w:rsidTr="000F15C3">
        <w:trPr>
          <w:trHeight w:val="283"/>
          <w:jc w:val="center"/>
        </w:trPr>
        <w:tc>
          <w:tcPr>
            <w:tcW w:w="4702" w:type="dxa"/>
          </w:tcPr>
          <w:p w14:paraId="0000011E"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women in </w:t>
            </w:r>
            <w:r>
              <w:rPr>
                <w:rFonts w:ascii="Calibri" w:eastAsia="Calibri" w:hAnsi="Calibri" w:cs="Calibri"/>
                <w:b/>
                <w:color w:val="000000"/>
              </w:rPr>
              <w:t>cultural</w:t>
            </w:r>
            <w:r>
              <w:rPr>
                <w:rFonts w:ascii="Calibri" w:eastAsia="Calibri" w:hAnsi="Calibri" w:cs="Calibri"/>
                <w:color w:val="000000"/>
              </w:rPr>
              <w:t xml:space="preserve"> occupations</w:t>
            </w:r>
          </w:p>
        </w:tc>
        <w:tc>
          <w:tcPr>
            <w:tcW w:w="1456" w:type="dxa"/>
            <w:tcMar>
              <w:right w:w="340" w:type="dxa"/>
            </w:tcMar>
          </w:tcPr>
          <w:p w14:paraId="0000011F"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51.4%</w:t>
            </w:r>
          </w:p>
        </w:tc>
        <w:tc>
          <w:tcPr>
            <w:tcW w:w="1457" w:type="dxa"/>
            <w:tcMar>
              <w:right w:w="340" w:type="dxa"/>
            </w:tcMar>
          </w:tcPr>
          <w:p w14:paraId="00000120"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44.8%</w:t>
            </w:r>
          </w:p>
        </w:tc>
        <w:tc>
          <w:tcPr>
            <w:tcW w:w="1457" w:type="dxa"/>
            <w:tcMar>
              <w:right w:w="340" w:type="dxa"/>
            </w:tcMar>
          </w:tcPr>
          <w:p w14:paraId="0000012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42.3%</w:t>
            </w:r>
          </w:p>
        </w:tc>
      </w:tr>
      <w:tr w:rsidR="0039297D" w14:paraId="3D56A56C" w14:textId="77777777" w:rsidTr="000F15C3">
        <w:trPr>
          <w:trHeight w:val="283"/>
          <w:jc w:val="center"/>
        </w:trPr>
        <w:tc>
          <w:tcPr>
            <w:tcW w:w="4702" w:type="dxa"/>
          </w:tcPr>
          <w:p w14:paraId="00000122"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women in </w:t>
            </w:r>
            <w:r>
              <w:rPr>
                <w:rFonts w:ascii="Calibri" w:eastAsia="Calibri" w:hAnsi="Calibri" w:cs="Calibri"/>
                <w:b/>
                <w:color w:val="000000"/>
              </w:rPr>
              <w:t>non-cultural</w:t>
            </w:r>
            <w:r>
              <w:rPr>
                <w:rFonts w:ascii="Calibri" w:eastAsia="Calibri" w:hAnsi="Calibri" w:cs="Calibri"/>
                <w:color w:val="000000"/>
              </w:rPr>
              <w:t xml:space="preserve"> occupations</w:t>
            </w:r>
          </w:p>
        </w:tc>
        <w:tc>
          <w:tcPr>
            <w:tcW w:w="1456" w:type="dxa"/>
            <w:tcMar>
              <w:right w:w="340" w:type="dxa"/>
            </w:tcMar>
          </w:tcPr>
          <w:p w14:paraId="0000012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51.8%</w:t>
            </w:r>
          </w:p>
        </w:tc>
        <w:tc>
          <w:tcPr>
            <w:tcW w:w="1457" w:type="dxa"/>
            <w:tcMar>
              <w:right w:w="340" w:type="dxa"/>
            </w:tcMar>
          </w:tcPr>
          <w:p w14:paraId="00000124"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50.8%</w:t>
            </w:r>
          </w:p>
        </w:tc>
        <w:tc>
          <w:tcPr>
            <w:tcW w:w="1457" w:type="dxa"/>
            <w:tcMar>
              <w:right w:w="340" w:type="dxa"/>
            </w:tcMar>
          </w:tcPr>
          <w:p w14:paraId="00000125"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44.1%</w:t>
            </w:r>
          </w:p>
        </w:tc>
      </w:tr>
      <w:tr w:rsidR="0039297D" w14:paraId="4014E7B7" w14:textId="77777777" w:rsidTr="000F15C3">
        <w:trPr>
          <w:trHeight w:val="283"/>
          <w:jc w:val="center"/>
        </w:trPr>
        <w:tc>
          <w:tcPr>
            <w:tcW w:w="4702" w:type="dxa"/>
          </w:tcPr>
          <w:p w14:paraId="00000126"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black African, coloured &amp; Indian people in </w:t>
            </w:r>
            <w:r>
              <w:rPr>
                <w:rFonts w:ascii="Calibri" w:eastAsia="Calibri" w:hAnsi="Calibri" w:cs="Calibri"/>
                <w:b/>
                <w:color w:val="000000"/>
              </w:rPr>
              <w:t>cultural</w:t>
            </w:r>
            <w:r>
              <w:rPr>
                <w:rFonts w:ascii="Calibri" w:eastAsia="Calibri" w:hAnsi="Calibri" w:cs="Calibri"/>
                <w:color w:val="000000"/>
              </w:rPr>
              <w:t xml:space="preserve"> occupations</w:t>
            </w:r>
          </w:p>
        </w:tc>
        <w:tc>
          <w:tcPr>
            <w:tcW w:w="1456" w:type="dxa"/>
            <w:tcMar>
              <w:right w:w="340" w:type="dxa"/>
            </w:tcMar>
          </w:tcPr>
          <w:p w14:paraId="00000127"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81.5%</w:t>
            </w:r>
          </w:p>
        </w:tc>
        <w:tc>
          <w:tcPr>
            <w:tcW w:w="1457" w:type="dxa"/>
            <w:tcMar>
              <w:right w:w="340" w:type="dxa"/>
            </w:tcMar>
          </w:tcPr>
          <w:p w14:paraId="00000128" w14:textId="248AAD49"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80.1%</w:t>
            </w:r>
          </w:p>
        </w:tc>
        <w:tc>
          <w:tcPr>
            <w:tcW w:w="1457" w:type="dxa"/>
            <w:tcMar>
              <w:right w:w="340" w:type="dxa"/>
            </w:tcMar>
          </w:tcPr>
          <w:p w14:paraId="0000012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84.3%</w:t>
            </w:r>
          </w:p>
        </w:tc>
      </w:tr>
      <w:tr w:rsidR="0039297D" w14:paraId="7D0A3C41" w14:textId="77777777" w:rsidTr="000F15C3">
        <w:trPr>
          <w:trHeight w:val="283"/>
          <w:jc w:val="center"/>
        </w:trPr>
        <w:tc>
          <w:tcPr>
            <w:tcW w:w="4702" w:type="dxa"/>
          </w:tcPr>
          <w:p w14:paraId="0000012A"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black African, coloured &amp; Indian people in </w:t>
            </w:r>
            <w:r>
              <w:rPr>
                <w:rFonts w:ascii="Calibri" w:eastAsia="Calibri" w:hAnsi="Calibri" w:cs="Calibri"/>
                <w:b/>
                <w:color w:val="000000"/>
              </w:rPr>
              <w:t>non-cultural</w:t>
            </w:r>
            <w:r>
              <w:rPr>
                <w:rFonts w:ascii="Calibri" w:eastAsia="Calibri" w:hAnsi="Calibri" w:cs="Calibri"/>
                <w:color w:val="000000"/>
              </w:rPr>
              <w:t xml:space="preserve"> occupations</w:t>
            </w:r>
          </w:p>
        </w:tc>
        <w:tc>
          <w:tcPr>
            <w:tcW w:w="1456" w:type="dxa"/>
            <w:tcMar>
              <w:right w:w="340" w:type="dxa"/>
            </w:tcMar>
          </w:tcPr>
          <w:p w14:paraId="0000012B"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90.0%</w:t>
            </w:r>
          </w:p>
        </w:tc>
        <w:tc>
          <w:tcPr>
            <w:tcW w:w="1457" w:type="dxa"/>
            <w:tcMar>
              <w:right w:w="340" w:type="dxa"/>
            </w:tcMar>
          </w:tcPr>
          <w:p w14:paraId="0000012C"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90.9%</w:t>
            </w:r>
          </w:p>
        </w:tc>
        <w:tc>
          <w:tcPr>
            <w:tcW w:w="1457" w:type="dxa"/>
            <w:tcMar>
              <w:right w:w="340" w:type="dxa"/>
            </w:tcMar>
          </w:tcPr>
          <w:p w14:paraId="0000012D"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87.4%</w:t>
            </w:r>
          </w:p>
        </w:tc>
      </w:tr>
      <w:tr w:rsidR="0039297D" w14:paraId="0CB69595" w14:textId="77777777" w:rsidTr="000F15C3">
        <w:trPr>
          <w:trHeight w:val="283"/>
          <w:jc w:val="center"/>
        </w:trPr>
        <w:tc>
          <w:tcPr>
            <w:tcW w:w="4702" w:type="dxa"/>
          </w:tcPr>
          <w:p w14:paraId="0000012E"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youth (up to 34) in </w:t>
            </w:r>
            <w:r>
              <w:rPr>
                <w:rFonts w:ascii="Calibri" w:eastAsia="Calibri" w:hAnsi="Calibri" w:cs="Calibri"/>
                <w:b/>
                <w:color w:val="000000"/>
              </w:rPr>
              <w:t>cultural</w:t>
            </w:r>
            <w:r>
              <w:rPr>
                <w:rFonts w:ascii="Calibri" w:eastAsia="Calibri" w:hAnsi="Calibri" w:cs="Calibri"/>
                <w:color w:val="000000"/>
              </w:rPr>
              <w:t xml:space="preserve"> occupations</w:t>
            </w:r>
          </w:p>
        </w:tc>
        <w:tc>
          <w:tcPr>
            <w:tcW w:w="1456" w:type="dxa"/>
            <w:tcMar>
              <w:right w:w="340" w:type="dxa"/>
            </w:tcMar>
          </w:tcPr>
          <w:p w14:paraId="0000012F"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36.1%</w:t>
            </w:r>
          </w:p>
        </w:tc>
        <w:tc>
          <w:tcPr>
            <w:tcW w:w="1457" w:type="dxa"/>
            <w:tcMar>
              <w:right w:w="340" w:type="dxa"/>
            </w:tcMar>
          </w:tcPr>
          <w:p w14:paraId="00000130"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38.0%</w:t>
            </w:r>
          </w:p>
        </w:tc>
        <w:tc>
          <w:tcPr>
            <w:tcW w:w="1457" w:type="dxa"/>
            <w:tcMar>
              <w:right w:w="340" w:type="dxa"/>
            </w:tcMar>
          </w:tcPr>
          <w:p w14:paraId="0000013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38.8%</w:t>
            </w:r>
          </w:p>
        </w:tc>
      </w:tr>
      <w:tr w:rsidR="0039297D" w14:paraId="5395344B" w14:textId="77777777" w:rsidTr="000F15C3">
        <w:trPr>
          <w:trHeight w:val="283"/>
          <w:jc w:val="center"/>
        </w:trPr>
        <w:tc>
          <w:tcPr>
            <w:tcW w:w="4702" w:type="dxa"/>
          </w:tcPr>
          <w:p w14:paraId="00000132" w14:textId="77777777" w:rsidR="0039297D" w:rsidRDefault="004273CA" w:rsidP="000F15C3">
            <w:pPr>
              <w:spacing w:before="60" w:after="60"/>
              <w:jc w:val="left"/>
              <w:rPr>
                <w:rFonts w:ascii="Calibri" w:eastAsia="Calibri" w:hAnsi="Calibri" w:cs="Calibri"/>
                <w:color w:val="000000"/>
              </w:rPr>
            </w:pPr>
            <w:r>
              <w:rPr>
                <w:rFonts w:ascii="Calibri" w:eastAsia="Calibri" w:hAnsi="Calibri" w:cs="Calibri"/>
                <w:color w:val="000000"/>
              </w:rPr>
              <w:t xml:space="preserve">Percentage of youth (up to 34) in </w:t>
            </w:r>
            <w:r>
              <w:rPr>
                <w:rFonts w:ascii="Calibri" w:eastAsia="Calibri" w:hAnsi="Calibri" w:cs="Calibri"/>
                <w:b/>
                <w:color w:val="000000"/>
              </w:rPr>
              <w:t>non-cultural</w:t>
            </w:r>
            <w:r>
              <w:rPr>
                <w:rFonts w:ascii="Calibri" w:eastAsia="Calibri" w:hAnsi="Calibri" w:cs="Calibri"/>
                <w:color w:val="000000"/>
              </w:rPr>
              <w:t xml:space="preserve"> occupations</w:t>
            </w:r>
          </w:p>
        </w:tc>
        <w:tc>
          <w:tcPr>
            <w:tcW w:w="1456" w:type="dxa"/>
            <w:tcMar>
              <w:right w:w="340" w:type="dxa"/>
            </w:tcMar>
          </w:tcPr>
          <w:p w14:paraId="0000013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57.5%</w:t>
            </w:r>
          </w:p>
        </w:tc>
        <w:tc>
          <w:tcPr>
            <w:tcW w:w="1457" w:type="dxa"/>
            <w:tcMar>
              <w:right w:w="340" w:type="dxa"/>
            </w:tcMar>
          </w:tcPr>
          <w:p w14:paraId="00000134"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55.4%</w:t>
            </w:r>
          </w:p>
        </w:tc>
        <w:tc>
          <w:tcPr>
            <w:tcW w:w="1457" w:type="dxa"/>
            <w:tcMar>
              <w:right w:w="340" w:type="dxa"/>
            </w:tcMar>
          </w:tcPr>
          <w:p w14:paraId="00000135"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41.3%</w:t>
            </w:r>
          </w:p>
        </w:tc>
      </w:tr>
    </w:tbl>
    <w:p w14:paraId="00000136" w14:textId="40E6C4CB" w:rsidR="0039297D" w:rsidRDefault="004273CA" w:rsidP="000F15C3">
      <w:pPr>
        <w:spacing w:before="120" w:line="259" w:lineRule="auto"/>
      </w:pPr>
      <w:r>
        <w:t>Source: PALMS data 2005–2018; Authors’ own analysis</w:t>
      </w:r>
    </w:p>
    <w:p w14:paraId="00000137" w14:textId="701883FF" w:rsidR="0039297D" w:rsidRDefault="004273CA" w:rsidP="000F15C3">
      <w:pPr>
        <w:spacing w:line="259" w:lineRule="auto"/>
        <w:rPr>
          <w:sz w:val="22"/>
          <w:szCs w:val="22"/>
        </w:rPr>
      </w:pPr>
      <w:r>
        <w:rPr>
          <w:sz w:val="22"/>
          <w:szCs w:val="22"/>
        </w:rPr>
        <w:t>As discussed in Chapter 2, people working in cultural occupations tend to be in older age-groups compared to non-cultural occupations</w:t>
      </w:r>
      <w:r w:rsidR="004925EE">
        <w:rPr>
          <w:sz w:val="22"/>
          <w:szCs w:val="22"/>
        </w:rPr>
        <w:t>,</w:t>
      </w:r>
      <w:r>
        <w:rPr>
          <w:sz w:val="22"/>
          <w:szCs w:val="22"/>
        </w:rPr>
        <w:t xml:space="preserve"> and </w:t>
      </w:r>
      <w:r w:rsidR="004925EE">
        <w:rPr>
          <w:sz w:val="22"/>
          <w:szCs w:val="22"/>
        </w:rPr>
        <w:t xml:space="preserve">to </w:t>
      </w:r>
      <w:r>
        <w:rPr>
          <w:sz w:val="22"/>
          <w:szCs w:val="22"/>
        </w:rPr>
        <w:t xml:space="preserve">have higher levels of education. This is evident over time, although the </w:t>
      </w:r>
      <w:sdt>
        <w:sdtPr>
          <w:tag w:val="goog_rdk_4"/>
          <w:id w:val="1007105266"/>
        </w:sdtPr>
        <w:sdtEndPr/>
        <w:sdtContent>
          <w:r>
            <w:rPr>
              <w:sz w:val="22"/>
              <w:szCs w:val="22"/>
            </w:rPr>
            <w:t>proportion of youth</w:t>
          </w:r>
        </w:sdtContent>
      </w:sdt>
      <w:r>
        <w:rPr>
          <w:sz w:val="22"/>
          <w:szCs w:val="22"/>
        </w:rPr>
        <w:t xml:space="preserve"> (up to 34 years old) in cultural occupations has increased from 36.1% in Period 1 to 38.8% in Period 3.</w:t>
      </w:r>
    </w:p>
    <w:p w14:paraId="00000138" w14:textId="778CCF2F" w:rsidR="0039297D" w:rsidRPr="000F15C3" w:rsidRDefault="004273CA" w:rsidP="000F15C3">
      <w:pPr>
        <w:pBdr>
          <w:top w:val="nil"/>
          <w:left w:val="nil"/>
          <w:bottom w:val="nil"/>
          <w:right w:val="nil"/>
          <w:between w:val="nil"/>
        </w:pBdr>
        <w:spacing w:line="259" w:lineRule="auto"/>
        <w:rPr>
          <w:i/>
          <w:color w:val="44546A"/>
        </w:rPr>
      </w:pPr>
      <w:r w:rsidRPr="000F15C3">
        <w:rPr>
          <w:i/>
          <w:color w:val="44546A"/>
        </w:rPr>
        <w:t>Table 4</w:t>
      </w:r>
      <w:r w:rsidR="003A76EC" w:rsidRPr="000F15C3">
        <w:rPr>
          <w:i/>
          <w:color w:val="44546A"/>
        </w:rPr>
        <w:t>:</w:t>
      </w:r>
      <w:r w:rsidRPr="000F15C3">
        <w:rPr>
          <w:i/>
          <w:color w:val="44546A"/>
        </w:rPr>
        <w:t xml:space="preserve"> Education levels of cultural and non-cultural workers over time</w:t>
      </w:r>
    </w:p>
    <w:tbl>
      <w:tblPr>
        <w:tblStyle w:val="TableGrid1"/>
        <w:tblW w:w="9072" w:type="dxa"/>
        <w:jc w:val="center"/>
        <w:tblLayout w:type="fixed"/>
        <w:tblLook w:val="0400" w:firstRow="0" w:lastRow="0" w:firstColumn="0" w:lastColumn="0" w:noHBand="0" w:noVBand="1"/>
      </w:tblPr>
      <w:tblGrid>
        <w:gridCol w:w="4106"/>
        <w:gridCol w:w="1241"/>
        <w:gridCol w:w="1242"/>
        <w:gridCol w:w="1241"/>
        <w:gridCol w:w="1242"/>
      </w:tblGrid>
      <w:tr w:rsidR="0039297D" w14:paraId="5AEF25E7" w14:textId="77777777" w:rsidTr="000F15C3">
        <w:trPr>
          <w:trHeight w:val="590"/>
          <w:jc w:val="center"/>
        </w:trPr>
        <w:tc>
          <w:tcPr>
            <w:tcW w:w="4106" w:type="dxa"/>
          </w:tcPr>
          <w:p w14:paraId="00000139" w14:textId="77777777" w:rsidR="0039297D" w:rsidRDefault="0039297D" w:rsidP="000F15C3">
            <w:pPr>
              <w:spacing w:before="60" w:after="60"/>
              <w:jc w:val="left"/>
              <w:rPr>
                <w:rFonts w:ascii="Calibri" w:eastAsia="Calibri" w:hAnsi="Calibri" w:cs="Calibri"/>
                <w:b/>
              </w:rPr>
            </w:pPr>
          </w:p>
        </w:tc>
        <w:tc>
          <w:tcPr>
            <w:tcW w:w="1241" w:type="dxa"/>
          </w:tcPr>
          <w:p w14:paraId="0000013A"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1:</w:t>
            </w:r>
          </w:p>
          <w:p w14:paraId="0000013B" w14:textId="6FF54086" w:rsidR="0039297D" w:rsidRDefault="004273CA" w:rsidP="000F15C3">
            <w:pPr>
              <w:spacing w:before="60" w:after="60"/>
              <w:jc w:val="center"/>
              <w:rPr>
                <w:rFonts w:ascii="Calibri" w:eastAsia="Calibri" w:hAnsi="Calibri" w:cs="Calibri"/>
                <w:b/>
              </w:rPr>
            </w:pPr>
            <w:r>
              <w:rPr>
                <w:rFonts w:ascii="Calibri" w:eastAsia="Calibri" w:hAnsi="Calibri" w:cs="Calibri"/>
                <w:b/>
              </w:rPr>
              <w:t>2005</w:t>
            </w:r>
            <w:r w:rsidR="004925EE">
              <w:rPr>
                <w:rFonts w:ascii="Calibri" w:eastAsia="Calibri" w:hAnsi="Calibri" w:cs="Calibri"/>
                <w:b/>
              </w:rPr>
              <w:t>–20</w:t>
            </w:r>
            <w:r>
              <w:rPr>
                <w:rFonts w:ascii="Calibri" w:eastAsia="Calibri" w:hAnsi="Calibri" w:cs="Calibri"/>
                <w:b/>
              </w:rPr>
              <w:t>09</w:t>
            </w:r>
          </w:p>
        </w:tc>
        <w:tc>
          <w:tcPr>
            <w:tcW w:w="1242" w:type="dxa"/>
          </w:tcPr>
          <w:p w14:paraId="0000013C"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2:</w:t>
            </w:r>
          </w:p>
          <w:p w14:paraId="0000013D" w14:textId="2EB937A9" w:rsidR="0039297D" w:rsidRDefault="004273CA" w:rsidP="000F15C3">
            <w:pPr>
              <w:spacing w:before="60" w:after="60"/>
              <w:jc w:val="center"/>
              <w:rPr>
                <w:rFonts w:ascii="Calibri" w:eastAsia="Calibri" w:hAnsi="Calibri" w:cs="Calibri"/>
                <w:b/>
              </w:rPr>
            </w:pPr>
            <w:r>
              <w:rPr>
                <w:rFonts w:ascii="Calibri" w:eastAsia="Calibri" w:hAnsi="Calibri" w:cs="Calibri"/>
                <w:b/>
              </w:rPr>
              <w:t>2010</w:t>
            </w:r>
            <w:r w:rsidR="004925EE">
              <w:rPr>
                <w:rFonts w:ascii="Calibri" w:eastAsia="Calibri" w:hAnsi="Calibri" w:cs="Calibri"/>
                <w:b/>
              </w:rPr>
              <w:t>–20</w:t>
            </w:r>
            <w:r>
              <w:rPr>
                <w:rFonts w:ascii="Calibri" w:eastAsia="Calibri" w:hAnsi="Calibri" w:cs="Calibri"/>
                <w:b/>
              </w:rPr>
              <w:t>14</w:t>
            </w:r>
          </w:p>
        </w:tc>
        <w:tc>
          <w:tcPr>
            <w:tcW w:w="1241" w:type="dxa"/>
          </w:tcPr>
          <w:p w14:paraId="0000013E"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3:</w:t>
            </w:r>
          </w:p>
          <w:p w14:paraId="0000013F" w14:textId="1299264A" w:rsidR="0039297D" w:rsidRDefault="004273CA" w:rsidP="000F15C3">
            <w:pPr>
              <w:spacing w:before="60" w:after="60"/>
              <w:jc w:val="center"/>
              <w:rPr>
                <w:rFonts w:ascii="Calibri" w:eastAsia="Calibri" w:hAnsi="Calibri" w:cs="Calibri"/>
                <w:b/>
              </w:rPr>
            </w:pPr>
            <w:r>
              <w:rPr>
                <w:rFonts w:ascii="Calibri" w:eastAsia="Calibri" w:hAnsi="Calibri" w:cs="Calibri"/>
                <w:b/>
              </w:rPr>
              <w:t>2015</w:t>
            </w:r>
            <w:r w:rsidR="004925EE">
              <w:rPr>
                <w:rFonts w:ascii="Calibri" w:eastAsia="Calibri" w:hAnsi="Calibri" w:cs="Calibri"/>
                <w:b/>
              </w:rPr>
              <w:t>–20</w:t>
            </w:r>
            <w:r>
              <w:rPr>
                <w:rFonts w:ascii="Calibri" w:eastAsia="Calibri" w:hAnsi="Calibri" w:cs="Calibri"/>
                <w:b/>
              </w:rPr>
              <w:t>18</w:t>
            </w:r>
          </w:p>
        </w:tc>
        <w:tc>
          <w:tcPr>
            <w:tcW w:w="1242" w:type="dxa"/>
          </w:tcPr>
          <w:p w14:paraId="00000140" w14:textId="4A8B3789" w:rsidR="0039297D" w:rsidRDefault="004273CA" w:rsidP="000F15C3">
            <w:pPr>
              <w:spacing w:before="60" w:after="60"/>
              <w:jc w:val="center"/>
              <w:rPr>
                <w:rFonts w:ascii="Calibri" w:eastAsia="Calibri" w:hAnsi="Calibri" w:cs="Calibri"/>
                <w:b/>
              </w:rPr>
            </w:pPr>
            <w:r>
              <w:rPr>
                <w:rFonts w:ascii="Calibri" w:eastAsia="Calibri" w:hAnsi="Calibri" w:cs="Calibri"/>
                <w:b/>
              </w:rPr>
              <w:t xml:space="preserve">Percentage growth </w:t>
            </w:r>
            <w:r w:rsidR="00FD1E26">
              <w:rPr>
                <w:rFonts w:ascii="Calibri" w:eastAsia="Calibri" w:hAnsi="Calibri" w:cs="Calibri"/>
                <w:b/>
              </w:rPr>
              <w:br/>
            </w:r>
            <w:r>
              <w:rPr>
                <w:rFonts w:ascii="Calibri" w:eastAsia="Calibri" w:hAnsi="Calibri" w:cs="Calibri"/>
                <w:b/>
              </w:rPr>
              <w:t>P1 to P3</w:t>
            </w:r>
          </w:p>
        </w:tc>
      </w:tr>
      <w:tr w:rsidR="0039297D" w14:paraId="238E077B" w14:textId="77777777" w:rsidTr="000F15C3">
        <w:trPr>
          <w:trHeight w:val="590"/>
          <w:jc w:val="center"/>
        </w:trPr>
        <w:tc>
          <w:tcPr>
            <w:tcW w:w="4106" w:type="dxa"/>
          </w:tcPr>
          <w:p w14:paraId="00000141"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Percentage of people in </w:t>
            </w:r>
            <w:r>
              <w:rPr>
                <w:rFonts w:ascii="Calibri" w:eastAsia="Calibri" w:hAnsi="Calibri" w:cs="Calibri"/>
                <w:b/>
              </w:rPr>
              <w:t>cultural</w:t>
            </w:r>
            <w:r>
              <w:rPr>
                <w:rFonts w:ascii="Calibri" w:eastAsia="Calibri" w:hAnsi="Calibri" w:cs="Calibri"/>
              </w:rPr>
              <w:t xml:space="preserve"> occupations who had completed high school</w:t>
            </w:r>
          </w:p>
        </w:tc>
        <w:tc>
          <w:tcPr>
            <w:tcW w:w="1241" w:type="dxa"/>
            <w:tcMar>
              <w:right w:w="340" w:type="dxa"/>
            </w:tcMar>
          </w:tcPr>
          <w:p w14:paraId="00000142" w14:textId="77777777" w:rsidR="0039297D" w:rsidRDefault="004273CA" w:rsidP="000F15C3">
            <w:pPr>
              <w:spacing w:before="60" w:after="60"/>
              <w:jc w:val="right"/>
              <w:rPr>
                <w:rFonts w:ascii="Calibri" w:eastAsia="Calibri" w:hAnsi="Calibri" w:cs="Calibri"/>
              </w:rPr>
            </w:pPr>
            <w:r>
              <w:rPr>
                <w:rFonts w:ascii="Calibri" w:eastAsia="Calibri" w:hAnsi="Calibri" w:cs="Calibri"/>
              </w:rPr>
              <w:t>25.9%</w:t>
            </w:r>
          </w:p>
        </w:tc>
        <w:tc>
          <w:tcPr>
            <w:tcW w:w="1242" w:type="dxa"/>
            <w:tcMar>
              <w:right w:w="340" w:type="dxa"/>
            </w:tcMar>
          </w:tcPr>
          <w:p w14:paraId="00000143" w14:textId="77777777" w:rsidR="0039297D" w:rsidRDefault="004273CA" w:rsidP="000F15C3">
            <w:pPr>
              <w:spacing w:before="60" w:after="60"/>
              <w:jc w:val="right"/>
              <w:rPr>
                <w:rFonts w:ascii="Calibri" w:eastAsia="Calibri" w:hAnsi="Calibri" w:cs="Calibri"/>
              </w:rPr>
            </w:pPr>
            <w:r>
              <w:rPr>
                <w:rFonts w:ascii="Calibri" w:eastAsia="Calibri" w:hAnsi="Calibri" w:cs="Calibri"/>
              </w:rPr>
              <w:t>26.8%</w:t>
            </w:r>
          </w:p>
        </w:tc>
        <w:tc>
          <w:tcPr>
            <w:tcW w:w="1241" w:type="dxa"/>
            <w:tcMar>
              <w:right w:w="340" w:type="dxa"/>
            </w:tcMar>
          </w:tcPr>
          <w:p w14:paraId="00000144" w14:textId="77777777" w:rsidR="0039297D" w:rsidRDefault="004273CA" w:rsidP="000F15C3">
            <w:pPr>
              <w:spacing w:before="60" w:after="60"/>
              <w:jc w:val="right"/>
              <w:rPr>
                <w:rFonts w:ascii="Calibri" w:eastAsia="Calibri" w:hAnsi="Calibri" w:cs="Calibri"/>
              </w:rPr>
            </w:pPr>
            <w:r>
              <w:rPr>
                <w:rFonts w:ascii="Calibri" w:eastAsia="Calibri" w:hAnsi="Calibri" w:cs="Calibri"/>
              </w:rPr>
              <w:t>26.7%</w:t>
            </w:r>
          </w:p>
        </w:tc>
        <w:tc>
          <w:tcPr>
            <w:tcW w:w="1242" w:type="dxa"/>
            <w:tcMar>
              <w:right w:w="340" w:type="dxa"/>
            </w:tcMar>
          </w:tcPr>
          <w:p w14:paraId="00000145" w14:textId="77777777" w:rsidR="0039297D" w:rsidRDefault="004273CA" w:rsidP="000F15C3">
            <w:pPr>
              <w:spacing w:before="60" w:after="60"/>
              <w:jc w:val="right"/>
              <w:rPr>
                <w:rFonts w:ascii="Calibri" w:eastAsia="Calibri" w:hAnsi="Calibri" w:cs="Calibri"/>
              </w:rPr>
            </w:pPr>
            <w:r>
              <w:rPr>
                <w:rFonts w:ascii="Calibri" w:eastAsia="Calibri" w:hAnsi="Calibri" w:cs="Calibri"/>
              </w:rPr>
              <w:t>3.0%</w:t>
            </w:r>
          </w:p>
        </w:tc>
      </w:tr>
      <w:tr w:rsidR="0039297D" w14:paraId="1AC1B721" w14:textId="77777777" w:rsidTr="000F15C3">
        <w:trPr>
          <w:trHeight w:val="590"/>
          <w:jc w:val="center"/>
        </w:trPr>
        <w:tc>
          <w:tcPr>
            <w:tcW w:w="4106" w:type="dxa"/>
          </w:tcPr>
          <w:p w14:paraId="00000146"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Percentage of people in </w:t>
            </w:r>
            <w:r>
              <w:rPr>
                <w:rFonts w:ascii="Calibri" w:eastAsia="Calibri" w:hAnsi="Calibri" w:cs="Calibri"/>
                <w:b/>
              </w:rPr>
              <w:t>non-cultural</w:t>
            </w:r>
            <w:r>
              <w:rPr>
                <w:rFonts w:ascii="Calibri" w:eastAsia="Calibri" w:hAnsi="Calibri" w:cs="Calibri"/>
              </w:rPr>
              <w:t xml:space="preserve"> occupations who had completed high school</w:t>
            </w:r>
          </w:p>
        </w:tc>
        <w:tc>
          <w:tcPr>
            <w:tcW w:w="1241" w:type="dxa"/>
            <w:tcMar>
              <w:right w:w="340" w:type="dxa"/>
            </w:tcMar>
          </w:tcPr>
          <w:p w14:paraId="00000147" w14:textId="77777777" w:rsidR="0039297D" w:rsidRDefault="004273CA" w:rsidP="000F15C3">
            <w:pPr>
              <w:spacing w:before="60" w:after="60"/>
              <w:jc w:val="right"/>
              <w:rPr>
                <w:rFonts w:ascii="Calibri" w:eastAsia="Calibri" w:hAnsi="Calibri" w:cs="Calibri"/>
              </w:rPr>
            </w:pPr>
            <w:r>
              <w:rPr>
                <w:rFonts w:ascii="Calibri" w:eastAsia="Calibri" w:hAnsi="Calibri" w:cs="Calibri"/>
              </w:rPr>
              <w:t>17.9%</w:t>
            </w:r>
          </w:p>
        </w:tc>
        <w:tc>
          <w:tcPr>
            <w:tcW w:w="1242" w:type="dxa"/>
            <w:tcMar>
              <w:right w:w="340" w:type="dxa"/>
            </w:tcMar>
          </w:tcPr>
          <w:p w14:paraId="00000148" w14:textId="77777777" w:rsidR="0039297D" w:rsidRDefault="004273CA" w:rsidP="000F15C3">
            <w:pPr>
              <w:spacing w:before="60" w:after="60"/>
              <w:jc w:val="right"/>
              <w:rPr>
                <w:rFonts w:ascii="Calibri" w:eastAsia="Calibri" w:hAnsi="Calibri" w:cs="Calibri"/>
              </w:rPr>
            </w:pPr>
            <w:r>
              <w:rPr>
                <w:rFonts w:ascii="Calibri" w:eastAsia="Calibri" w:hAnsi="Calibri" w:cs="Calibri"/>
              </w:rPr>
              <w:t>18.3%</w:t>
            </w:r>
          </w:p>
        </w:tc>
        <w:tc>
          <w:tcPr>
            <w:tcW w:w="1241" w:type="dxa"/>
            <w:tcMar>
              <w:right w:w="340" w:type="dxa"/>
            </w:tcMar>
          </w:tcPr>
          <w:p w14:paraId="00000149" w14:textId="77777777" w:rsidR="0039297D" w:rsidRDefault="004273CA" w:rsidP="000F15C3">
            <w:pPr>
              <w:spacing w:before="60" w:after="60"/>
              <w:jc w:val="right"/>
              <w:rPr>
                <w:rFonts w:ascii="Calibri" w:eastAsia="Calibri" w:hAnsi="Calibri" w:cs="Calibri"/>
              </w:rPr>
            </w:pPr>
            <w:r>
              <w:rPr>
                <w:rFonts w:ascii="Calibri" w:eastAsia="Calibri" w:hAnsi="Calibri" w:cs="Calibri"/>
              </w:rPr>
              <w:t>32.4%</w:t>
            </w:r>
          </w:p>
        </w:tc>
        <w:tc>
          <w:tcPr>
            <w:tcW w:w="1242" w:type="dxa"/>
            <w:tcMar>
              <w:right w:w="340" w:type="dxa"/>
            </w:tcMar>
          </w:tcPr>
          <w:p w14:paraId="0000014A" w14:textId="77777777" w:rsidR="0039297D" w:rsidRDefault="004273CA" w:rsidP="000F15C3">
            <w:pPr>
              <w:spacing w:before="60" w:after="60"/>
              <w:jc w:val="right"/>
              <w:rPr>
                <w:rFonts w:ascii="Calibri" w:eastAsia="Calibri" w:hAnsi="Calibri" w:cs="Calibri"/>
              </w:rPr>
            </w:pPr>
            <w:r>
              <w:rPr>
                <w:rFonts w:ascii="Calibri" w:eastAsia="Calibri" w:hAnsi="Calibri" w:cs="Calibri"/>
              </w:rPr>
              <w:t>81.4%</w:t>
            </w:r>
          </w:p>
        </w:tc>
      </w:tr>
      <w:tr w:rsidR="0039297D" w14:paraId="149B1E5E" w14:textId="77777777" w:rsidTr="000F15C3">
        <w:trPr>
          <w:trHeight w:val="590"/>
          <w:jc w:val="center"/>
        </w:trPr>
        <w:tc>
          <w:tcPr>
            <w:tcW w:w="4106" w:type="dxa"/>
          </w:tcPr>
          <w:p w14:paraId="0000014B"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Percentage of people in </w:t>
            </w:r>
            <w:r>
              <w:rPr>
                <w:rFonts w:ascii="Calibri" w:eastAsia="Calibri" w:hAnsi="Calibri" w:cs="Calibri"/>
                <w:b/>
              </w:rPr>
              <w:t>cultural</w:t>
            </w:r>
            <w:r>
              <w:rPr>
                <w:rFonts w:ascii="Calibri" w:eastAsia="Calibri" w:hAnsi="Calibri" w:cs="Calibri"/>
              </w:rPr>
              <w:t xml:space="preserve"> occupations with tertiary education (13+ years)</w:t>
            </w:r>
          </w:p>
        </w:tc>
        <w:tc>
          <w:tcPr>
            <w:tcW w:w="1241" w:type="dxa"/>
            <w:tcMar>
              <w:right w:w="340" w:type="dxa"/>
            </w:tcMar>
          </w:tcPr>
          <w:p w14:paraId="0000014C" w14:textId="77777777" w:rsidR="0039297D" w:rsidRDefault="004273CA" w:rsidP="000F15C3">
            <w:pPr>
              <w:spacing w:before="60" w:after="60"/>
              <w:jc w:val="right"/>
              <w:rPr>
                <w:rFonts w:ascii="Calibri" w:eastAsia="Calibri" w:hAnsi="Calibri" w:cs="Calibri"/>
              </w:rPr>
            </w:pPr>
            <w:r>
              <w:rPr>
                <w:rFonts w:ascii="Calibri" w:eastAsia="Calibri" w:hAnsi="Calibri" w:cs="Calibri"/>
              </w:rPr>
              <w:t>19.7%</w:t>
            </w:r>
          </w:p>
        </w:tc>
        <w:tc>
          <w:tcPr>
            <w:tcW w:w="1242" w:type="dxa"/>
            <w:tcMar>
              <w:right w:w="340" w:type="dxa"/>
            </w:tcMar>
          </w:tcPr>
          <w:p w14:paraId="0000014D" w14:textId="77777777" w:rsidR="0039297D" w:rsidRDefault="004273CA" w:rsidP="000F15C3">
            <w:pPr>
              <w:spacing w:before="60" w:after="60"/>
              <w:jc w:val="right"/>
              <w:rPr>
                <w:rFonts w:ascii="Calibri" w:eastAsia="Calibri" w:hAnsi="Calibri" w:cs="Calibri"/>
              </w:rPr>
            </w:pPr>
            <w:r>
              <w:rPr>
                <w:rFonts w:ascii="Calibri" w:eastAsia="Calibri" w:hAnsi="Calibri" w:cs="Calibri"/>
              </w:rPr>
              <w:t>28.4%</w:t>
            </w:r>
          </w:p>
        </w:tc>
        <w:tc>
          <w:tcPr>
            <w:tcW w:w="1241" w:type="dxa"/>
            <w:tcMar>
              <w:right w:w="340" w:type="dxa"/>
            </w:tcMar>
          </w:tcPr>
          <w:p w14:paraId="0000014E" w14:textId="77777777" w:rsidR="0039297D" w:rsidRDefault="004273CA" w:rsidP="000F15C3">
            <w:pPr>
              <w:spacing w:before="60" w:after="60"/>
              <w:jc w:val="right"/>
              <w:rPr>
                <w:rFonts w:ascii="Calibri" w:eastAsia="Calibri" w:hAnsi="Calibri" w:cs="Calibri"/>
              </w:rPr>
            </w:pPr>
            <w:r>
              <w:rPr>
                <w:rFonts w:ascii="Calibri" w:eastAsia="Calibri" w:hAnsi="Calibri" w:cs="Calibri"/>
              </w:rPr>
              <w:t>27.7%</w:t>
            </w:r>
          </w:p>
        </w:tc>
        <w:tc>
          <w:tcPr>
            <w:tcW w:w="1242" w:type="dxa"/>
            <w:tcMar>
              <w:right w:w="340" w:type="dxa"/>
            </w:tcMar>
          </w:tcPr>
          <w:p w14:paraId="0000014F" w14:textId="77777777" w:rsidR="0039297D" w:rsidRDefault="004273CA" w:rsidP="000F15C3">
            <w:pPr>
              <w:spacing w:before="60" w:after="60"/>
              <w:jc w:val="right"/>
              <w:rPr>
                <w:rFonts w:ascii="Calibri" w:eastAsia="Calibri" w:hAnsi="Calibri" w:cs="Calibri"/>
              </w:rPr>
            </w:pPr>
            <w:r>
              <w:rPr>
                <w:rFonts w:ascii="Calibri" w:eastAsia="Calibri" w:hAnsi="Calibri" w:cs="Calibri"/>
              </w:rPr>
              <w:t>41.0%</w:t>
            </w:r>
          </w:p>
        </w:tc>
      </w:tr>
      <w:tr w:rsidR="0039297D" w14:paraId="1DE8CA87" w14:textId="77777777" w:rsidTr="000F15C3">
        <w:trPr>
          <w:trHeight w:val="590"/>
          <w:jc w:val="center"/>
        </w:trPr>
        <w:tc>
          <w:tcPr>
            <w:tcW w:w="4106" w:type="dxa"/>
          </w:tcPr>
          <w:p w14:paraId="00000150"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Percentage of people in </w:t>
            </w:r>
            <w:r>
              <w:rPr>
                <w:rFonts w:ascii="Calibri" w:eastAsia="Calibri" w:hAnsi="Calibri" w:cs="Calibri"/>
                <w:b/>
              </w:rPr>
              <w:t>non-cultural</w:t>
            </w:r>
            <w:r>
              <w:rPr>
                <w:rFonts w:ascii="Calibri" w:eastAsia="Calibri" w:hAnsi="Calibri" w:cs="Calibri"/>
              </w:rPr>
              <w:t xml:space="preserve"> occupations with tertiary education (13+ years)</w:t>
            </w:r>
          </w:p>
        </w:tc>
        <w:tc>
          <w:tcPr>
            <w:tcW w:w="1241" w:type="dxa"/>
            <w:tcMar>
              <w:right w:w="340" w:type="dxa"/>
            </w:tcMar>
          </w:tcPr>
          <w:p w14:paraId="00000151" w14:textId="77777777" w:rsidR="0039297D" w:rsidRDefault="004273CA" w:rsidP="000F15C3">
            <w:pPr>
              <w:spacing w:before="60" w:after="60"/>
              <w:jc w:val="right"/>
              <w:rPr>
                <w:rFonts w:ascii="Calibri" w:eastAsia="Calibri" w:hAnsi="Calibri" w:cs="Calibri"/>
              </w:rPr>
            </w:pPr>
            <w:r>
              <w:rPr>
                <w:rFonts w:ascii="Calibri" w:eastAsia="Calibri" w:hAnsi="Calibri" w:cs="Calibri"/>
              </w:rPr>
              <w:t>7.1%</w:t>
            </w:r>
          </w:p>
        </w:tc>
        <w:tc>
          <w:tcPr>
            <w:tcW w:w="1242" w:type="dxa"/>
            <w:tcMar>
              <w:right w:w="340" w:type="dxa"/>
            </w:tcMar>
          </w:tcPr>
          <w:p w14:paraId="00000152" w14:textId="77777777" w:rsidR="0039297D" w:rsidRDefault="004273CA" w:rsidP="000F15C3">
            <w:pPr>
              <w:spacing w:before="60" w:after="60"/>
              <w:jc w:val="right"/>
              <w:rPr>
                <w:rFonts w:ascii="Calibri" w:eastAsia="Calibri" w:hAnsi="Calibri" w:cs="Calibri"/>
              </w:rPr>
            </w:pPr>
            <w:r>
              <w:rPr>
                <w:rFonts w:ascii="Calibri" w:eastAsia="Calibri" w:hAnsi="Calibri" w:cs="Calibri"/>
              </w:rPr>
              <w:t>8.3%</w:t>
            </w:r>
          </w:p>
        </w:tc>
        <w:tc>
          <w:tcPr>
            <w:tcW w:w="1241" w:type="dxa"/>
            <w:tcMar>
              <w:right w:w="340" w:type="dxa"/>
            </w:tcMar>
          </w:tcPr>
          <w:p w14:paraId="00000153" w14:textId="77777777" w:rsidR="0039297D" w:rsidRDefault="004273CA" w:rsidP="000F15C3">
            <w:pPr>
              <w:spacing w:before="60" w:after="60"/>
              <w:jc w:val="right"/>
              <w:rPr>
                <w:rFonts w:ascii="Calibri" w:eastAsia="Calibri" w:hAnsi="Calibri" w:cs="Calibri"/>
              </w:rPr>
            </w:pPr>
            <w:r>
              <w:rPr>
                <w:rFonts w:ascii="Calibri" w:eastAsia="Calibri" w:hAnsi="Calibri" w:cs="Calibri"/>
              </w:rPr>
              <w:t>21.3%</w:t>
            </w:r>
          </w:p>
        </w:tc>
        <w:tc>
          <w:tcPr>
            <w:tcW w:w="1242" w:type="dxa"/>
            <w:tcMar>
              <w:right w:w="340" w:type="dxa"/>
            </w:tcMar>
          </w:tcPr>
          <w:p w14:paraId="00000154" w14:textId="77777777" w:rsidR="0039297D" w:rsidRDefault="004273CA" w:rsidP="000F15C3">
            <w:pPr>
              <w:spacing w:before="60" w:after="60"/>
              <w:jc w:val="right"/>
              <w:rPr>
                <w:rFonts w:ascii="Calibri" w:eastAsia="Calibri" w:hAnsi="Calibri" w:cs="Calibri"/>
              </w:rPr>
            </w:pPr>
            <w:r>
              <w:rPr>
                <w:rFonts w:ascii="Calibri" w:eastAsia="Calibri" w:hAnsi="Calibri" w:cs="Calibri"/>
              </w:rPr>
              <w:t>199.6%</w:t>
            </w:r>
          </w:p>
        </w:tc>
      </w:tr>
      <w:tr w:rsidR="0039297D" w14:paraId="06AE505F" w14:textId="77777777" w:rsidTr="000F15C3">
        <w:trPr>
          <w:trHeight w:val="590"/>
          <w:jc w:val="center"/>
        </w:trPr>
        <w:tc>
          <w:tcPr>
            <w:tcW w:w="4106" w:type="dxa"/>
          </w:tcPr>
          <w:p w14:paraId="00000155"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years of education for people in </w:t>
            </w:r>
            <w:r>
              <w:rPr>
                <w:rFonts w:ascii="Calibri" w:eastAsia="Calibri" w:hAnsi="Calibri" w:cs="Calibri"/>
                <w:b/>
              </w:rPr>
              <w:t>cultural</w:t>
            </w:r>
            <w:r>
              <w:rPr>
                <w:rFonts w:ascii="Calibri" w:eastAsia="Calibri" w:hAnsi="Calibri" w:cs="Calibri"/>
              </w:rPr>
              <w:t xml:space="preserve"> occupations</w:t>
            </w:r>
          </w:p>
        </w:tc>
        <w:tc>
          <w:tcPr>
            <w:tcW w:w="1241" w:type="dxa"/>
            <w:tcMar>
              <w:right w:w="340" w:type="dxa"/>
            </w:tcMar>
          </w:tcPr>
          <w:p w14:paraId="00000156" w14:textId="77777777" w:rsidR="0039297D" w:rsidRDefault="004273CA" w:rsidP="000F15C3">
            <w:pPr>
              <w:spacing w:before="60" w:after="60"/>
              <w:jc w:val="right"/>
              <w:rPr>
                <w:rFonts w:ascii="Calibri" w:eastAsia="Calibri" w:hAnsi="Calibri" w:cs="Calibri"/>
              </w:rPr>
            </w:pPr>
            <w:r>
              <w:rPr>
                <w:rFonts w:ascii="Calibri" w:eastAsia="Calibri" w:hAnsi="Calibri" w:cs="Calibri"/>
              </w:rPr>
              <w:t>9.77</w:t>
            </w:r>
          </w:p>
        </w:tc>
        <w:tc>
          <w:tcPr>
            <w:tcW w:w="1242" w:type="dxa"/>
            <w:tcMar>
              <w:right w:w="340" w:type="dxa"/>
            </w:tcMar>
          </w:tcPr>
          <w:p w14:paraId="00000157" w14:textId="77777777" w:rsidR="0039297D" w:rsidRDefault="004273CA" w:rsidP="000F15C3">
            <w:pPr>
              <w:spacing w:before="60" w:after="60"/>
              <w:jc w:val="right"/>
              <w:rPr>
                <w:rFonts w:ascii="Calibri" w:eastAsia="Calibri" w:hAnsi="Calibri" w:cs="Calibri"/>
              </w:rPr>
            </w:pPr>
            <w:r>
              <w:rPr>
                <w:rFonts w:ascii="Calibri" w:eastAsia="Calibri" w:hAnsi="Calibri" w:cs="Calibri"/>
              </w:rPr>
              <w:t>10.66</w:t>
            </w:r>
          </w:p>
        </w:tc>
        <w:tc>
          <w:tcPr>
            <w:tcW w:w="1241" w:type="dxa"/>
            <w:tcMar>
              <w:right w:w="340" w:type="dxa"/>
            </w:tcMar>
          </w:tcPr>
          <w:p w14:paraId="00000158" w14:textId="0DB79D35" w:rsidR="0039297D" w:rsidRDefault="004273CA" w:rsidP="000F15C3">
            <w:pPr>
              <w:spacing w:before="60" w:after="60"/>
              <w:jc w:val="right"/>
              <w:rPr>
                <w:rFonts w:ascii="Calibri" w:eastAsia="Calibri" w:hAnsi="Calibri" w:cs="Calibri"/>
              </w:rPr>
            </w:pPr>
            <w:r>
              <w:rPr>
                <w:rFonts w:ascii="Calibri" w:eastAsia="Calibri" w:hAnsi="Calibri" w:cs="Calibri"/>
              </w:rPr>
              <w:t>1</w:t>
            </w:r>
            <w:r w:rsidR="00BD0C3D">
              <w:rPr>
                <w:rFonts w:ascii="Calibri" w:eastAsia="Calibri" w:hAnsi="Calibri" w:cs="Calibri"/>
              </w:rPr>
              <w:t>1</w:t>
            </w:r>
            <w:r>
              <w:rPr>
                <w:rFonts w:ascii="Calibri" w:eastAsia="Calibri" w:hAnsi="Calibri" w:cs="Calibri"/>
              </w:rPr>
              <w:t>.</w:t>
            </w:r>
            <w:r w:rsidR="00BD0C3D">
              <w:rPr>
                <w:rFonts w:ascii="Calibri" w:eastAsia="Calibri" w:hAnsi="Calibri" w:cs="Calibri"/>
              </w:rPr>
              <w:t>0</w:t>
            </w:r>
          </w:p>
        </w:tc>
        <w:tc>
          <w:tcPr>
            <w:tcW w:w="1242" w:type="dxa"/>
            <w:tcMar>
              <w:right w:w="340" w:type="dxa"/>
            </w:tcMar>
          </w:tcPr>
          <w:p w14:paraId="00000159" w14:textId="77777777" w:rsidR="0039297D" w:rsidRDefault="004273CA" w:rsidP="000F15C3">
            <w:pPr>
              <w:spacing w:before="60" w:after="60"/>
              <w:jc w:val="right"/>
              <w:rPr>
                <w:rFonts w:ascii="Calibri" w:eastAsia="Calibri" w:hAnsi="Calibri" w:cs="Calibri"/>
              </w:rPr>
            </w:pPr>
            <w:r>
              <w:rPr>
                <w:rFonts w:ascii="Calibri" w:eastAsia="Calibri" w:hAnsi="Calibri" w:cs="Calibri"/>
              </w:rPr>
              <w:t>12.5%</w:t>
            </w:r>
          </w:p>
        </w:tc>
      </w:tr>
      <w:tr w:rsidR="0039297D" w14:paraId="684E103F" w14:textId="77777777" w:rsidTr="000F15C3">
        <w:trPr>
          <w:trHeight w:val="590"/>
          <w:jc w:val="center"/>
        </w:trPr>
        <w:tc>
          <w:tcPr>
            <w:tcW w:w="4106" w:type="dxa"/>
          </w:tcPr>
          <w:p w14:paraId="0000015A"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years of education for people in </w:t>
            </w:r>
            <w:r>
              <w:rPr>
                <w:rFonts w:ascii="Calibri" w:eastAsia="Calibri" w:hAnsi="Calibri" w:cs="Calibri"/>
                <w:b/>
              </w:rPr>
              <w:t>non-cultural</w:t>
            </w:r>
            <w:r>
              <w:rPr>
                <w:rFonts w:ascii="Calibri" w:eastAsia="Calibri" w:hAnsi="Calibri" w:cs="Calibri"/>
              </w:rPr>
              <w:t xml:space="preserve"> occupations</w:t>
            </w:r>
          </w:p>
        </w:tc>
        <w:tc>
          <w:tcPr>
            <w:tcW w:w="1241" w:type="dxa"/>
            <w:tcMar>
              <w:right w:w="340" w:type="dxa"/>
            </w:tcMar>
          </w:tcPr>
          <w:p w14:paraId="0000015B" w14:textId="77777777" w:rsidR="0039297D" w:rsidRDefault="004273CA" w:rsidP="000F15C3">
            <w:pPr>
              <w:spacing w:before="60" w:after="60"/>
              <w:jc w:val="right"/>
              <w:rPr>
                <w:rFonts w:ascii="Calibri" w:eastAsia="Calibri" w:hAnsi="Calibri" w:cs="Calibri"/>
              </w:rPr>
            </w:pPr>
            <w:r>
              <w:rPr>
                <w:rFonts w:ascii="Calibri" w:eastAsia="Calibri" w:hAnsi="Calibri" w:cs="Calibri"/>
              </w:rPr>
              <w:t>7.56</w:t>
            </w:r>
          </w:p>
        </w:tc>
        <w:tc>
          <w:tcPr>
            <w:tcW w:w="1242" w:type="dxa"/>
            <w:tcMar>
              <w:right w:w="340" w:type="dxa"/>
            </w:tcMar>
          </w:tcPr>
          <w:p w14:paraId="0000015C" w14:textId="77777777" w:rsidR="0039297D" w:rsidRDefault="004273CA" w:rsidP="000F15C3">
            <w:pPr>
              <w:spacing w:before="60" w:after="60"/>
              <w:jc w:val="right"/>
              <w:rPr>
                <w:rFonts w:ascii="Calibri" w:eastAsia="Calibri" w:hAnsi="Calibri" w:cs="Calibri"/>
              </w:rPr>
            </w:pPr>
            <w:r>
              <w:rPr>
                <w:rFonts w:ascii="Calibri" w:eastAsia="Calibri" w:hAnsi="Calibri" w:cs="Calibri"/>
              </w:rPr>
              <w:t>7.47</w:t>
            </w:r>
          </w:p>
        </w:tc>
        <w:tc>
          <w:tcPr>
            <w:tcW w:w="1241" w:type="dxa"/>
            <w:tcMar>
              <w:right w:w="340" w:type="dxa"/>
            </w:tcMar>
          </w:tcPr>
          <w:p w14:paraId="0000015D" w14:textId="679708E5" w:rsidR="0039297D" w:rsidRDefault="004273CA" w:rsidP="000F15C3">
            <w:pPr>
              <w:spacing w:before="60" w:after="60"/>
              <w:jc w:val="right"/>
              <w:rPr>
                <w:rFonts w:ascii="Calibri" w:eastAsia="Calibri" w:hAnsi="Calibri" w:cs="Calibri"/>
              </w:rPr>
            </w:pPr>
            <w:r>
              <w:rPr>
                <w:rFonts w:ascii="Calibri" w:eastAsia="Calibri" w:hAnsi="Calibri" w:cs="Calibri"/>
              </w:rPr>
              <w:t>10.9</w:t>
            </w:r>
          </w:p>
        </w:tc>
        <w:tc>
          <w:tcPr>
            <w:tcW w:w="1242" w:type="dxa"/>
            <w:tcMar>
              <w:right w:w="340" w:type="dxa"/>
            </w:tcMar>
          </w:tcPr>
          <w:p w14:paraId="0000015E" w14:textId="77777777" w:rsidR="0039297D" w:rsidRDefault="004273CA" w:rsidP="000F15C3">
            <w:pPr>
              <w:spacing w:before="60" w:after="60"/>
              <w:jc w:val="right"/>
              <w:rPr>
                <w:rFonts w:ascii="Calibri" w:eastAsia="Calibri" w:hAnsi="Calibri" w:cs="Calibri"/>
              </w:rPr>
            </w:pPr>
            <w:r>
              <w:rPr>
                <w:rFonts w:ascii="Calibri" w:eastAsia="Calibri" w:hAnsi="Calibri" w:cs="Calibri"/>
              </w:rPr>
              <w:t>44.1%</w:t>
            </w:r>
          </w:p>
        </w:tc>
      </w:tr>
    </w:tbl>
    <w:p w14:paraId="0000015F" w14:textId="07B86C18" w:rsidR="0039297D" w:rsidRDefault="004273CA" w:rsidP="000F15C3">
      <w:pPr>
        <w:spacing w:before="120" w:line="259" w:lineRule="auto"/>
      </w:pPr>
      <w:bookmarkStart w:id="54" w:name="_heading=h.ihv636" w:colFirst="0" w:colLast="0"/>
      <w:bookmarkEnd w:id="54"/>
      <w:r>
        <w:t>Source: PALMS data 2005–2018; Authors’ own analysis</w:t>
      </w:r>
    </w:p>
    <w:p w14:paraId="00000160" w14:textId="61694339" w:rsidR="0039297D" w:rsidRDefault="004273CA" w:rsidP="000F15C3">
      <w:pPr>
        <w:spacing w:line="259" w:lineRule="auto"/>
        <w:rPr>
          <w:sz w:val="22"/>
          <w:szCs w:val="22"/>
        </w:rPr>
      </w:pPr>
      <w:r>
        <w:rPr>
          <w:sz w:val="22"/>
          <w:szCs w:val="22"/>
        </w:rPr>
        <w:t>People in cultural occupations are more likely to have tertiary education (defined as 13 or more years of education) than people in other occupations, although the difference in education level</w:t>
      </w:r>
      <w:r w:rsidR="002C3992">
        <w:rPr>
          <w:sz w:val="22"/>
          <w:szCs w:val="22"/>
        </w:rPr>
        <w:t>s</w:t>
      </w:r>
      <w:r>
        <w:rPr>
          <w:sz w:val="22"/>
          <w:szCs w:val="22"/>
        </w:rPr>
        <w:t xml:space="preserve"> between the </w:t>
      </w:r>
      <w:r w:rsidR="002C3992">
        <w:rPr>
          <w:sz w:val="22"/>
          <w:szCs w:val="22"/>
        </w:rPr>
        <w:t xml:space="preserve">two </w:t>
      </w:r>
      <w:r>
        <w:rPr>
          <w:sz w:val="22"/>
          <w:szCs w:val="22"/>
        </w:rPr>
        <w:t xml:space="preserve">groups is decreasing over time. In Period 1, 19.7% of people in cultural occupations had tertiary education, which increased to 27.2% in Period 3. In non-cultural occupations, only 7.1% of people had tertiary education in Period 1, but this increased dramatically to 21.3% in Period 3. </w:t>
      </w:r>
      <w:r w:rsidR="002C3992">
        <w:rPr>
          <w:sz w:val="22"/>
          <w:szCs w:val="22"/>
        </w:rPr>
        <w:t xml:space="preserve">The </w:t>
      </w:r>
      <w:r>
        <w:rPr>
          <w:sz w:val="22"/>
          <w:szCs w:val="22"/>
        </w:rPr>
        <w:t>difference in the average years of education for cultural and non-cultural occupations has fallen over time.</w:t>
      </w:r>
    </w:p>
    <w:p w14:paraId="00000161" w14:textId="77777777" w:rsidR="0039297D" w:rsidRDefault="004273CA" w:rsidP="000F15C3">
      <w:pPr>
        <w:pStyle w:val="Heading2"/>
        <w:ind w:left="578" w:hanging="578"/>
      </w:pPr>
      <w:bookmarkStart w:id="55" w:name="_Toc90193711"/>
      <w:bookmarkStart w:id="56" w:name="_Toc90193732"/>
      <w:bookmarkStart w:id="57" w:name="_Toc90193759"/>
      <w:r>
        <w:lastRenderedPageBreak/>
        <w:t>Earnings in cultural occupations by domain and over time</w:t>
      </w:r>
      <w:bookmarkEnd w:id="55"/>
      <w:bookmarkEnd w:id="56"/>
      <w:bookmarkEnd w:id="57"/>
    </w:p>
    <w:p w14:paraId="00000162" w14:textId="60AFB343" w:rsidR="0039297D" w:rsidRDefault="004273CA" w:rsidP="000F15C3">
      <w:pPr>
        <w:spacing w:line="259" w:lineRule="auto"/>
        <w:rPr>
          <w:sz w:val="22"/>
          <w:szCs w:val="22"/>
        </w:rPr>
      </w:pPr>
      <w:r>
        <w:rPr>
          <w:sz w:val="22"/>
          <w:szCs w:val="22"/>
        </w:rPr>
        <w:t>The “real earnings” variable is used to compare earnings in cultural occupations over time, controlling for inflation by using the prices of 2015. For cultural occupations overall, real average earnings increased dramatically between Periods 1 and 2, from an average of R6 500 per month to R1</w:t>
      </w:r>
      <w:r w:rsidR="00AC0734">
        <w:rPr>
          <w:sz w:val="22"/>
          <w:szCs w:val="22"/>
        </w:rPr>
        <w:t>1</w:t>
      </w:r>
      <w:r>
        <w:rPr>
          <w:sz w:val="22"/>
          <w:szCs w:val="22"/>
        </w:rPr>
        <w:t xml:space="preserve"> 100 per month (Table </w:t>
      </w:r>
      <w:r w:rsidR="0027096F">
        <w:rPr>
          <w:sz w:val="22"/>
          <w:szCs w:val="22"/>
        </w:rPr>
        <w:t>5</w:t>
      </w:r>
      <w:r>
        <w:rPr>
          <w:sz w:val="22"/>
          <w:szCs w:val="22"/>
        </w:rPr>
        <w:t>). While non-cultural earnings also increased in this period (R7 800 to R9 </w:t>
      </w:r>
      <w:r w:rsidR="00AC0734">
        <w:rPr>
          <w:sz w:val="22"/>
          <w:szCs w:val="22"/>
        </w:rPr>
        <w:t>8</w:t>
      </w:r>
      <w:r>
        <w:rPr>
          <w:sz w:val="22"/>
          <w:szCs w:val="22"/>
        </w:rPr>
        <w:t>00), the increase was not as dramatic. Both cultural and non-cultural occupations experienced a fall in real mean earnings in Period 3, as economic growth slowed. Earnings in cultural occupations remain higher, on average, than for other occupations. However, from 2011 until 2016, cultural occupations real earnings were consistently higher than average real earning</w:t>
      </w:r>
      <w:sdt>
        <w:sdtPr>
          <w:tag w:val="goog_rdk_6"/>
          <w:id w:val="732197637"/>
        </w:sdtPr>
        <w:sdtEndPr/>
        <w:sdtContent>
          <w:r>
            <w:rPr>
              <w:sz w:val="22"/>
              <w:szCs w:val="22"/>
            </w:rPr>
            <w:t>s</w:t>
          </w:r>
        </w:sdtContent>
      </w:sdt>
      <w:r>
        <w:rPr>
          <w:sz w:val="22"/>
          <w:szCs w:val="22"/>
        </w:rPr>
        <w:t xml:space="preserve"> from other occupations. After 2016, they tend to be more on a par (Figure </w:t>
      </w:r>
      <w:r w:rsidR="00AC0734">
        <w:rPr>
          <w:sz w:val="22"/>
          <w:szCs w:val="22"/>
        </w:rPr>
        <w:t>9</w:t>
      </w:r>
      <w:r>
        <w:rPr>
          <w:sz w:val="22"/>
          <w:szCs w:val="22"/>
        </w:rPr>
        <w:t>).</w:t>
      </w:r>
    </w:p>
    <w:p w14:paraId="00000163" w14:textId="77777777" w:rsidR="0039297D" w:rsidRDefault="004273CA" w:rsidP="000F15C3">
      <w:pPr>
        <w:spacing w:line="259" w:lineRule="auto"/>
        <w:rPr>
          <w:sz w:val="22"/>
          <w:szCs w:val="22"/>
        </w:rPr>
      </w:pPr>
      <w:r>
        <w:rPr>
          <w:sz w:val="22"/>
          <w:szCs w:val="22"/>
        </w:rPr>
        <w:t xml:space="preserve">Returns to education for both the cultural and non-cultural workforce remain high: For cultural workers with 15 or more years of education, average real earnings in period 3 were R23 900 per month (compared to average real earnings for all cultural workers of R11 100 per month). </w:t>
      </w:r>
    </w:p>
    <w:p w14:paraId="00000164" w14:textId="77777777" w:rsidR="0039297D" w:rsidRDefault="004273CA">
      <w:r>
        <w:rPr>
          <w:noProof/>
          <w:lang w:val="en-ZA"/>
        </w:rPr>
        <w:drawing>
          <wp:inline distT="0" distB="0" distL="0" distR="0" wp14:anchorId="1A578ECE" wp14:editId="2C0E47A3">
            <wp:extent cx="5731510" cy="2713355"/>
            <wp:effectExtent l="0" t="0" r="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000165" w14:textId="6B0B5D6B" w:rsidR="0039297D" w:rsidRPr="000F15C3" w:rsidRDefault="004273CA" w:rsidP="000F15C3">
      <w:pPr>
        <w:pBdr>
          <w:top w:val="nil"/>
          <w:left w:val="nil"/>
          <w:bottom w:val="nil"/>
          <w:right w:val="nil"/>
          <w:between w:val="nil"/>
        </w:pBdr>
        <w:spacing w:before="120" w:line="259" w:lineRule="auto"/>
        <w:rPr>
          <w:i/>
          <w:color w:val="44546A"/>
        </w:rPr>
      </w:pPr>
      <w:bookmarkStart w:id="58" w:name="_heading=h.1hmsyys" w:colFirst="0" w:colLast="0"/>
      <w:bookmarkEnd w:id="58"/>
      <w:r w:rsidRPr="000F15C3">
        <w:rPr>
          <w:i/>
          <w:color w:val="44546A"/>
        </w:rPr>
        <w:t>Figure 9</w:t>
      </w:r>
      <w:r w:rsidR="00D5673A" w:rsidRPr="000F15C3">
        <w:rPr>
          <w:i/>
          <w:color w:val="44546A"/>
        </w:rPr>
        <w:t>:</w:t>
      </w:r>
      <w:r w:rsidRPr="000F15C3">
        <w:rPr>
          <w:i/>
          <w:color w:val="44546A"/>
        </w:rPr>
        <w:t xml:space="preserve"> Average real earnings in cultural and non-cultural occupations 2005</w:t>
      </w:r>
      <w:r w:rsidR="00D5673A">
        <w:rPr>
          <w:i/>
          <w:color w:val="44546A"/>
        </w:rPr>
        <w:t>–</w:t>
      </w:r>
      <w:r w:rsidRPr="000F15C3">
        <w:rPr>
          <w:i/>
          <w:color w:val="44546A"/>
        </w:rPr>
        <w:t>2018</w:t>
      </w:r>
    </w:p>
    <w:p w14:paraId="00000166" w14:textId="15B4B354" w:rsidR="0039297D" w:rsidRPr="00D5673A" w:rsidRDefault="004273CA" w:rsidP="000F15C3">
      <w:pPr>
        <w:spacing w:line="259" w:lineRule="auto"/>
      </w:pPr>
      <w:r w:rsidRPr="00D5673A">
        <w:t>Source: PALMS data 2005–2018; Authors’ own analysis</w:t>
      </w:r>
    </w:p>
    <w:p w14:paraId="00000168" w14:textId="2A3CC608" w:rsidR="0039297D" w:rsidRDefault="004273CA" w:rsidP="000F15C3">
      <w:pPr>
        <w:spacing w:line="259" w:lineRule="auto"/>
        <w:rPr>
          <w:sz w:val="22"/>
          <w:szCs w:val="22"/>
        </w:rPr>
      </w:pPr>
      <w:r>
        <w:rPr>
          <w:sz w:val="22"/>
          <w:szCs w:val="22"/>
        </w:rPr>
        <w:t>However, real earnings for people in cultural occupations with tertiary education f</w:t>
      </w:r>
      <w:r w:rsidR="00D5673A">
        <w:rPr>
          <w:sz w:val="22"/>
          <w:szCs w:val="22"/>
        </w:rPr>
        <w:t>e</w:t>
      </w:r>
      <w:r>
        <w:rPr>
          <w:sz w:val="22"/>
          <w:szCs w:val="22"/>
        </w:rPr>
        <w:t xml:space="preserve">ll between Periods 1 and 3, while they increased </w:t>
      </w:r>
      <w:r w:rsidR="00D5673A">
        <w:rPr>
          <w:sz w:val="22"/>
          <w:szCs w:val="22"/>
        </w:rPr>
        <w:t xml:space="preserve">steadily </w:t>
      </w:r>
      <w:r>
        <w:rPr>
          <w:sz w:val="22"/>
          <w:szCs w:val="22"/>
        </w:rPr>
        <w:t xml:space="preserve">for non-cultural workers with tertiary education. In period 2, cultural workers with tertiary education earned more than non-cultural workers with tertiary education (R32 700 compared to R29 600), but by Period 3, highly </w:t>
      </w:r>
      <w:r w:rsidR="00D5673A">
        <w:rPr>
          <w:sz w:val="22"/>
          <w:szCs w:val="22"/>
        </w:rPr>
        <w:t xml:space="preserve">educated </w:t>
      </w:r>
      <w:r>
        <w:rPr>
          <w:sz w:val="22"/>
          <w:szCs w:val="22"/>
        </w:rPr>
        <w:t>cultural workers were earning less than their counterparts in other jobs (R23 900 compared to R29 700). This is an indication that people in cultural occupations, even those with higher levels of education, were struggling already in Period 3 (2015–2018) before the COVID-19 pandemic of 2020.</w:t>
      </w:r>
    </w:p>
    <w:p w14:paraId="00000169" w14:textId="77777777" w:rsidR="0039297D" w:rsidRDefault="004273CA">
      <w:pPr>
        <w:spacing w:line="259" w:lineRule="auto"/>
        <w:jc w:val="left"/>
        <w:rPr>
          <w:i/>
          <w:color w:val="44546A"/>
          <w:sz w:val="18"/>
          <w:szCs w:val="18"/>
        </w:rPr>
      </w:pPr>
      <w:r>
        <w:br w:type="page"/>
      </w:r>
    </w:p>
    <w:p w14:paraId="0000016A" w14:textId="43A9E8D2" w:rsidR="0039297D" w:rsidRPr="000F15C3" w:rsidRDefault="004273CA">
      <w:pPr>
        <w:pBdr>
          <w:top w:val="nil"/>
          <w:left w:val="nil"/>
          <w:bottom w:val="nil"/>
          <w:right w:val="nil"/>
          <w:between w:val="nil"/>
        </w:pBdr>
        <w:spacing w:after="200"/>
        <w:rPr>
          <w:i/>
          <w:color w:val="44546A"/>
        </w:rPr>
      </w:pPr>
      <w:r w:rsidRPr="000F15C3">
        <w:rPr>
          <w:i/>
          <w:color w:val="44546A"/>
        </w:rPr>
        <w:lastRenderedPageBreak/>
        <w:t xml:space="preserve">Table </w:t>
      </w:r>
      <w:r w:rsidR="00E55B0B" w:rsidRPr="000F15C3">
        <w:rPr>
          <w:i/>
          <w:color w:val="44546A"/>
        </w:rPr>
        <w:t>5</w:t>
      </w:r>
      <w:r w:rsidR="003A76EC" w:rsidRPr="000F15C3">
        <w:rPr>
          <w:i/>
          <w:color w:val="44546A"/>
        </w:rPr>
        <w:t xml:space="preserve">: </w:t>
      </w:r>
      <w:r w:rsidR="00E55B0B" w:rsidRPr="000F15C3">
        <w:rPr>
          <w:i/>
          <w:color w:val="44546A"/>
        </w:rPr>
        <w:t>Monthly</w:t>
      </w:r>
      <w:r w:rsidRPr="000F15C3">
        <w:rPr>
          <w:i/>
          <w:color w:val="44546A"/>
        </w:rPr>
        <w:t xml:space="preserve"> earnings, gender, and education</w:t>
      </w:r>
    </w:p>
    <w:tbl>
      <w:tblPr>
        <w:tblStyle w:val="TableGrid1"/>
        <w:tblW w:w="9072" w:type="dxa"/>
        <w:jc w:val="center"/>
        <w:tblLayout w:type="fixed"/>
        <w:tblLook w:val="0400" w:firstRow="0" w:lastRow="0" w:firstColumn="0" w:lastColumn="0" w:noHBand="0" w:noVBand="1"/>
      </w:tblPr>
      <w:tblGrid>
        <w:gridCol w:w="3989"/>
        <w:gridCol w:w="1270"/>
        <w:gridCol w:w="1271"/>
        <w:gridCol w:w="1271"/>
        <w:gridCol w:w="1271"/>
      </w:tblGrid>
      <w:tr w:rsidR="0039297D" w14:paraId="74E7DF8A" w14:textId="77777777" w:rsidTr="000F15C3">
        <w:trPr>
          <w:trHeight w:val="20"/>
          <w:jc w:val="center"/>
        </w:trPr>
        <w:tc>
          <w:tcPr>
            <w:tcW w:w="3989" w:type="dxa"/>
          </w:tcPr>
          <w:p w14:paraId="0000016B" w14:textId="77777777" w:rsidR="0039297D" w:rsidRDefault="0039297D" w:rsidP="000F15C3">
            <w:pPr>
              <w:spacing w:before="60" w:after="60"/>
              <w:rPr>
                <w:rFonts w:ascii="Calibri" w:eastAsia="Calibri" w:hAnsi="Calibri" w:cs="Calibri"/>
                <w:b/>
              </w:rPr>
            </w:pPr>
            <w:bookmarkStart w:id="59" w:name="_heading=h.2grqrue" w:colFirst="0" w:colLast="0"/>
            <w:bookmarkEnd w:id="59"/>
          </w:p>
        </w:tc>
        <w:tc>
          <w:tcPr>
            <w:tcW w:w="1270" w:type="dxa"/>
          </w:tcPr>
          <w:p w14:paraId="0000016D" w14:textId="39179DDD" w:rsidR="0039297D" w:rsidRDefault="004273CA" w:rsidP="000F15C3">
            <w:pPr>
              <w:spacing w:before="60" w:after="60"/>
              <w:jc w:val="center"/>
              <w:rPr>
                <w:rFonts w:ascii="Calibri" w:eastAsia="Calibri" w:hAnsi="Calibri" w:cs="Calibri"/>
                <w:b/>
              </w:rPr>
            </w:pPr>
            <w:r>
              <w:rPr>
                <w:rFonts w:ascii="Calibri" w:eastAsia="Calibri" w:hAnsi="Calibri" w:cs="Calibri"/>
                <w:b/>
              </w:rPr>
              <w:t>Period 1:</w:t>
            </w:r>
            <w:r w:rsidR="00FD1E26">
              <w:rPr>
                <w:rFonts w:ascii="Calibri" w:eastAsia="Calibri" w:hAnsi="Calibri" w:cs="Calibri"/>
                <w:b/>
              </w:rPr>
              <w:br/>
            </w:r>
            <w:r>
              <w:rPr>
                <w:rFonts w:ascii="Calibri" w:eastAsia="Calibri" w:hAnsi="Calibri" w:cs="Calibri"/>
                <w:b/>
              </w:rPr>
              <w:t>2005</w:t>
            </w:r>
            <w:r w:rsidR="00077809">
              <w:rPr>
                <w:rFonts w:ascii="Calibri" w:eastAsia="Calibri" w:hAnsi="Calibri" w:cs="Calibri"/>
                <w:b/>
              </w:rPr>
              <w:t>–20</w:t>
            </w:r>
            <w:r>
              <w:rPr>
                <w:rFonts w:ascii="Calibri" w:eastAsia="Calibri" w:hAnsi="Calibri" w:cs="Calibri"/>
                <w:b/>
              </w:rPr>
              <w:t>09</w:t>
            </w:r>
          </w:p>
        </w:tc>
        <w:tc>
          <w:tcPr>
            <w:tcW w:w="1271" w:type="dxa"/>
          </w:tcPr>
          <w:p w14:paraId="0000016F" w14:textId="344FAB8E" w:rsidR="0039297D" w:rsidRDefault="004273CA" w:rsidP="000F15C3">
            <w:pPr>
              <w:spacing w:before="60" w:after="60"/>
              <w:jc w:val="center"/>
              <w:rPr>
                <w:rFonts w:ascii="Times New Roman" w:eastAsia="Times New Roman" w:hAnsi="Times New Roman" w:cs="Times New Roman"/>
                <w:b/>
              </w:rPr>
            </w:pPr>
            <w:r>
              <w:rPr>
                <w:rFonts w:ascii="Calibri" w:eastAsia="Calibri" w:hAnsi="Calibri" w:cs="Calibri"/>
                <w:b/>
              </w:rPr>
              <w:t>Period 2:</w:t>
            </w:r>
            <w:r w:rsidR="00FD1E26">
              <w:rPr>
                <w:rFonts w:ascii="Calibri" w:eastAsia="Calibri" w:hAnsi="Calibri" w:cs="Calibri"/>
                <w:b/>
              </w:rPr>
              <w:br/>
            </w:r>
            <w:r>
              <w:rPr>
                <w:rFonts w:ascii="Calibri" w:eastAsia="Calibri" w:hAnsi="Calibri" w:cs="Calibri"/>
                <w:b/>
              </w:rPr>
              <w:t>2010</w:t>
            </w:r>
            <w:r w:rsidR="00077809">
              <w:rPr>
                <w:rFonts w:ascii="Calibri" w:eastAsia="Calibri" w:hAnsi="Calibri" w:cs="Calibri"/>
                <w:b/>
              </w:rPr>
              <w:t>–20</w:t>
            </w:r>
            <w:r>
              <w:rPr>
                <w:rFonts w:ascii="Calibri" w:eastAsia="Calibri" w:hAnsi="Calibri" w:cs="Calibri"/>
                <w:b/>
              </w:rPr>
              <w:t>14</w:t>
            </w:r>
          </w:p>
        </w:tc>
        <w:tc>
          <w:tcPr>
            <w:tcW w:w="1271" w:type="dxa"/>
          </w:tcPr>
          <w:p w14:paraId="00000171" w14:textId="7EB9F856" w:rsidR="0039297D" w:rsidRDefault="004273CA" w:rsidP="000F15C3">
            <w:pPr>
              <w:spacing w:before="60" w:after="60"/>
              <w:jc w:val="center"/>
              <w:rPr>
                <w:rFonts w:ascii="Times New Roman" w:eastAsia="Times New Roman" w:hAnsi="Times New Roman" w:cs="Times New Roman"/>
                <w:b/>
              </w:rPr>
            </w:pPr>
            <w:r>
              <w:rPr>
                <w:rFonts w:ascii="Calibri" w:eastAsia="Calibri" w:hAnsi="Calibri" w:cs="Calibri"/>
                <w:b/>
              </w:rPr>
              <w:t>Period 3:</w:t>
            </w:r>
            <w:r w:rsidR="00FD1E26">
              <w:rPr>
                <w:rFonts w:ascii="Calibri" w:eastAsia="Calibri" w:hAnsi="Calibri" w:cs="Calibri"/>
                <w:b/>
              </w:rPr>
              <w:br/>
            </w:r>
            <w:r>
              <w:rPr>
                <w:rFonts w:ascii="Calibri" w:eastAsia="Calibri" w:hAnsi="Calibri" w:cs="Calibri"/>
                <w:b/>
              </w:rPr>
              <w:t>2015</w:t>
            </w:r>
            <w:r w:rsidR="00077809">
              <w:rPr>
                <w:rFonts w:ascii="Calibri" w:eastAsia="Calibri" w:hAnsi="Calibri" w:cs="Calibri"/>
                <w:b/>
              </w:rPr>
              <w:t>–20</w:t>
            </w:r>
            <w:r>
              <w:rPr>
                <w:rFonts w:ascii="Calibri" w:eastAsia="Calibri" w:hAnsi="Calibri" w:cs="Calibri"/>
                <w:b/>
              </w:rPr>
              <w:t>18</w:t>
            </w:r>
          </w:p>
        </w:tc>
        <w:tc>
          <w:tcPr>
            <w:tcW w:w="1271" w:type="dxa"/>
          </w:tcPr>
          <w:p w14:paraId="00000172" w14:textId="4D1F514A" w:rsidR="0039297D" w:rsidRDefault="004273CA" w:rsidP="000F15C3">
            <w:pPr>
              <w:spacing w:before="60" w:after="60"/>
              <w:jc w:val="center"/>
              <w:rPr>
                <w:rFonts w:ascii="Calibri" w:eastAsia="Calibri" w:hAnsi="Calibri" w:cs="Calibri"/>
                <w:b/>
              </w:rPr>
            </w:pPr>
            <w:r>
              <w:rPr>
                <w:rFonts w:ascii="Calibri" w:eastAsia="Calibri" w:hAnsi="Calibri" w:cs="Calibri"/>
                <w:b/>
              </w:rPr>
              <w:t xml:space="preserve">Percentage change </w:t>
            </w:r>
            <w:r w:rsidR="00FD1E26">
              <w:rPr>
                <w:rFonts w:ascii="Calibri" w:eastAsia="Calibri" w:hAnsi="Calibri" w:cs="Calibri"/>
                <w:b/>
              </w:rPr>
              <w:br/>
            </w:r>
            <w:r>
              <w:rPr>
                <w:rFonts w:ascii="Calibri" w:eastAsia="Calibri" w:hAnsi="Calibri" w:cs="Calibri"/>
                <w:b/>
              </w:rPr>
              <w:t>P1 to P3</w:t>
            </w:r>
          </w:p>
        </w:tc>
      </w:tr>
      <w:tr w:rsidR="0039297D" w14:paraId="7E77A651" w14:textId="77777777" w:rsidTr="000F15C3">
        <w:trPr>
          <w:trHeight w:val="20"/>
          <w:jc w:val="center"/>
        </w:trPr>
        <w:tc>
          <w:tcPr>
            <w:tcW w:w="3989" w:type="dxa"/>
          </w:tcPr>
          <w:p w14:paraId="00000173"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w:t>
            </w:r>
            <w:r>
              <w:rPr>
                <w:rFonts w:ascii="Calibri" w:eastAsia="Calibri" w:hAnsi="Calibri" w:cs="Calibri"/>
                <w:b/>
              </w:rPr>
              <w:t>cultural</w:t>
            </w:r>
            <w:r>
              <w:rPr>
                <w:rFonts w:ascii="Calibri" w:eastAsia="Calibri" w:hAnsi="Calibri" w:cs="Calibri"/>
              </w:rPr>
              <w:t xml:space="preserve"> occupations</w:t>
            </w:r>
          </w:p>
        </w:tc>
        <w:tc>
          <w:tcPr>
            <w:tcW w:w="1270" w:type="dxa"/>
            <w:tcMar>
              <w:right w:w="284" w:type="dxa"/>
            </w:tcMar>
          </w:tcPr>
          <w:p w14:paraId="00000174" w14:textId="77777777" w:rsidR="0039297D" w:rsidRDefault="004273CA" w:rsidP="000F15C3">
            <w:pPr>
              <w:spacing w:before="60" w:after="60"/>
              <w:jc w:val="right"/>
              <w:rPr>
                <w:rFonts w:ascii="Calibri" w:eastAsia="Calibri" w:hAnsi="Calibri" w:cs="Calibri"/>
              </w:rPr>
            </w:pPr>
            <w:r>
              <w:rPr>
                <w:rFonts w:ascii="Calibri" w:eastAsia="Calibri" w:hAnsi="Calibri" w:cs="Calibri"/>
              </w:rPr>
              <w:t>R6 493</w:t>
            </w:r>
          </w:p>
        </w:tc>
        <w:tc>
          <w:tcPr>
            <w:tcW w:w="1271" w:type="dxa"/>
            <w:tcMar>
              <w:right w:w="284" w:type="dxa"/>
            </w:tcMar>
          </w:tcPr>
          <w:p w14:paraId="00000175" w14:textId="77777777" w:rsidR="0039297D" w:rsidRDefault="004273CA" w:rsidP="000F15C3">
            <w:pPr>
              <w:spacing w:before="60" w:after="60"/>
              <w:jc w:val="right"/>
              <w:rPr>
                <w:rFonts w:ascii="Calibri" w:eastAsia="Calibri" w:hAnsi="Calibri" w:cs="Calibri"/>
              </w:rPr>
            </w:pPr>
            <w:r>
              <w:rPr>
                <w:rFonts w:ascii="Calibri" w:eastAsia="Calibri" w:hAnsi="Calibri" w:cs="Calibri"/>
              </w:rPr>
              <w:t>R12 307</w:t>
            </w:r>
          </w:p>
        </w:tc>
        <w:tc>
          <w:tcPr>
            <w:tcW w:w="1271" w:type="dxa"/>
            <w:tcMar>
              <w:right w:w="284" w:type="dxa"/>
            </w:tcMar>
          </w:tcPr>
          <w:p w14:paraId="00000176" w14:textId="77777777" w:rsidR="0039297D" w:rsidRDefault="004273CA" w:rsidP="000F15C3">
            <w:pPr>
              <w:spacing w:before="60" w:after="60"/>
              <w:jc w:val="right"/>
              <w:rPr>
                <w:rFonts w:ascii="Calibri" w:eastAsia="Calibri" w:hAnsi="Calibri" w:cs="Calibri"/>
              </w:rPr>
            </w:pPr>
            <w:r>
              <w:rPr>
                <w:rFonts w:ascii="Calibri" w:eastAsia="Calibri" w:hAnsi="Calibri" w:cs="Calibri"/>
              </w:rPr>
              <w:t>R11 132</w:t>
            </w:r>
          </w:p>
        </w:tc>
        <w:tc>
          <w:tcPr>
            <w:tcW w:w="1271" w:type="dxa"/>
            <w:tcMar>
              <w:right w:w="340" w:type="dxa"/>
            </w:tcMar>
          </w:tcPr>
          <w:p w14:paraId="00000177" w14:textId="77777777" w:rsidR="0039297D" w:rsidRDefault="004273CA" w:rsidP="000F15C3">
            <w:pPr>
              <w:spacing w:before="60" w:after="60"/>
              <w:jc w:val="right"/>
              <w:rPr>
                <w:rFonts w:ascii="Calibri" w:eastAsia="Calibri" w:hAnsi="Calibri" w:cs="Calibri"/>
              </w:rPr>
            </w:pPr>
            <w:r>
              <w:rPr>
                <w:rFonts w:ascii="Calibri" w:eastAsia="Calibri" w:hAnsi="Calibri" w:cs="Calibri"/>
              </w:rPr>
              <w:t>71.4%</w:t>
            </w:r>
          </w:p>
        </w:tc>
      </w:tr>
      <w:tr w:rsidR="0039297D" w14:paraId="4F3474ED" w14:textId="77777777" w:rsidTr="000F15C3">
        <w:trPr>
          <w:trHeight w:val="20"/>
          <w:jc w:val="center"/>
        </w:trPr>
        <w:tc>
          <w:tcPr>
            <w:tcW w:w="3989" w:type="dxa"/>
          </w:tcPr>
          <w:p w14:paraId="00000178"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w:t>
            </w:r>
            <w:r>
              <w:rPr>
                <w:rFonts w:ascii="Calibri" w:eastAsia="Calibri" w:hAnsi="Calibri" w:cs="Calibri"/>
                <w:b/>
              </w:rPr>
              <w:t>non-cultural</w:t>
            </w:r>
            <w:r>
              <w:rPr>
                <w:rFonts w:ascii="Calibri" w:eastAsia="Calibri" w:hAnsi="Calibri" w:cs="Calibri"/>
              </w:rPr>
              <w:t xml:space="preserve"> occupations</w:t>
            </w:r>
          </w:p>
        </w:tc>
        <w:tc>
          <w:tcPr>
            <w:tcW w:w="1270" w:type="dxa"/>
            <w:tcMar>
              <w:right w:w="284" w:type="dxa"/>
            </w:tcMar>
          </w:tcPr>
          <w:p w14:paraId="00000179" w14:textId="77777777" w:rsidR="0039297D" w:rsidRDefault="004273CA" w:rsidP="000F15C3">
            <w:pPr>
              <w:spacing w:before="60" w:after="60"/>
              <w:jc w:val="right"/>
              <w:rPr>
                <w:rFonts w:ascii="Calibri" w:eastAsia="Calibri" w:hAnsi="Calibri" w:cs="Calibri"/>
              </w:rPr>
            </w:pPr>
            <w:r>
              <w:rPr>
                <w:rFonts w:ascii="Calibri" w:eastAsia="Calibri" w:hAnsi="Calibri" w:cs="Calibri"/>
              </w:rPr>
              <w:t>R7 819</w:t>
            </w:r>
          </w:p>
        </w:tc>
        <w:tc>
          <w:tcPr>
            <w:tcW w:w="1271" w:type="dxa"/>
            <w:tcMar>
              <w:right w:w="284" w:type="dxa"/>
            </w:tcMar>
          </w:tcPr>
          <w:p w14:paraId="0000017A" w14:textId="77777777" w:rsidR="0039297D" w:rsidRDefault="004273CA" w:rsidP="000F15C3">
            <w:pPr>
              <w:spacing w:before="60" w:after="60"/>
              <w:jc w:val="right"/>
              <w:rPr>
                <w:rFonts w:ascii="Calibri" w:eastAsia="Calibri" w:hAnsi="Calibri" w:cs="Calibri"/>
              </w:rPr>
            </w:pPr>
            <w:r>
              <w:rPr>
                <w:rFonts w:ascii="Calibri" w:eastAsia="Calibri" w:hAnsi="Calibri" w:cs="Calibri"/>
              </w:rPr>
              <w:t>R9 684</w:t>
            </w:r>
          </w:p>
        </w:tc>
        <w:tc>
          <w:tcPr>
            <w:tcW w:w="1271" w:type="dxa"/>
            <w:tcMar>
              <w:right w:w="284" w:type="dxa"/>
            </w:tcMar>
          </w:tcPr>
          <w:p w14:paraId="0000017B" w14:textId="77777777" w:rsidR="0039297D" w:rsidRDefault="004273CA" w:rsidP="000F15C3">
            <w:pPr>
              <w:spacing w:before="60" w:after="60"/>
              <w:jc w:val="right"/>
              <w:rPr>
                <w:rFonts w:ascii="Calibri" w:eastAsia="Calibri" w:hAnsi="Calibri" w:cs="Calibri"/>
              </w:rPr>
            </w:pPr>
            <w:r>
              <w:rPr>
                <w:rFonts w:ascii="Calibri" w:eastAsia="Calibri" w:hAnsi="Calibri" w:cs="Calibri"/>
              </w:rPr>
              <w:t>R9 755</w:t>
            </w:r>
          </w:p>
        </w:tc>
        <w:tc>
          <w:tcPr>
            <w:tcW w:w="1271" w:type="dxa"/>
            <w:tcMar>
              <w:right w:w="340" w:type="dxa"/>
            </w:tcMar>
          </w:tcPr>
          <w:p w14:paraId="0000017C" w14:textId="77777777" w:rsidR="0039297D" w:rsidRDefault="004273CA" w:rsidP="000F15C3">
            <w:pPr>
              <w:spacing w:before="60" w:after="60"/>
              <w:jc w:val="right"/>
              <w:rPr>
                <w:rFonts w:ascii="Calibri" w:eastAsia="Calibri" w:hAnsi="Calibri" w:cs="Calibri"/>
              </w:rPr>
            </w:pPr>
            <w:r>
              <w:rPr>
                <w:rFonts w:ascii="Calibri" w:eastAsia="Calibri" w:hAnsi="Calibri" w:cs="Calibri"/>
              </w:rPr>
              <w:t>24.8%</w:t>
            </w:r>
          </w:p>
        </w:tc>
      </w:tr>
      <w:tr w:rsidR="0039297D" w14:paraId="2A76798C" w14:textId="77777777" w:rsidTr="000F15C3">
        <w:trPr>
          <w:trHeight w:val="20"/>
          <w:jc w:val="center"/>
        </w:trPr>
        <w:tc>
          <w:tcPr>
            <w:tcW w:w="3989" w:type="dxa"/>
          </w:tcPr>
          <w:p w14:paraId="0000017D"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w:t>
            </w:r>
            <w:r>
              <w:rPr>
                <w:rFonts w:ascii="Calibri" w:eastAsia="Calibri" w:hAnsi="Calibri" w:cs="Calibri"/>
                <w:b/>
              </w:rPr>
              <w:t>cultural</w:t>
            </w:r>
            <w:r>
              <w:rPr>
                <w:rFonts w:ascii="Calibri" w:eastAsia="Calibri" w:hAnsi="Calibri" w:cs="Calibri"/>
              </w:rPr>
              <w:t xml:space="preserve"> occupations for those with 15+ years of education</w:t>
            </w:r>
          </w:p>
        </w:tc>
        <w:tc>
          <w:tcPr>
            <w:tcW w:w="1270" w:type="dxa"/>
            <w:tcMar>
              <w:right w:w="284" w:type="dxa"/>
            </w:tcMar>
          </w:tcPr>
          <w:p w14:paraId="0000017E" w14:textId="77777777" w:rsidR="0039297D" w:rsidRDefault="004273CA" w:rsidP="000F15C3">
            <w:pPr>
              <w:spacing w:before="60" w:after="60"/>
              <w:jc w:val="right"/>
              <w:rPr>
                <w:rFonts w:ascii="Calibri" w:eastAsia="Calibri" w:hAnsi="Calibri" w:cs="Calibri"/>
              </w:rPr>
            </w:pPr>
            <w:r>
              <w:rPr>
                <w:rFonts w:ascii="Calibri" w:eastAsia="Calibri" w:hAnsi="Calibri" w:cs="Calibri"/>
              </w:rPr>
              <w:t>R25 339</w:t>
            </w:r>
          </w:p>
        </w:tc>
        <w:tc>
          <w:tcPr>
            <w:tcW w:w="1271" w:type="dxa"/>
            <w:tcMar>
              <w:right w:w="284" w:type="dxa"/>
            </w:tcMar>
          </w:tcPr>
          <w:p w14:paraId="0000017F" w14:textId="77777777" w:rsidR="0039297D" w:rsidRDefault="004273CA" w:rsidP="000F15C3">
            <w:pPr>
              <w:spacing w:before="60" w:after="60"/>
              <w:jc w:val="right"/>
              <w:rPr>
                <w:rFonts w:ascii="Calibri" w:eastAsia="Calibri" w:hAnsi="Calibri" w:cs="Calibri"/>
              </w:rPr>
            </w:pPr>
            <w:r>
              <w:rPr>
                <w:rFonts w:ascii="Calibri" w:eastAsia="Calibri" w:hAnsi="Calibri" w:cs="Calibri"/>
              </w:rPr>
              <w:t>R32 683</w:t>
            </w:r>
          </w:p>
        </w:tc>
        <w:tc>
          <w:tcPr>
            <w:tcW w:w="1271" w:type="dxa"/>
            <w:tcMar>
              <w:right w:w="284" w:type="dxa"/>
            </w:tcMar>
          </w:tcPr>
          <w:p w14:paraId="00000180" w14:textId="77777777" w:rsidR="0039297D" w:rsidRDefault="004273CA" w:rsidP="000F15C3">
            <w:pPr>
              <w:spacing w:before="60" w:after="60"/>
              <w:jc w:val="right"/>
              <w:rPr>
                <w:rFonts w:ascii="Calibri" w:eastAsia="Calibri" w:hAnsi="Calibri" w:cs="Calibri"/>
              </w:rPr>
            </w:pPr>
            <w:r>
              <w:rPr>
                <w:rFonts w:ascii="Calibri" w:eastAsia="Calibri" w:hAnsi="Calibri" w:cs="Calibri"/>
              </w:rPr>
              <w:t>R23 877</w:t>
            </w:r>
          </w:p>
        </w:tc>
        <w:tc>
          <w:tcPr>
            <w:tcW w:w="1271" w:type="dxa"/>
            <w:tcMar>
              <w:right w:w="340" w:type="dxa"/>
            </w:tcMar>
          </w:tcPr>
          <w:p w14:paraId="00000181" w14:textId="77777777" w:rsidR="0039297D" w:rsidRDefault="004273CA" w:rsidP="000F15C3">
            <w:pPr>
              <w:spacing w:before="60" w:after="60"/>
              <w:jc w:val="right"/>
              <w:rPr>
                <w:rFonts w:ascii="Calibri" w:eastAsia="Calibri" w:hAnsi="Calibri" w:cs="Calibri"/>
              </w:rPr>
            </w:pPr>
            <w:r>
              <w:rPr>
                <w:rFonts w:ascii="Calibri" w:eastAsia="Calibri" w:hAnsi="Calibri" w:cs="Calibri"/>
              </w:rPr>
              <w:t>-5.8%</w:t>
            </w:r>
          </w:p>
        </w:tc>
      </w:tr>
      <w:tr w:rsidR="0039297D" w14:paraId="1E21B459" w14:textId="77777777" w:rsidTr="000F15C3">
        <w:trPr>
          <w:trHeight w:val="20"/>
          <w:jc w:val="center"/>
        </w:trPr>
        <w:tc>
          <w:tcPr>
            <w:tcW w:w="3989" w:type="dxa"/>
          </w:tcPr>
          <w:p w14:paraId="00000182"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w:t>
            </w:r>
            <w:r>
              <w:rPr>
                <w:rFonts w:ascii="Calibri" w:eastAsia="Calibri" w:hAnsi="Calibri" w:cs="Calibri"/>
                <w:b/>
              </w:rPr>
              <w:t>non-cultural</w:t>
            </w:r>
            <w:r>
              <w:rPr>
                <w:rFonts w:ascii="Calibri" w:eastAsia="Calibri" w:hAnsi="Calibri" w:cs="Calibri"/>
              </w:rPr>
              <w:t xml:space="preserve"> occupations for those with 15+ years of education</w:t>
            </w:r>
          </w:p>
        </w:tc>
        <w:tc>
          <w:tcPr>
            <w:tcW w:w="1270" w:type="dxa"/>
            <w:tcMar>
              <w:right w:w="284" w:type="dxa"/>
            </w:tcMar>
          </w:tcPr>
          <w:p w14:paraId="00000183" w14:textId="77777777" w:rsidR="0039297D" w:rsidRDefault="004273CA" w:rsidP="000F15C3">
            <w:pPr>
              <w:spacing w:before="60" w:after="60"/>
              <w:jc w:val="right"/>
              <w:rPr>
                <w:rFonts w:ascii="Calibri" w:eastAsia="Calibri" w:hAnsi="Calibri" w:cs="Calibri"/>
              </w:rPr>
            </w:pPr>
            <w:r>
              <w:rPr>
                <w:rFonts w:ascii="Calibri" w:eastAsia="Calibri" w:hAnsi="Calibri" w:cs="Calibri"/>
              </w:rPr>
              <w:t>R27 471</w:t>
            </w:r>
          </w:p>
        </w:tc>
        <w:tc>
          <w:tcPr>
            <w:tcW w:w="1271" w:type="dxa"/>
            <w:tcMar>
              <w:right w:w="284" w:type="dxa"/>
            </w:tcMar>
          </w:tcPr>
          <w:p w14:paraId="00000184" w14:textId="77777777" w:rsidR="0039297D" w:rsidRDefault="004273CA" w:rsidP="000F15C3">
            <w:pPr>
              <w:spacing w:before="60" w:after="60"/>
              <w:jc w:val="right"/>
              <w:rPr>
                <w:rFonts w:ascii="Calibri" w:eastAsia="Calibri" w:hAnsi="Calibri" w:cs="Calibri"/>
              </w:rPr>
            </w:pPr>
            <w:r>
              <w:rPr>
                <w:rFonts w:ascii="Calibri" w:eastAsia="Calibri" w:hAnsi="Calibri" w:cs="Calibri"/>
              </w:rPr>
              <w:t>R29 567</w:t>
            </w:r>
          </w:p>
        </w:tc>
        <w:tc>
          <w:tcPr>
            <w:tcW w:w="1271" w:type="dxa"/>
            <w:tcMar>
              <w:right w:w="284" w:type="dxa"/>
            </w:tcMar>
          </w:tcPr>
          <w:p w14:paraId="00000185" w14:textId="77777777" w:rsidR="0039297D" w:rsidRDefault="004273CA" w:rsidP="000F15C3">
            <w:pPr>
              <w:spacing w:before="60" w:after="60"/>
              <w:jc w:val="right"/>
              <w:rPr>
                <w:rFonts w:ascii="Calibri" w:eastAsia="Calibri" w:hAnsi="Calibri" w:cs="Calibri"/>
              </w:rPr>
            </w:pPr>
            <w:r>
              <w:rPr>
                <w:rFonts w:ascii="Calibri" w:eastAsia="Calibri" w:hAnsi="Calibri" w:cs="Calibri"/>
              </w:rPr>
              <w:t>R29 716</w:t>
            </w:r>
          </w:p>
        </w:tc>
        <w:tc>
          <w:tcPr>
            <w:tcW w:w="1271" w:type="dxa"/>
            <w:tcMar>
              <w:right w:w="340" w:type="dxa"/>
            </w:tcMar>
          </w:tcPr>
          <w:p w14:paraId="00000186" w14:textId="77777777" w:rsidR="0039297D" w:rsidRDefault="004273CA" w:rsidP="000F15C3">
            <w:pPr>
              <w:spacing w:before="60" w:after="60"/>
              <w:jc w:val="right"/>
              <w:rPr>
                <w:rFonts w:ascii="Calibri" w:eastAsia="Calibri" w:hAnsi="Calibri" w:cs="Calibri"/>
              </w:rPr>
            </w:pPr>
            <w:r>
              <w:rPr>
                <w:rFonts w:ascii="Calibri" w:eastAsia="Calibri" w:hAnsi="Calibri" w:cs="Calibri"/>
              </w:rPr>
              <w:t>8.2%</w:t>
            </w:r>
          </w:p>
        </w:tc>
      </w:tr>
      <w:tr w:rsidR="0039297D" w14:paraId="0E106E8F" w14:textId="77777777" w:rsidTr="000F15C3">
        <w:trPr>
          <w:trHeight w:val="20"/>
          <w:jc w:val="center"/>
        </w:trPr>
        <w:tc>
          <w:tcPr>
            <w:tcW w:w="3989" w:type="dxa"/>
          </w:tcPr>
          <w:p w14:paraId="00000187" w14:textId="3F79020A" w:rsidR="0039297D" w:rsidRDefault="004273CA" w:rsidP="000F15C3">
            <w:pPr>
              <w:spacing w:before="60" w:after="60"/>
              <w:jc w:val="left"/>
              <w:rPr>
                <w:rFonts w:ascii="Calibri" w:eastAsia="Calibri" w:hAnsi="Calibri" w:cs="Calibri"/>
              </w:rPr>
            </w:pPr>
            <w:r>
              <w:rPr>
                <w:rFonts w:ascii="Calibri" w:eastAsia="Calibri" w:hAnsi="Calibri" w:cs="Calibri"/>
              </w:rPr>
              <w:t xml:space="preserve">Difference between cultural and </w:t>
            </w:r>
            <w:r>
              <w:rPr>
                <w:rFonts w:ascii="Calibri" w:eastAsia="Calibri" w:hAnsi="Calibri" w:cs="Calibri"/>
                <w:b/>
              </w:rPr>
              <w:t>non-cultural</w:t>
            </w:r>
            <w:r>
              <w:rPr>
                <w:rFonts w:ascii="Calibri" w:eastAsia="Calibri" w:hAnsi="Calibri" w:cs="Calibri"/>
              </w:rPr>
              <w:t xml:space="preserve"> earnings for those with 15+ years of education</w:t>
            </w:r>
          </w:p>
        </w:tc>
        <w:tc>
          <w:tcPr>
            <w:tcW w:w="1270" w:type="dxa"/>
            <w:tcMar>
              <w:right w:w="284" w:type="dxa"/>
            </w:tcMar>
          </w:tcPr>
          <w:p w14:paraId="00000188" w14:textId="77777777" w:rsidR="0039297D" w:rsidRDefault="004273CA" w:rsidP="000F15C3">
            <w:pPr>
              <w:spacing w:before="60" w:after="60"/>
              <w:jc w:val="right"/>
              <w:rPr>
                <w:rFonts w:ascii="Calibri" w:eastAsia="Calibri" w:hAnsi="Calibri" w:cs="Calibri"/>
              </w:rPr>
            </w:pPr>
            <w:r>
              <w:rPr>
                <w:rFonts w:ascii="Calibri" w:eastAsia="Calibri" w:hAnsi="Calibri" w:cs="Calibri"/>
              </w:rPr>
              <w:t>R2 132</w:t>
            </w:r>
          </w:p>
        </w:tc>
        <w:tc>
          <w:tcPr>
            <w:tcW w:w="1271" w:type="dxa"/>
            <w:tcMar>
              <w:right w:w="284" w:type="dxa"/>
            </w:tcMar>
          </w:tcPr>
          <w:p w14:paraId="00000189" w14:textId="77777777" w:rsidR="0039297D" w:rsidRDefault="004273CA" w:rsidP="000F15C3">
            <w:pPr>
              <w:spacing w:before="60" w:after="60"/>
              <w:jc w:val="right"/>
              <w:rPr>
                <w:rFonts w:ascii="Calibri" w:eastAsia="Calibri" w:hAnsi="Calibri" w:cs="Calibri"/>
              </w:rPr>
            </w:pPr>
            <w:r>
              <w:rPr>
                <w:rFonts w:ascii="Calibri" w:eastAsia="Calibri" w:hAnsi="Calibri" w:cs="Calibri"/>
              </w:rPr>
              <w:t>-R3 116</w:t>
            </w:r>
          </w:p>
        </w:tc>
        <w:tc>
          <w:tcPr>
            <w:tcW w:w="1271" w:type="dxa"/>
            <w:tcMar>
              <w:right w:w="284" w:type="dxa"/>
            </w:tcMar>
          </w:tcPr>
          <w:p w14:paraId="0000018A" w14:textId="77777777" w:rsidR="0039297D" w:rsidRDefault="004273CA" w:rsidP="000F15C3">
            <w:pPr>
              <w:spacing w:before="60" w:after="60"/>
              <w:jc w:val="right"/>
              <w:rPr>
                <w:rFonts w:ascii="Calibri" w:eastAsia="Calibri" w:hAnsi="Calibri" w:cs="Calibri"/>
              </w:rPr>
            </w:pPr>
            <w:r>
              <w:rPr>
                <w:rFonts w:ascii="Calibri" w:eastAsia="Calibri" w:hAnsi="Calibri" w:cs="Calibri"/>
              </w:rPr>
              <w:t>R5 839</w:t>
            </w:r>
          </w:p>
        </w:tc>
        <w:tc>
          <w:tcPr>
            <w:tcW w:w="1271" w:type="dxa"/>
            <w:tcMar>
              <w:right w:w="340" w:type="dxa"/>
            </w:tcMar>
          </w:tcPr>
          <w:p w14:paraId="0000018B" w14:textId="77777777" w:rsidR="0039297D" w:rsidRDefault="004273CA" w:rsidP="000F15C3">
            <w:pPr>
              <w:spacing w:before="60" w:after="60"/>
              <w:jc w:val="right"/>
              <w:rPr>
                <w:rFonts w:ascii="Calibri" w:eastAsia="Calibri" w:hAnsi="Calibri" w:cs="Calibri"/>
              </w:rPr>
            </w:pPr>
            <w:r>
              <w:rPr>
                <w:rFonts w:ascii="Calibri" w:eastAsia="Calibri" w:hAnsi="Calibri" w:cs="Calibri"/>
              </w:rPr>
              <w:t>173.8%</w:t>
            </w:r>
          </w:p>
        </w:tc>
      </w:tr>
      <w:tr w:rsidR="0039297D" w14:paraId="276E2E94" w14:textId="77777777" w:rsidTr="000F15C3">
        <w:trPr>
          <w:trHeight w:val="20"/>
          <w:jc w:val="center"/>
        </w:trPr>
        <w:tc>
          <w:tcPr>
            <w:tcW w:w="3989" w:type="dxa"/>
          </w:tcPr>
          <w:p w14:paraId="0000018C"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WOMEN in </w:t>
            </w:r>
            <w:r>
              <w:rPr>
                <w:rFonts w:ascii="Calibri" w:eastAsia="Calibri" w:hAnsi="Calibri" w:cs="Calibri"/>
                <w:b/>
              </w:rPr>
              <w:t>cultural</w:t>
            </w:r>
            <w:r>
              <w:rPr>
                <w:rFonts w:ascii="Calibri" w:eastAsia="Calibri" w:hAnsi="Calibri" w:cs="Calibri"/>
              </w:rPr>
              <w:t xml:space="preserve"> occupations</w:t>
            </w:r>
          </w:p>
        </w:tc>
        <w:tc>
          <w:tcPr>
            <w:tcW w:w="1270" w:type="dxa"/>
            <w:tcMar>
              <w:right w:w="284" w:type="dxa"/>
            </w:tcMar>
          </w:tcPr>
          <w:p w14:paraId="0000018D" w14:textId="77777777" w:rsidR="0039297D" w:rsidRDefault="004273CA" w:rsidP="000F15C3">
            <w:pPr>
              <w:spacing w:before="60" w:after="60"/>
              <w:jc w:val="right"/>
              <w:rPr>
                <w:rFonts w:ascii="Calibri" w:eastAsia="Calibri" w:hAnsi="Calibri" w:cs="Calibri"/>
              </w:rPr>
            </w:pPr>
            <w:r>
              <w:rPr>
                <w:rFonts w:ascii="Calibri" w:eastAsia="Calibri" w:hAnsi="Calibri" w:cs="Calibri"/>
              </w:rPr>
              <w:t>R4 791</w:t>
            </w:r>
          </w:p>
        </w:tc>
        <w:tc>
          <w:tcPr>
            <w:tcW w:w="1271" w:type="dxa"/>
            <w:tcMar>
              <w:right w:w="284" w:type="dxa"/>
            </w:tcMar>
          </w:tcPr>
          <w:p w14:paraId="0000018E" w14:textId="77777777" w:rsidR="0039297D" w:rsidRDefault="004273CA" w:rsidP="000F15C3">
            <w:pPr>
              <w:spacing w:before="60" w:after="60"/>
              <w:jc w:val="right"/>
              <w:rPr>
                <w:rFonts w:ascii="Calibri" w:eastAsia="Calibri" w:hAnsi="Calibri" w:cs="Calibri"/>
              </w:rPr>
            </w:pPr>
            <w:r>
              <w:rPr>
                <w:rFonts w:ascii="Calibri" w:eastAsia="Calibri" w:hAnsi="Calibri" w:cs="Calibri"/>
              </w:rPr>
              <w:t>R9 736</w:t>
            </w:r>
          </w:p>
        </w:tc>
        <w:tc>
          <w:tcPr>
            <w:tcW w:w="1271" w:type="dxa"/>
            <w:tcMar>
              <w:right w:w="284" w:type="dxa"/>
            </w:tcMar>
          </w:tcPr>
          <w:p w14:paraId="0000018F" w14:textId="77777777" w:rsidR="0039297D" w:rsidRDefault="004273CA" w:rsidP="000F15C3">
            <w:pPr>
              <w:spacing w:before="60" w:after="60"/>
              <w:jc w:val="right"/>
              <w:rPr>
                <w:rFonts w:ascii="Calibri" w:eastAsia="Calibri" w:hAnsi="Calibri" w:cs="Calibri"/>
              </w:rPr>
            </w:pPr>
            <w:r>
              <w:rPr>
                <w:rFonts w:ascii="Calibri" w:eastAsia="Calibri" w:hAnsi="Calibri" w:cs="Calibri"/>
              </w:rPr>
              <w:t>R9 634</w:t>
            </w:r>
          </w:p>
        </w:tc>
        <w:tc>
          <w:tcPr>
            <w:tcW w:w="1271" w:type="dxa"/>
            <w:tcMar>
              <w:right w:w="340" w:type="dxa"/>
            </w:tcMar>
          </w:tcPr>
          <w:p w14:paraId="00000190" w14:textId="77777777" w:rsidR="0039297D" w:rsidRDefault="004273CA" w:rsidP="000F15C3">
            <w:pPr>
              <w:spacing w:before="60" w:after="60"/>
              <w:jc w:val="right"/>
              <w:rPr>
                <w:rFonts w:ascii="Calibri" w:eastAsia="Calibri" w:hAnsi="Calibri" w:cs="Calibri"/>
              </w:rPr>
            </w:pPr>
            <w:r>
              <w:rPr>
                <w:rFonts w:ascii="Calibri" w:eastAsia="Calibri" w:hAnsi="Calibri" w:cs="Calibri"/>
              </w:rPr>
              <w:t>101.1%</w:t>
            </w:r>
          </w:p>
        </w:tc>
      </w:tr>
      <w:tr w:rsidR="0039297D" w14:paraId="48FDBA4F" w14:textId="77777777" w:rsidTr="000F15C3">
        <w:trPr>
          <w:trHeight w:val="20"/>
          <w:jc w:val="center"/>
        </w:trPr>
        <w:tc>
          <w:tcPr>
            <w:tcW w:w="3989" w:type="dxa"/>
          </w:tcPr>
          <w:p w14:paraId="00000191"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Average Real mean monthly earnings (in 2015 prices) for MEN in </w:t>
            </w:r>
            <w:r>
              <w:rPr>
                <w:rFonts w:ascii="Calibri" w:eastAsia="Calibri" w:hAnsi="Calibri" w:cs="Calibri"/>
                <w:b/>
              </w:rPr>
              <w:t>cultural</w:t>
            </w:r>
            <w:r>
              <w:rPr>
                <w:rFonts w:ascii="Calibri" w:eastAsia="Calibri" w:hAnsi="Calibri" w:cs="Calibri"/>
              </w:rPr>
              <w:t xml:space="preserve"> occupations</w:t>
            </w:r>
          </w:p>
        </w:tc>
        <w:tc>
          <w:tcPr>
            <w:tcW w:w="1270" w:type="dxa"/>
            <w:tcMar>
              <w:right w:w="284" w:type="dxa"/>
            </w:tcMar>
          </w:tcPr>
          <w:p w14:paraId="00000192" w14:textId="77777777" w:rsidR="0039297D" w:rsidRDefault="004273CA" w:rsidP="000F15C3">
            <w:pPr>
              <w:spacing w:before="60" w:after="60"/>
              <w:jc w:val="right"/>
              <w:rPr>
                <w:rFonts w:ascii="Calibri" w:eastAsia="Calibri" w:hAnsi="Calibri" w:cs="Calibri"/>
              </w:rPr>
            </w:pPr>
            <w:r>
              <w:rPr>
                <w:rFonts w:ascii="Calibri" w:eastAsia="Calibri" w:hAnsi="Calibri" w:cs="Calibri"/>
              </w:rPr>
              <w:t>R8 723</w:t>
            </w:r>
          </w:p>
        </w:tc>
        <w:tc>
          <w:tcPr>
            <w:tcW w:w="1271" w:type="dxa"/>
            <w:tcMar>
              <w:right w:w="284" w:type="dxa"/>
            </w:tcMar>
          </w:tcPr>
          <w:p w14:paraId="00000193" w14:textId="77777777" w:rsidR="0039297D" w:rsidRDefault="004273CA" w:rsidP="000F15C3">
            <w:pPr>
              <w:spacing w:before="60" w:after="60"/>
              <w:jc w:val="right"/>
              <w:rPr>
                <w:rFonts w:ascii="Calibri" w:eastAsia="Calibri" w:hAnsi="Calibri" w:cs="Calibri"/>
              </w:rPr>
            </w:pPr>
            <w:r>
              <w:rPr>
                <w:rFonts w:ascii="Calibri" w:eastAsia="Calibri" w:hAnsi="Calibri" w:cs="Calibri"/>
              </w:rPr>
              <w:t>R14 420</w:t>
            </w:r>
          </w:p>
        </w:tc>
        <w:tc>
          <w:tcPr>
            <w:tcW w:w="1271" w:type="dxa"/>
            <w:tcMar>
              <w:right w:w="284" w:type="dxa"/>
            </w:tcMar>
          </w:tcPr>
          <w:p w14:paraId="00000194" w14:textId="77777777" w:rsidR="0039297D" w:rsidRDefault="004273CA" w:rsidP="000F15C3">
            <w:pPr>
              <w:spacing w:before="60" w:after="60"/>
              <w:jc w:val="right"/>
              <w:rPr>
                <w:rFonts w:ascii="Calibri" w:eastAsia="Calibri" w:hAnsi="Calibri" w:cs="Calibri"/>
              </w:rPr>
            </w:pPr>
            <w:r>
              <w:rPr>
                <w:rFonts w:ascii="Calibri" w:eastAsia="Calibri" w:hAnsi="Calibri" w:cs="Calibri"/>
              </w:rPr>
              <w:t>R12 229</w:t>
            </w:r>
          </w:p>
        </w:tc>
        <w:tc>
          <w:tcPr>
            <w:tcW w:w="1271" w:type="dxa"/>
            <w:tcMar>
              <w:right w:w="340" w:type="dxa"/>
            </w:tcMar>
          </w:tcPr>
          <w:p w14:paraId="00000195" w14:textId="77777777" w:rsidR="0039297D" w:rsidRDefault="004273CA" w:rsidP="000F15C3">
            <w:pPr>
              <w:spacing w:before="60" w:after="60"/>
              <w:jc w:val="right"/>
              <w:rPr>
                <w:rFonts w:ascii="Calibri" w:eastAsia="Calibri" w:hAnsi="Calibri" w:cs="Calibri"/>
              </w:rPr>
            </w:pPr>
            <w:r>
              <w:rPr>
                <w:rFonts w:ascii="Calibri" w:eastAsia="Calibri" w:hAnsi="Calibri" w:cs="Calibri"/>
              </w:rPr>
              <w:t>40.2%</w:t>
            </w:r>
          </w:p>
        </w:tc>
      </w:tr>
      <w:tr w:rsidR="0039297D" w14:paraId="48E13AAC" w14:textId="77777777" w:rsidTr="000F15C3">
        <w:trPr>
          <w:trHeight w:val="20"/>
          <w:jc w:val="center"/>
        </w:trPr>
        <w:tc>
          <w:tcPr>
            <w:tcW w:w="3989" w:type="dxa"/>
          </w:tcPr>
          <w:p w14:paraId="00000196" w14:textId="77777777" w:rsidR="0039297D" w:rsidRDefault="004273CA" w:rsidP="000F15C3">
            <w:pPr>
              <w:spacing w:before="60" w:after="60"/>
              <w:jc w:val="left"/>
              <w:rPr>
                <w:rFonts w:ascii="Calibri" w:eastAsia="Calibri" w:hAnsi="Calibri" w:cs="Calibri"/>
              </w:rPr>
            </w:pPr>
            <w:r>
              <w:rPr>
                <w:rFonts w:ascii="Calibri" w:eastAsia="Calibri" w:hAnsi="Calibri" w:cs="Calibri"/>
              </w:rPr>
              <w:t xml:space="preserve">Difference between average real monthly earnings for </w:t>
            </w:r>
            <w:r>
              <w:rPr>
                <w:rFonts w:ascii="Calibri" w:eastAsia="Calibri" w:hAnsi="Calibri" w:cs="Calibri"/>
                <w:b/>
              </w:rPr>
              <w:t>cultural</w:t>
            </w:r>
            <w:r>
              <w:rPr>
                <w:rFonts w:ascii="Calibri" w:eastAsia="Calibri" w:hAnsi="Calibri" w:cs="Calibri"/>
              </w:rPr>
              <w:t xml:space="preserve"> occupations for men and women</w:t>
            </w:r>
          </w:p>
        </w:tc>
        <w:tc>
          <w:tcPr>
            <w:tcW w:w="1270" w:type="dxa"/>
            <w:tcMar>
              <w:right w:w="284" w:type="dxa"/>
            </w:tcMar>
          </w:tcPr>
          <w:p w14:paraId="00000197" w14:textId="77777777" w:rsidR="0039297D" w:rsidRDefault="004273CA" w:rsidP="000F15C3">
            <w:pPr>
              <w:spacing w:before="60" w:after="60"/>
              <w:jc w:val="right"/>
              <w:rPr>
                <w:rFonts w:ascii="Calibri" w:eastAsia="Calibri" w:hAnsi="Calibri" w:cs="Calibri"/>
              </w:rPr>
            </w:pPr>
            <w:r>
              <w:rPr>
                <w:rFonts w:ascii="Calibri" w:eastAsia="Calibri" w:hAnsi="Calibri" w:cs="Calibri"/>
              </w:rPr>
              <w:t>R3 933</w:t>
            </w:r>
          </w:p>
        </w:tc>
        <w:tc>
          <w:tcPr>
            <w:tcW w:w="1271" w:type="dxa"/>
            <w:tcMar>
              <w:right w:w="284" w:type="dxa"/>
            </w:tcMar>
          </w:tcPr>
          <w:p w14:paraId="00000198" w14:textId="77777777" w:rsidR="0039297D" w:rsidRDefault="004273CA" w:rsidP="000F15C3">
            <w:pPr>
              <w:spacing w:before="60" w:after="60"/>
              <w:jc w:val="right"/>
              <w:rPr>
                <w:rFonts w:ascii="Calibri" w:eastAsia="Calibri" w:hAnsi="Calibri" w:cs="Calibri"/>
              </w:rPr>
            </w:pPr>
            <w:r>
              <w:rPr>
                <w:rFonts w:ascii="Calibri" w:eastAsia="Calibri" w:hAnsi="Calibri" w:cs="Calibri"/>
              </w:rPr>
              <w:t>R4 684</w:t>
            </w:r>
          </w:p>
        </w:tc>
        <w:tc>
          <w:tcPr>
            <w:tcW w:w="1271" w:type="dxa"/>
            <w:tcMar>
              <w:right w:w="284" w:type="dxa"/>
            </w:tcMar>
          </w:tcPr>
          <w:p w14:paraId="00000199" w14:textId="77777777" w:rsidR="0039297D" w:rsidRDefault="004273CA" w:rsidP="000F15C3">
            <w:pPr>
              <w:spacing w:before="60" w:after="60"/>
              <w:jc w:val="right"/>
              <w:rPr>
                <w:rFonts w:ascii="Calibri" w:eastAsia="Calibri" w:hAnsi="Calibri" w:cs="Calibri"/>
              </w:rPr>
            </w:pPr>
            <w:r>
              <w:rPr>
                <w:rFonts w:ascii="Calibri" w:eastAsia="Calibri" w:hAnsi="Calibri" w:cs="Calibri"/>
              </w:rPr>
              <w:t>R2 595</w:t>
            </w:r>
          </w:p>
        </w:tc>
        <w:tc>
          <w:tcPr>
            <w:tcW w:w="1271" w:type="dxa"/>
            <w:tcMar>
              <w:right w:w="340" w:type="dxa"/>
            </w:tcMar>
          </w:tcPr>
          <w:p w14:paraId="0000019A" w14:textId="77777777" w:rsidR="0039297D" w:rsidRDefault="004273CA" w:rsidP="000F15C3">
            <w:pPr>
              <w:spacing w:before="60" w:after="60"/>
              <w:jc w:val="right"/>
              <w:rPr>
                <w:rFonts w:ascii="Calibri" w:eastAsia="Calibri" w:hAnsi="Calibri" w:cs="Calibri"/>
              </w:rPr>
            </w:pPr>
            <w:r>
              <w:rPr>
                <w:rFonts w:ascii="Calibri" w:eastAsia="Calibri" w:hAnsi="Calibri" w:cs="Calibri"/>
              </w:rPr>
              <w:t>-34.0%</w:t>
            </w:r>
          </w:p>
        </w:tc>
      </w:tr>
    </w:tbl>
    <w:p w14:paraId="0000019B" w14:textId="411ACD71" w:rsidR="0039297D" w:rsidRDefault="004273CA" w:rsidP="000F15C3">
      <w:pPr>
        <w:spacing w:before="120" w:line="259" w:lineRule="auto"/>
      </w:pPr>
      <w:r>
        <w:t>Source: PALMS data 2005–2018; Authors’ own analysis</w:t>
      </w:r>
    </w:p>
    <w:p w14:paraId="0000019C" w14:textId="47043609" w:rsidR="0039297D" w:rsidRDefault="004273CA" w:rsidP="000F15C3">
      <w:pPr>
        <w:spacing w:line="259" w:lineRule="auto"/>
        <w:rPr>
          <w:sz w:val="22"/>
          <w:szCs w:val="22"/>
        </w:rPr>
      </w:pPr>
      <w:r>
        <w:rPr>
          <w:sz w:val="22"/>
          <w:szCs w:val="22"/>
        </w:rPr>
        <w:t>Almost all domains have experienced an increase in average real earnings between Period 1 (which included the financial crisis years) and Period 3 (2015–2018), but there is also evidence that some have seen a fall in real earnings between Period 2 (2010–2014) and Period 3 (2015–2018), as economic growth slowed.</w:t>
      </w:r>
    </w:p>
    <w:p w14:paraId="0000019D" w14:textId="0799D7B5" w:rsidR="0039297D" w:rsidRDefault="004273CA" w:rsidP="000F15C3">
      <w:pPr>
        <w:spacing w:line="259" w:lineRule="auto"/>
        <w:rPr>
          <w:sz w:val="22"/>
          <w:szCs w:val="22"/>
        </w:rPr>
      </w:pPr>
      <w:r>
        <w:rPr>
          <w:sz w:val="22"/>
          <w:szCs w:val="22"/>
        </w:rPr>
        <w:t>The most highly paid domain in Period 3 was Cultural and Natural Heritage. Many occupations in this small domain require higher education (museum curators, archivists etc.) and offer permanent, stable jobs. Performance and Celebration is one of the few domains that experienced a large and sustained rise in average real earnings, from R16 400 in Period 2 to R27 800 in Period 3.</w:t>
      </w:r>
    </w:p>
    <w:p w14:paraId="0000019E" w14:textId="7833F52F" w:rsidR="0039297D" w:rsidRDefault="004273CA" w:rsidP="000F15C3">
      <w:pPr>
        <w:spacing w:line="259" w:lineRule="auto"/>
        <w:rPr>
          <w:sz w:val="22"/>
          <w:szCs w:val="22"/>
        </w:rPr>
      </w:pPr>
      <w:r>
        <w:rPr>
          <w:sz w:val="22"/>
          <w:szCs w:val="22"/>
        </w:rPr>
        <w:t xml:space="preserve">The Books and Press domain, where the number of occupations has been declining over time, has seen a real decrease in average monthly earnings between Periods 2 and 3 (from R17 500 in </w:t>
      </w:r>
      <w:r w:rsidR="00FD1E26">
        <w:rPr>
          <w:sz w:val="22"/>
          <w:szCs w:val="22"/>
        </w:rPr>
        <w:t xml:space="preserve">Period </w:t>
      </w:r>
      <w:r>
        <w:rPr>
          <w:sz w:val="22"/>
          <w:szCs w:val="22"/>
        </w:rPr>
        <w:t xml:space="preserve">2 to R14 800 in </w:t>
      </w:r>
      <w:r w:rsidR="00FD1E26">
        <w:rPr>
          <w:sz w:val="22"/>
          <w:szCs w:val="22"/>
        </w:rPr>
        <w:t xml:space="preserve">Period </w:t>
      </w:r>
      <w:r>
        <w:rPr>
          <w:sz w:val="22"/>
          <w:szCs w:val="22"/>
        </w:rPr>
        <w:t>3).</w:t>
      </w:r>
      <w:r w:rsidR="007E16E4">
        <w:rPr>
          <w:sz w:val="22"/>
          <w:szCs w:val="22"/>
        </w:rPr>
        <w:t xml:space="preserve"> </w:t>
      </w:r>
      <w:r>
        <w:rPr>
          <w:sz w:val="22"/>
          <w:szCs w:val="22"/>
        </w:rPr>
        <w:t xml:space="preserve">Surprisingly, Design and Creative Services, which slightly increased </w:t>
      </w:r>
      <w:r w:rsidR="00FD1E26">
        <w:rPr>
          <w:sz w:val="22"/>
          <w:szCs w:val="22"/>
        </w:rPr>
        <w:t xml:space="preserve">its </w:t>
      </w:r>
      <w:r>
        <w:rPr>
          <w:sz w:val="22"/>
          <w:szCs w:val="22"/>
        </w:rPr>
        <w:t xml:space="preserve">share of cultural occupations between Periods 1 and 3, saw a decline in real earnings (from R18 000 in </w:t>
      </w:r>
      <w:r w:rsidR="00FD1E26">
        <w:rPr>
          <w:sz w:val="22"/>
          <w:szCs w:val="22"/>
        </w:rPr>
        <w:t xml:space="preserve">Period </w:t>
      </w:r>
      <w:r>
        <w:rPr>
          <w:sz w:val="22"/>
          <w:szCs w:val="22"/>
        </w:rPr>
        <w:t xml:space="preserve">1 to R14 900 in </w:t>
      </w:r>
      <w:r w:rsidR="00FD1E26">
        <w:rPr>
          <w:sz w:val="22"/>
          <w:szCs w:val="22"/>
        </w:rPr>
        <w:t xml:space="preserve">Period </w:t>
      </w:r>
      <w:r>
        <w:rPr>
          <w:sz w:val="22"/>
          <w:szCs w:val="22"/>
        </w:rPr>
        <w:t>3).</w:t>
      </w:r>
    </w:p>
    <w:p w14:paraId="0000019F" w14:textId="77777777" w:rsidR="0039297D" w:rsidRDefault="004273CA">
      <w:pPr>
        <w:spacing w:line="259" w:lineRule="auto"/>
        <w:jc w:val="left"/>
        <w:rPr>
          <w:i/>
          <w:color w:val="44546A"/>
          <w:sz w:val="18"/>
          <w:szCs w:val="18"/>
        </w:rPr>
      </w:pPr>
      <w:r>
        <w:br w:type="page"/>
      </w:r>
    </w:p>
    <w:p w14:paraId="000001A0" w14:textId="6824A327" w:rsidR="0039297D" w:rsidRPr="000F15C3" w:rsidRDefault="004273CA">
      <w:pPr>
        <w:pBdr>
          <w:top w:val="nil"/>
          <w:left w:val="nil"/>
          <w:bottom w:val="nil"/>
          <w:right w:val="nil"/>
          <w:between w:val="nil"/>
        </w:pBdr>
        <w:spacing w:after="200"/>
        <w:rPr>
          <w:i/>
          <w:color w:val="44546A"/>
        </w:rPr>
      </w:pPr>
      <w:r w:rsidRPr="000F15C3">
        <w:rPr>
          <w:i/>
          <w:color w:val="44546A"/>
        </w:rPr>
        <w:lastRenderedPageBreak/>
        <w:t xml:space="preserve">Table </w:t>
      </w:r>
      <w:r w:rsidR="00E55B0B" w:rsidRPr="000F15C3">
        <w:rPr>
          <w:i/>
          <w:color w:val="44546A"/>
        </w:rPr>
        <w:t>6</w:t>
      </w:r>
      <w:r w:rsidR="003A76EC" w:rsidRPr="000F15C3">
        <w:rPr>
          <w:i/>
          <w:color w:val="44546A"/>
        </w:rPr>
        <w:t>:</w:t>
      </w:r>
      <w:r w:rsidR="00E55B0B" w:rsidRPr="000F15C3">
        <w:rPr>
          <w:i/>
          <w:color w:val="44546A"/>
        </w:rPr>
        <w:t xml:space="preserve"> Changes</w:t>
      </w:r>
      <w:r w:rsidRPr="000F15C3">
        <w:rPr>
          <w:i/>
          <w:color w:val="44546A"/>
        </w:rPr>
        <w:t xml:space="preserve"> in average real earnings in cultural occupations by Domain 2005–2018</w:t>
      </w:r>
    </w:p>
    <w:tbl>
      <w:tblPr>
        <w:tblStyle w:val="TableGrid1"/>
        <w:tblW w:w="9072" w:type="dxa"/>
        <w:jc w:val="center"/>
        <w:tblLayout w:type="fixed"/>
        <w:tblLook w:val="0400" w:firstRow="0" w:lastRow="0" w:firstColumn="0" w:lastColumn="0" w:noHBand="0" w:noVBand="1"/>
      </w:tblPr>
      <w:tblGrid>
        <w:gridCol w:w="4224"/>
        <w:gridCol w:w="1616"/>
        <w:gridCol w:w="1616"/>
        <w:gridCol w:w="1616"/>
      </w:tblGrid>
      <w:tr w:rsidR="0039297D" w14:paraId="0394A763" w14:textId="77777777" w:rsidTr="000F15C3">
        <w:trPr>
          <w:trHeight w:val="590"/>
          <w:jc w:val="center"/>
        </w:trPr>
        <w:tc>
          <w:tcPr>
            <w:tcW w:w="4224" w:type="dxa"/>
          </w:tcPr>
          <w:p w14:paraId="000001A1"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Mean Real earning by domain</w:t>
            </w:r>
          </w:p>
        </w:tc>
        <w:tc>
          <w:tcPr>
            <w:tcW w:w="1616" w:type="dxa"/>
          </w:tcPr>
          <w:p w14:paraId="000001A2"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1:</w:t>
            </w:r>
          </w:p>
          <w:p w14:paraId="000001A3" w14:textId="60940554" w:rsidR="0039297D" w:rsidRDefault="004273CA" w:rsidP="000F15C3">
            <w:pPr>
              <w:spacing w:before="60" w:after="60"/>
              <w:jc w:val="center"/>
              <w:rPr>
                <w:rFonts w:ascii="Calibri" w:eastAsia="Calibri" w:hAnsi="Calibri" w:cs="Calibri"/>
                <w:b/>
                <w:color w:val="000000"/>
              </w:rPr>
            </w:pPr>
            <w:r>
              <w:rPr>
                <w:rFonts w:ascii="Calibri" w:eastAsia="Calibri" w:hAnsi="Calibri" w:cs="Calibri"/>
                <w:b/>
              </w:rPr>
              <w:t>2005</w:t>
            </w:r>
            <w:r w:rsidR="00B15329">
              <w:rPr>
                <w:rFonts w:ascii="Calibri" w:eastAsia="Calibri" w:hAnsi="Calibri" w:cs="Calibri"/>
                <w:b/>
              </w:rPr>
              <w:t>–20</w:t>
            </w:r>
            <w:r>
              <w:rPr>
                <w:rFonts w:ascii="Calibri" w:eastAsia="Calibri" w:hAnsi="Calibri" w:cs="Calibri"/>
                <w:b/>
              </w:rPr>
              <w:t>09</w:t>
            </w:r>
          </w:p>
        </w:tc>
        <w:tc>
          <w:tcPr>
            <w:tcW w:w="1616" w:type="dxa"/>
          </w:tcPr>
          <w:p w14:paraId="000001A4"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2:</w:t>
            </w:r>
          </w:p>
          <w:p w14:paraId="000001A5" w14:textId="299D5284" w:rsidR="0039297D" w:rsidRDefault="004273CA" w:rsidP="000F15C3">
            <w:pPr>
              <w:spacing w:before="60" w:after="60"/>
              <w:jc w:val="center"/>
              <w:rPr>
                <w:rFonts w:ascii="Calibri" w:eastAsia="Calibri" w:hAnsi="Calibri" w:cs="Calibri"/>
                <w:b/>
                <w:color w:val="000000"/>
              </w:rPr>
            </w:pPr>
            <w:r>
              <w:rPr>
                <w:rFonts w:ascii="Calibri" w:eastAsia="Calibri" w:hAnsi="Calibri" w:cs="Calibri"/>
                <w:b/>
              </w:rPr>
              <w:t>2010</w:t>
            </w:r>
            <w:r w:rsidR="00B15329">
              <w:rPr>
                <w:rFonts w:ascii="Calibri" w:eastAsia="Calibri" w:hAnsi="Calibri" w:cs="Calibri"/>
                <w:b/>
              </w:rPr>
              <w:t>–20</w:t>
            </w:r>
            <w:r>
              <w:rPr>
                <w:rFonts w:ascii="Calibri" w:eastAsia="Calibri" w:hAnsi="Calibri" w:cs="Calibri"/>
                <w:b/>
              </w:rPr>
              <w:t>14</w:t>
            </w:r>
          </w:p>
        </w:tc>
        <w:tc>
          <w:tcPr>
            <w:tcW w:w="1616" w:type="dxa"/>
          </w:tcPr>
          <w:p w14:paraId="000001A6" w14:textId="77777777" w:rsidR="0039297D" w:rsidRDefault="004273CA" w:rsidP="000F15C3">
            <w:pPr>
              <w:spacing w:before="60" w:after="60"/>
              <w:jc w:val="center"/>
              <w:rPr>
                <w:rFonts w:ascii="Calibri" w:eastAsia="Calibri" w:hAnsi="Calibri" w:cs="Calibri"/>
                <w:b/>
              </w:rPr>
            </w:pPr>
            <w:r>
              <w:rPr>
                <w:rFonts w:ascii="Calibri" w:eastAsia="Calibri" w:hAnsi="Calibri" w:cs="Calibri"/>
                <w:b/>
              </w:rPr>
              <w:t>Period 3:</w:t>
            </w:r>
          </w:p>
          <w:p w14:paraId="000001A7" w14:textId="1373541E" w:rsidR="0039297D" w:rsidRDefault="004273CA" w:rsidP="000F15C3">
            <w:pPr>
              <w:spacing w:before="60" w:after="60"/>
              <w:jc w:val="center"/>
              <w:rPr>
                <w:rFonts w:ascii="Calibri" w:eastAsia="Calibri" w:hAnsi="Calibri" w:cs="Calibri"/>
                <w:b/>
                <w:color w:val="000000"/>
              </w:rPr>
            </w:pPr>
            <w:r>
              <w:rPr>
                <w:rFonts w:ascii="Calibri" w:eastAsia="Calibri" w:hAnsi="Calibri" w:cs="Calibri"/>
                <w:b/>
              </w:rPr>
              <w:t>2015</w:t>
            </w:r>
            <w:r w:rsidR="00B15329">
              <w:rPr>
                <w:rFonts w:ascii="Calibri" w:eastAsia="Calibri" w:hAnsi="Calibri" w:cs="Calibri"/>
                <w:b/>
              </w:rPr>
              <w:t>–20</w:t>
            </w:r>
            <w:r>
              <w:rPr>
                <w:rFonts w:ascii="Calibri" w:eastAsia="Calibri" w:hAnsi="Calibri" w:cs="Calibri"/>
                <w:b/>
              </w:rPr>
              <w:t>18</w:t>
            </w:r>
          </w:p>
        </w:tc>
      </w:tr>
      <w:tr w:rsidR="0039297D" w14:paraId="78E63EB4" w14:textId="77777777" w:rsidTr="000F15C3">
        <w:trPr>
          <w:trHeight w:val="295"/>
          <w:jc w:val="center"/>
        </w:trPr>
        <w:tc>
          <w:tcPr>
            <w:tcW w:w="4224" w:type="dxa"/>
          </w:tcPr>
          <w:p w14:paraId="000001A8"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Cultural and Natural Heritage</w:t>
            </w:r>
          </w:p>
        </w:tc>
        <w:tc>
          <w:tcPr>
            <w:tcW w:w="1616" w:type="dxa"/>
            <w:tcMar>
              <w:right w:w="397" w:type="dxa"/>
            </w:tcMar>
          </w:tcPr>
          <w:p w14:paraId="000001A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R30 177</w:t>
            </w:r>
          </w:p>
        </w:tc>
        <w:tc>
          <w:tcPr>
            <w:tcW w:w="1616" w:type="dxa"/>
            <w:tcMar>
              <w:right w:w="397" w:type="dxa"/>
            </w:tcMar>
          </w:tcPr>
          <w:p w14:paraId="000001AA"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R22 076</w:t>
            </w:r>
          </w:p>
        </w:tc>
        <w:tc>
          <w:tcPr>
            <w:tcW w:w="1616" w:type="dxa"/>
            <w:tcMar>
              <w:right w:w="397" w:type="dxa"/>
            </w:tcMar>
          </w:tcPr>
          <w:p w14:paraId="000001AB"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R32 464</w:t>
            </w:r>
          </w:p>
        </w:tc>
      </w:tr>
      <w:tr w:rsidR="0039297D" w14:paraId="34007302" w14:textId="77777777" w:rsidTr="000F15C3">
        <w:trPr>
          <w:trHeight w:val="295"/>
          <w:jc w:val="center"/>
        </w:trPr>
        <w:tc>
          <w:tcPr>
            <w:tcW w:w="4224" w:type="dxa"/>
          </w:tcPr>
          <w:p w14:paraId="000001AC"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Performance and Celebration</w:t>
            </w:r>
          </w:p>
        </w:tc>
        <w:tc>
          <w:tcPr>
            <w:tcW w:w="1616" w:type="dxa"/>
            <w:tcMar>
              <w:right w:w="397" w:type="dxa"/>
            </w:tcMar>
          </w:tcPr>
          <w:p w14:paraId="000001AD"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R13 211</w:t>
            </w:r>
          </w:p>
        </w:tc>
        <w:tc>
          <w:tcPr>
            <w:tcW w:w="1616" w:type="dxa"/>
            <w:tcMar>
              <w:right w:w="397" w:type="dxa"/>
            </w:tcMar>
          </w:tcPr>
          <w:p w14:paraId="000001AE"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R16 374</w:t>
            </w:r>
          </w:p>
        </w:tc>
        <w:tc>
          <w:tcPr>
            <w:tcW w:w="1616" w:type="dxa"/>
            <w:tcMar>
              <w:right w:w="397" w:type="dxa"/>
            </w:tcMar>
          </w:tcPr>
          <w:p w14:paraId="000001AF"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R27 679</w:t>
            </w:r>
          </w:p>
        </w:tc>
      </w:tr>
      <w:tr w:rsidR="0039297D" w14:paraId="1048D1B2" w14:textId="77777777" w:rsidTr="000F15C3">
        <w:trPr>
          <w:trHeight w:val="295"/>
          <w:jc w:val="center"/>
        </w:trPr>
        <w:tc>
          <w:tcPr>
            <w:tcW w:w="4224" w:type="dxa"/>
          </w:tcPr>
          <w:p w14:paraId="000001B0"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Visual Arts and Crafts</w:t>
            </w:r>
          </w:p>
        </w:tc>
        <w:tc>
          <w:tcPr>
            <w:tcW w:w="1616" w:type="dxa"/>
            <w:tcMar>
              <w:right w:w="397" w:type="dxa"/>
            </w:tcMar>
          </w:tcPr>
          <w:p w14:paraId="000001B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R3 223</w:t>
            </w:r>
          </w:p>
        </w:tc>
        <w:tc>
          <w:tcPr>
            <w:tcW w:w="1616" w:type="dxa"/>
            <w:tcMar>
              <w:right w:w="397" w:type="dxa"/>
            </w:tcMar>
          </w:tcPr>
          <w:p w14:paraId="000001B2"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R6 315</w:t>
            </w:r>
          </w:p>
        </w:tc>
        <w:tc>
          <w:tcPr>
            <w:tcW w:w="1616" w:type="dxa"/>
            <w:tcMar>
              <w:right w:w="397" w:type="dxa"/>
            </w:tcMar>
          </w:tcPr>
          <w:p w14:paraId="000001B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R6 433</w:t>
            </w:r>
          </w:p>
        </w:tc>
      </w:tr>
      <w:tr w:rsidR="0039297D" w14:paraId="54A15575" w14:textId="77777777" w:rsidTr="000F15C3">
        <w:trPr>
          <w:trHeight w:val="295"/>
          <w:jc w:val="center"/>
        </w:trPr>
        <w:tc>
          <w:tcPr>
            <w:tcW w:w="4224" w:type="dxa"/>
          </w:tcPr>
          <w:p w14:paraId="000001B4" w14:textId="4A6EC549"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 xml:space="preserve">Books and Press </w:t>
            </w:r>
          </w:p>
        </w:tc>
        <w:tc>
          <w:tcPr>
            <w:tcW w:w="1616" w:type="dxa"/>
            <w:tcMar>
              <w:right w:w="397" w:type="dxa"/>
            </w:tcMar>
          </w:tcPr>
          <w:p w14:paraId="000001B5"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R9 917</w:t>
            </w:r>
          </w:p>
        </w:tc>
        <w:tc>
          <w:tcPr>
            <w:tcW w:w="1616" w:type="dxa"/>
            <w:tcMar>
              <w:right w:w="397" w:type="dxa"/>
            </w:tcMar>
          </w:tcPr>
          <w:p w14:paraId="000001B6"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R17 546</w:t>
            </w:r>
          </w:p>
        </w:tc>
        <w:tc>
          <w:tcPr>
            <w:tcW w:w="1616" w:type="dxa"/>
            <w:tcMar>
              <w:right w:w="397" w:type="dxa"/>
            </w:tcMar>
          </w:tcPr>
          <w:p w14:paraId="000001B7"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R14 774</w:t>
            </w:r>
          </w:p>
        </w:tc>
      </w:tr>
      <w:tr w:rsidR="0039297D" w14:paraId="4C584165" w14:textId="77777777" w:rsidTr="000F15C3">
        <w:trPr>
          <w:trHeight w:val="295"/>
          <w:jc w:val="center"/>
        </w:trPr>
        <w:tc>
          <w:tcPr>
            <w:tcW w:w="4224" w:type="dxa"/>
          </w:tcPr>
          <w:p w14:paraId="000001B8" w14:textId="169358D0"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 xml:space="preserve">Audio-visual and Interactive Media </w:t>
            </w:r>
          </w:p>
        </w:tc>
        <w:tc>
          <w:tcPr>
            <w:tcW w:w="1616" w:type="dxa"/>
            <w:tcMar>
              <w:right w:w="397" w:type="dxa"/>
            </w:tcMar>
          </w:tcPr>
          <w:p w14:paraId="000001B9"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R6 183</w:t>
            </w:r>
          </w:p>
        </w:tc>
        <w:tc>
          <w:tcPr>
            <w:tcW w:w="1616" w:type="dxa"/>
            <w:tcMar>
              <w:right w:w="397" w:type="dxa"/>
            </w:tcMar>
          </w:tcPr>
          <w:p w14:paraId="000001BA"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R23 152</w:t>
            </w:r>
          </w:p>
        </w:tc>
        <w:tc>
          <w:tcPr>
            <w:tcW w:w="1616" w:type="dxa"/>
            <w:tcMar>
              <w:right w:w="397" w:type="dxa"/>
            </w:tcMar>
          </w:tcPr>
          <w:p w14:paraId="000001BB"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R19 722</w:t>
            </w:r>
          </w:p>
        </w:tc>
      </w:tr>
      <w:tr w:rsidR="0039297D" w14:paraId="70D19C00" w14:textId="77777777" w:rsidTr="000F15C3">
        <w:trPr>
          <w:trHeight w:val="295"/>
          <w:jc w:val="center"/>
        </w:trPr>
        <w:tc>
          <w:tcPr>
            <w:tcW w:w="4224" w:type="dxa"/>
          </w:tcPr>
          <w:p w14:paraId="000001BC" w14:textId="54F791C1" w:rsidR="0039297D" w:rsidRDefault="004273CA" w:rsidP="000F15C3">
            <w:pPr>
              <w:spacing w:before="60" w:after="60"/>
              <w:rPr>
                <w:rFonts w:ascii="Calibri" w:eastAsia="Calibri" w:hAnsi="Calibri" w:cs="Calibri"/>
                <w:color w:val="000000"/>
              </w:rPr>
            </w:pPr>
            <w:bookmarkStart w:id="60" w:name="_Hlk92973630"/>
            <w:r>
              <w:rPr>
                <w:rFonts w:ascii="Calibri" w:eastAsia="Calibri" w:hAnsi="Calibri" w:cs="Calibri"/>
                <w:color w:val="000000"/>
              </w:rPr>
              <w:t xml:space="preserve">Design and Creative Services </w:t>
            </w:r>
            <w:bookmarkEnd w:id="60"/>
          </w:p>
        </w:tc>
        <w:tc>
          <w:tcPr>
            <w:tcW w:w="1616" w:type="dxa"/>
            <w:tcMar>
              <w:right w:w="397" w:type="dxa"/>
            </w:tcMar>
          </w:tcPr>
          <w:p w14:paraId="000001BD"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R17 957</w:t>
            </w:r>
          </w:p>
        </w:tc>
        <w:tc>
          <w:tcPr>
            <w:tcW w:w="1616" w:type="dxa"/>
            <w:tcMar>
              <w:right w:w="397" w:type="dxa"/>
            </w:tcMar>
          </w:tcPr>
          <w:p w14:paraId="000001BE"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R20 144</w:t>
            </w:r>
          </w:p>
        </w:tc>
        <w:tc>
          <w:tcPr>
            <w:tcW w:w="1616" w:type="dxa"/>
            <w:tcMar>
              <w:right w:w="397" w:type="dxa"/>
            </w:tcMar>
          </w:tcPr>
          <w:p w14:paraId="000001BF"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R14 845</w:t>
            </w:r>
          </w:p>
        </w:tc>
      </w:tr>
      <w:tr w:rsidR="0039297D" w14:paraId="345AA3D0" w14:textId="77777777" w:rsidTr="000F15C3">
        <w:trPr>
          <w:trHeight w:val="295"/>
          <w:jc w:val="center"/>
        </w:trPr>
        <w:tc>
          <w:tcPr>
            <w:tcW w:w="4224" w:type="dxa"/>
          </w:tcPr>
          <w:p w14:paraId="000001C0" w14:textId="77777777" w:rsidR="0039297D" w:rsidRDefault="004273CA" w:rsidP="000F15C3">
            <w:pPr>
              <w:spacing w:before="60" w:after="60"/>
              <w:rPr>
                <w:rFonts w:ascii="Calibri" w:eastAsia="Calibri" w:hAnsi="Calibri" w:cs="Calibri"/>
                <w:color w:val="000000"/>
              </w:rPr>
            </w:pPr>
            <w:r>
              <w:rPr>
                <w:rFonts w:ascii="Calibri" w:eastAsia="Calibri" w:hAnsi="Calibri" w:cs="Calibri"/>
                <w:color w:val="000000"/>
              </w:rPr>
              <w:t>Intangible Cultural Heritage</w:t>
            </w:r>
          </w:p>
        </w:tc>
        <w:tc>
          <w:tcPr>
            <w:tcW w:w="1616" w:type="dxa"/>
            <w:tcMar>
              <w:right w:w="397" w:type="dxa"/>
            </w:tcMar>
          </w:tcPr>
          <w:p w14:paraId="000001C1"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R6 574</w:t>
            </w:r>
          </w:p>
        </w:tc>
        <w:tc>
          <w:tcPr>
            <w:tcW w:w="1616" w:type="dxa"/>
            <w:tcMar>
              <w:right w:w="397" w:type="dxa"/>
            </w:tcMar>
          </w:tcPr>
          <w:p w14:paraId="000001C2"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R13 330</w:t>
            </w:r>
          </w:p>
        </w:tc>
        <w:tc>
          <w:tcPr>
            <w:tcW w:w="1616" w:type="dxa"/>
            <w:tcMar>
              <w:right w:w="397" w:type="dxa"/>
            </w:tcMar>
          </w:tcPr>
          <w:p w14:paraId="000001C3" w14:textId="77777777" w:rsidR="0039297D" w:rsidRDefault="004273CA" w:rsidP="000F15C3">
            <w:pPr>
              <w:spacing w:before="60" w:after="60"/>
              <w:jc w:val="right"/>
              <w:rPr>
                <w:rFonts w:ascii="Calibri" w:eastAsia="Calibri" w:hAnsi="Calibri" w:cs="Calibri"/>
                <w:color w:val="000000"/>
              </w:rPr>
            </w:pPr>
            <w:r>
              <w:rPr>
                <w:rFonts w:ascii="Calibri" w:eastAsia="Calibri" w:hAnsi="Calibri" w:cs="Calibri"/>
                <w:color w:val="000000"/>
              </w:rPr>
              <w:t>R11 535</w:t>
            </w:r>
          </w:p>
        </w:tc>
      </w:tr>
    </w:tbl>
    <w:p w14:paraId="000001C4" w14:textId="68DAC555" w:rsidR="0039297D" w:rsidRDefault="004273CA" w:rsidP="000F15C3">
      <w:pPr>
        <w:spacing w:before="120" w:line="259" w:lineRule="auto"/>
      </w:pPr>
      <w:r>
        <w:t>Source: PALMS data 2005–2018; Authors’ own analysis</w:t>
      </w:r>
    </w:p>
    <w:p w14:paraId="000001C5" w14:textId="77777777" w:rsidR="0039297D" w:rsidRDefault="004273CA" w:rsidP="000F15C3">
      <w:pPr>
        <w:pStyle w:val="Heading2"/>
        <w:ind w:left="578" w:hanging="578"/>
      </w:pPr>
      <w:bookmarkStart w:id="61" w:name="_Toc90193712"/>
      <w:bookmarkStart w:id="62" w:name="_Toc90193733"/>
      <w:bookmarkStart w:id="63" w:name="_Toc90193760"/>
      <w:r>
        <w:t>Changes in geographical distribution of cultural occupations</w:t>
      </w:r>
      <w:bookmarkEnd w:id="61"/>
      <w:bookmarkEnd w:id="62"/>
      <w:bookmarkEnd w:id="63"/>
    </w:p>
    <w:p w14:paraId="000001C6" w14:textId="26EEFDC8" w:rsidR="0039297D" w:rsidRDefault="004273CA" w:rsidP="000F15C3">
      <w:pPr>
        <w:spacing w:line="259" w:lineRule="auto"/>
        <w:rPr>
          <w:sz w:val="22"/>
          <w:szCs w:val="22"/>
        </w:rPr>
      </w:pPr>
      <w:bookmarkStart w:id="64" w:name="_heading=h.1v1yuxt" w:colFirst="0" w:colLast="0"/>
      <w:bookmarkEnd w:id="64"/>
      <w:r>
        <w:rPr>
          <w:sz w:val="22"/>
          <w:szCs w:val="22"/>
        </w:rPr>
        <w:t>In terms of spatial distribution of cultural occupations, the provinces with the largest metropolitan areas (Gauteng, KwaZulu-Natal and the Western Cape) are also those with the highest proportions of cultural occupations. The tendency of the cultural and creative industries to cluster around large cities, where they have access to markets, specialist services and other supplies, has been well-documented in the literature (</w:t>
      </w:r>
      <w:r w:rsidR="008B1B62">
        <w:rPr>
          <w:sz w:val="22"/>
          <w:szCs w:val="22"/>
        </w:rPr>
        <w:t xml:space="preserve">see Chapter </w:t>
      </w:r>
      <w:r>
        <w:rPr>
          <w:sz w:val="22"/>
          <w:szCs w:val="22"/>
        </w:rPr>
        <w:t>4 for further discussion of the spatial distribution of the CCIs).</w:t>
      </w:r>
    </w:p>
    <w:p w14:paraId="000001C7" w14:textId="398A9AE7" w:rsidR="0039297D" w:rsidRDefault="004273CA" w:rsidP="000F15C3">
      <w:pPr>
        <w:spacing w:line="259" w:lineRule="auto"/>
        <w:rPr>
          <w:sz w:val="22"/>
          <w:szCs w:val="22"/>
        </w:rPr>
      </w:pPr>
      <w:r>
        <w:rPr>
          <w:sz w:val="22"/>
          <w:szCs w:val="22"/>
        </w:rPr>
        <w:t>Gauteng has by far the largest proportion of cultural occupations of any province, and grew this share over time from 29.3% in Period 1 to 32.8% in Period 3. KwaZulu-Natal has the second largest share of cultural occupations, but this declined from 22.1% in Period 1 to 17.8% in Period 3. Third</w:t>
      </w:r>
      <w:r w:rsidR="008B1B62">
        <w:rPr>
          <w:sz w:val="22"/>
          <w:szCs w:val="22"/>
        </w:rPr>
        <w:t xml:space="preserve"> </w:t>
      </w:r>
      <w:r>
        <w:rPr>
          <w:sz w:val="22"/>
          <w:szCs w:val="22"/>
        </w:rPr>
        <w:t>largest is the Western Cape, which increased its share of cultural occupations from 12.2% in Period 1 to 13.8% in Period 3.</w:t>
      </w:r>
    </w:p>
    <w:p w14:paraId="000001C8" w14:textId="77777777" w:rsidR="0039297D" w:rsidRDefault="004273CA" w:rsidP="000F15C3">
      <w:pPr>
        <w:spacing w:line="259" w:lineRule="auto"/>
        <w:rPr>
          <w:sz w:val="22"/>
          <w:szCs w:val="22"/>
        </w:rPr>
      </w:pPr>
      <w:r>
        <w:rPr>
          <w:sz w:val="22"/>
          <w:szCs w:val="22"/>
        </w:rPr>
        <w:t>Although small, Limpopo increased its share of cultural occupations quite significantly over time: from 7.5% in Period 1 to 9.5% in Period 3 (a trend that continued in 2019, as further discussed in Chapter 4). More rural provinces, such as the Eastern Cape, Northern Cape, Free State and North West, have been losing cultural occupations over time, suggesting that cultural occupations in South Africa are becoming more spatially concentrated.</w:t>
      </w:r>
    </w:p>
    <w:p w14:paraId="000001C9" w14:textId="77777777" w:rsidR="0039297D" w:rsidRDefault="004273CA">
      <w:pPr>
        <w:rPr>
          <w:b/>
        </w:rPr>
      </w:pPr>
      <w:r>
        <w:rPr>
          <w:noProof/>
          <w:lang w:val="en-ZA"/>
        </w:rPr>
        <w:drawing>
          <wp:inline distT="0" distB="0" distL="0" distR="0" wp14:anchorId="3ADEF7AE" wp14:editId="16D0A249">
            <wp:extent cx="5731510" cy="2574388"/>
            <wp:effectExtent l="0" t="0" r="0" b="0"/>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00001CA" w14:textId="15656111" w:rsidR="0039297D" w:rsidRPr="000F15C3" w:rsidRDefault="004273CA">
      <w:pPr>
        <w:pBdr>
          <w:top w:val="nil"/>
          <w:left w:val="nil"/>
          <w:bottom w:val="nil"/>
          <w:right w:val="nil"/>
          <w:between w:val="nil"/>
        </w:pBdr>
        <w:spacing w:after="200"/>
        <w:rPr>
          <w:i/>
          <w:color w:val="44546A"/>
        </w:rPr>
      </w:pPr>
      <w:bookmarkStart w:id="65" w:name="_heading=h.4f1mdlm" w:colFirst="0" w:colLast="0"/>
      <w:bookmarkEnd w:id="65"/>
      <w:r w:rsidRPr="000F15C3">
        <w:rPr>
          <w:i/>
          <w:color w:val="44546A"/>
        </w:rPr>
        <w:lastRenderedPageBreak/>
        <w:t>Figure 10</w:t>
      </w:r>
      <w:r w:rsidR="0075580B">
        <w:rPr>
          <w:i/>
          <w:color w:val="44546A"/>
        </w:rPr>
        <w:t>:</w:t>
      </w:r>
      <w:r w:rsidRPr="000F15C3">
        <w:rPr>
          <w:i/>
          <w:color w:val="44546A"/>
        </w:rPr>
        <w:t xml:space="preserve"> Changes in the percentage of cultural occupations by province over time</w:t>
      </w:r>
    </w:p>
    <w:p w14:paraId="000001CB" w14:textId="2E0DFD26" w:rsidR="0039297D" w:rsidRDefault="004273CA">
      <w:r>
        <w:t xml:space="preserve">Source: PALMS data 2005–2018; Authors’ </w:t>
      </w:r>
      <w:r w:rsidRPr="00DB7F70">
        <w:t xml:space="preserve">own </w:t>
      </w:r>
      <w:r>
        <w:t>analysis</w:t>
      </w:r>
    </w:p>
    <w:p w14:paraId="000001CC" w14:textId="77777777" w:rsidR="0039297D" w:rsidRDefault="004273CA">
      <w:pPr>
        <w:pStyle w:val="Heading1"/>
      </w:pPr>
      <w:bookmarkStart w:id="66" w:name="_Toc90193713"/>
      <w:bookmarkStart w:id="67" w:name="_Toc90193734"/>
      <w:bookmarkStart w:id="68" w:name="_Toc90193761"/>
      <w:r>
        <w:t>International Cultural Goods Trade over time</w:t>
      </w:r>
      <w:bookmarkEnd w:id="66"/>
      <w:bookmarkEnd w:id="67"/>
      <w:bookmarkEnd w:id="68"/>
    </w:p>
    <w:p w14:paraId="000001CD" w14:textId="21C32148" w:rsidR="0039297D" w:rsidRDefault="004273CA" w:rsidP="000F15C3">
      <w:pPr>
        <w:spacing w:line="259" w:lineRule="auto"/>
        <w:rPr>
          <w:sz w:val="22"/>
          <w:szCs w:val="22"/>
        </w:rPr>
      </w:pPr>
      <w:r>
        <w:rPr>
          <w:sz w:val="22"/>
          <w:szCs w:val="22"/>
        </w:rPr>
        <w:t>Apart from its contribution to GDP and employment, the cultural and creative sector has become an increasingly important component of international trade (UNCTAD, 2018).</w:t>
      </w:r>
      <w:r w:rsidR="007E16E4">
        <w:rPr>
          <w:sz w:val="22"/>
          <w:szCs w:val="22"/>
        </w:rPr>
        <w:t xml:space="preserve"> </w:t>
      </w:r>
      <w:r>
        <w:rPr>
          <w:sz w:val="22"/>
          <w:szCs w:val="22"/>
        </w:rPr>
        <w:t xml:space="preserve">Trade, in turn, if harnessed appropriately, has the potential to contribute significantly to growth and development in small open economies </w:t>
      </w:r>
      <w:r w:rsidR="00317A7E">
        <w:rPr>
          <w:sz w:val="22"/>
          <w:szCs w:val="22"/>
        </w:rPr>
        <w:t xml:space="preserve">such as </w:t>
      </w:r>
      <w:r>
        <w:rPr>
          <w:sz w:val="22"/>
          <w:szCs w:val="22"/>
        </w:rPr>
        <w:t>South Africa.</w:t>
      </w:r>
      <w:r w:rsidR="007E16E4">
        <w:rPr>
          <w:sz w:val="22"/>
          <w:szCs w:val="22"/>
        </w:rPr>
        <w:t xml:space="preserve"> </w:t>
      </w:r>
      <w:r>
        <w:rPr>
          <w:sz w:val="22"/>
          <w:szCs w:val="22"/>
        </w:rPr>
        <w:t>On the one hand, exporting provides important opportunities for learning-by-doing and building domestic productive capabilities, as well as for growing employment.</w:t>
      </w:r>
      <w:r w:rsidR="007E16E4">
        <w:rPr>
          <w:sz w:val="22"/>
          <w:szCs w:val="22"/>
        </w:rPr>
        <w:t xml:space="preserve"> </w:t>
      </w:r>
      <w:r>
        <w:rPr>
          <w:sz w:val="22"/>
          <w:szCs w:val="22"/>
        </w:rPr>
        <w:t>On the other hand, imports provide key intermediate inputs and technological know-how to improve domestic production processes both for the local market and for export.</w:t>
      </w:r>
      <w:r w:rsidR="007E16E4">
        <w:rPr>
          <w:sz w:val="22"/>
          <w:szCs w:val="22"/>
        </w:rPr>
        <w:t xml:space="preserve"> </w:t>
      </w:r>
      <w:r>
        <w:rPr>
          <w:sz w:val="22"/>
          <w:szCs w:val="22"/>
        </w:rPr>
        <w:t>Trade policy is thus acknowledged as an important component of industrial policy (Chang and Andreoni, 2020)</w:t>
      </w:r>
      <w:r w:rsidR="007178FA">
        <w:rPr>
          <w:sz w:val="22"/>
          <w:szCs w:val="22"/>
        </w:rPr>
        <w:t>, and</w:t>
      </w:r>
      <w:r>
        <w:rPr>
          <w:sz w:val="22"/>
          <w:szCs w:val="22"/>
        </w:rPr>
        <w:t xml:space="preserve"> has acquired an increasingly visible profile in the economic strategies of both developed and developing economies, particularly since the global financial crisis and, more recently, in the context of the COVID-19 pandemic (Mazzucato and Kattel, 2020).</w:t>
      </w:r>
      <w:r w:rsidR="007E16E4">
        <w:rPr>
          <w:sz w:val="22"/>
          <w:szCs w:val="22"/>
        </w:rPr>
        <w:t xml:space="preserve"> </w:t>
      </w:r>
      <w:r>
        <w:rPr>
          <w:sz w:val="22"/>
          <w:szCs w:val="22"/>
        </w:rPr>
        <w:t>As noted in Chapter 3, the cultural and creative sector has been identified as a target sector in South Africa’s Re-imagined Industrial Strategy, with its own sectoral Master Plan under development.</w:t>
      </w:r>
      <w:r w:rsidR="007E16E4">
        <w:rPr>
          <w:sz w:val="22"/>
          <w:szCs w:val="22"/>
        </w:rPr>
        <w:t xml:space="preserve"> </w:t>
      </w:r>
      <w:r>
        <w:rPr>
          <w:sz w:val="22"/>
          <w:szCs w:val="22"/>
        </w:rPr>
        <w:t xml:space="preserve">An analysis of historical trends in the trade component of the cultural and creative industries in South Africa can provide useful input into this process. </w:t>
      </w:r>
    </w:p>
    <w:p w14:paraId="000001CE" w14:textId="55E09382" w:rsidR="0039297D" w:rsidRDefault="004273CA" w:rsidP="000F15C3">
      <w:pPr>
        <w:spacing w:line="259" w:lineRule="auto"/>
        <w:rPr>
          <w:sz w:val="22"/>
          <w:szCs w:val="22"/>
        </w:rPr>
      </w:pPr>
      <w:r>
        <w:rPr>
          <w:sz w:val="22"/>
          <w:szCs w:val="22"/>
        </w:rPr>
        <w:t>Against this background, the discussion of South Africa’s cultural goods trade over time in this report is divided into two main sections. Section 6.1 first analyses trends in the country’s cultural goods exports, imports and the trade balance for the period 2001 to 2020, highlighting the impact of the global pandemic on these trends in the most recent quarters for which data are available. Against this background, it then investigates the changing contribution of South Africa’s cultural goods trade to total commodity trade over the same period.</w:t>
      </w:r>
      <w:r w:rsidR="007E16E4">
        <w:rPr>
          <w:sz w:val="22"/>
          <w:szCs w:val="22"/>
        </w:rPr>
        <w:t xml:space="preserve"> </w:t>
      </w:r>
      <w:r>
        <w:rPr>
          <w:sz w:val="22"/>
          <w:szCs w:val="22"/>
        </w:rPr>
        <w:t>Finally, this section examines the evolving structure of the country’s cultural goods trade by domain for the period 2001 to 2020.</w:t>
      </w:r>
      <w:r w:rsidR="007E16E4">
        <w:rPr>
          <w:sz w:val="22"/>
          <w:szCs w:val="22"/>
        </w:rPr>
        <w:t xml:space="preserve"> </w:t>
      </w:r>
      <w:r>
        <w:rPr>
          <w:sz w:val="22"/>
          <w:szCs w:val="22"/>
        </w:rPr>
        <w:t>Section 6.2 looks at the geographical pattern of South Africa’s cultural goods trade over time.</w:t>
      </w:r>
      <w:r w:rsidR="007E16E4">
        <w:rPr>
          <w:sz w:val="22"/>
          <w:szCs w:val="22"/>
        </w:rPr>
        <w:t xml:space="preserve"> </w:t>
      </w:r>
      <w:r>
        <w:rPr>
          <w:sz w:val="22"/>
          <w:szCs w:val="22"/>
        </w:rPr>
        <w:t xml:space="preserve">In this regard, it analyses changes in the composition of South Africa’s top twenty trading partners over the period under study, with respect to </w:t>
      </w:r>
      <w:r w:rsidR="007178FA">
        <w:rPr>
          <w:sz w:val="22"/>
          <w:szCs w:val="22"/>
        </w:rPr>
        <w:t xml:space="preserve">both </w:t>
      </w:r>
      <w:r>
        <w:rPr>
          <w:sz w:val="22"/>
          <w:szCs w:val="22"/>
        </w:rPr>
        <w:t>the destination of the country’s cultural goods exports and the origin of cultural goods imports.</w:t>
      </w:r>
    </w:p>
    <w:p w14:paraId="000001CF" w14:textId="77777777" w:rsidR="0039297D" w:rsidRDefault="0039297D">
      <w:pPr>
        <w:rPr>
          <w:sz w:val="22"/>
          <w:szCs w:val="22"/>
        </w:rPr>
      </w:pPr>
    </w:p>
    <w:p w14:paraId="000001D0" w14:textId="77777777" w:rsidR="0039297D" w:rsidRDefault="004273CA" w:rsidP="000F15C3">
      <w:pPr>
        <w:pStyle w:val="Heading2"/>
        <w:spacing w:line="240" w:lineRule="auto"/>
        <w:ind w:left="578" w:hanging="578"/>
      </w:pPr>
      <w:bookmarkStart w:id="69" w:name="_Toc90193714"/>
      <w:bookmarkStart w:id="70" w:name="_Toc90193735"/>
      <w:bookmarkStart w:id="71" w:name="_Toc90193762"/>
      <w:r>
        <w:t>The proportion and composition of South Africa’s cultural goods trade</w:t>
      </w:r>
      <w:bookmarkEnd w:id="69"/>
      <w:bookmarkEnd w:id="70"/>
      <w:bookmarkEnd w:id="71"/>
      <w:r>
        <w:t xml:space="preserve"> </w:t>
      </w:r>
    </w:p>
    <w:p w14:paraId="000001D1" w14:textId="77777777" w:rsidR="0039297D" w:rsidRDefault="0039297D">
      <w:pPr>
        <w:spacing w:after="0" w:line="259" w:lineRule="auto"/>
        <w:rPr>
          <w:sz w:val="22"/>
          <w:szCs w:val="22"/>
        </w:rPr>
      </w:pPr>
    </w:p>
    <w:p w14:paraId="000001D2" w14:textId="29CDC3C5" w:rsidR="0039297D" w:rsidRDefault="004273CA" w:rsidP="000F15C3">
      <w:pPr>
        <w:spacing w:line="259" w:lineRule="auto"/>
        <w:rPr>
          <w:sz w:val="22"/>
          <w:szCs w:val="22"/>
        </w:rPr>
      </w:pPr>
      <w:r>
        <w:rPr>
          <w:sz w:val="22"/>
          <w:szCs w:val="22"/>
        </w:rPr>
        <w:t>Trends in international trade have not only been affected by global and country-specific fluctuations in economic activity in recent decades, but also by domestic and international shocks such as the global financial crisis and the COVID-19 pandemic.</w:t>
      </w:r>
      <w:r w:rsidR="007E16E4">
        <w:rPr>
          <w:sz w:val="22"/>
          <w:szCs w:val="22"/>
        </w:rPr>
        <w:t xml:space="preserve"> </w:t>
      </w:r>
      <w:r>
        <w:rPr>
          <w:sz w:val="22"/>
          <w:szCs w:val="22"/>
        </w:rPr>
        <w:t>In the case of cultural goods trade specifically, dematerialisation in the face of increasing digitisation has had a growing impact on the production and trade of cultural products, particularly in domains such as Books and Press, Audio-visual and Interactive Media and in certain sub-sectors of Performance and Celebration (UNESCO, 2016: 12).</w:t>
      </w:r>
      <w:r w:rsidR="007E16E4">
        <w:rPr>
          <w:sz w:val="22"/>
          <w:szCs w:val="22"/>
        </w:rPr>
        <w:t xml:space="preserve"> </w:t>
      </w:r>
      <w:r>
        <w:rPr>
          <w:sz w:val="22"/>
          <w:szCs w:val="22"/>
        </w:rPr>
        <w:t>This has had the effect of increasing the relative importance of cultural services trade in such areas, as discussed in Chapter 3 of the mapping study.</w:t>
      </w:r>
      <w:r w:rsidR="007E16E4">
        <w:rPr>
          <w:sz w:val="22"/>
          <w:szCs w:val="22"/>
        </w:rPr>
        <w:t xml:space="preserve"> </w:t>
      </w:r>
      <w:r>
        <w:rPr>
          <w:sz w:val="22"/>
          <w:szCs w:val="22"/>
        </w:rPr>
        <w:t xml:space="preserve">As noted above, however, cultural goods trade remains of significant policy importance, especially in the developing country context. </w:t>
      </w:r>
    </w:p>
    <w:p w14:paraId="000001D4" w14:textId="468C3CE8" w:rsidR="0039297D" w:rsidRDefault="004273CA" w:rsidP="000F15C3">
      <w:pPr>
        <w:spacing w:line="259" w:lineRule="auto"/>
        <w:rPr>
          <w:sz w:val="22"/>
          <w:szCs w:val="22"/>
        </w:rPr>
      </w:pPr>
      <w:r>
        <w:rPr>
          <w:sz w:val="22"/>
          <w:szCs w:val="22"/>
        </w:rPr>
        <w:t xml:space="preserve">Figure 11 illustrates trends </w:t>
      </w:r>
      <w:r w:rsidR="007178FA">
        <w:rPr>
          <w:sz w:val="22"/>
          <w:szCs w:val="22"/>
        </w:rPr>
        <w:t xml:space="preserve">in </w:t>
      </w:r>
      <w:r>
        <w:rPr>
          <w:sz w:val="22"/>
          <w:szCs w:val="22"/>
        </w:rPr>
        <w:t>South Africa’s cultural goods exports and imports from 2001 to 2020, measured in US$ millions in nominal terms. Figure 12 is a similar graph, but show</w:t>
      </w:r>
      <w:r w:rsidR="007178FA">
        <w:rPr>
          <w:sz w:val="22"/>
          <w:szCs w:val="22"/>
        </w:rPr>
        <w:t>s</w:t>
      </w:r>
      <w:r>
        <w:rPr>
          <w:sz w:val="22"/>
          <w:szCs w:val="22"/>
        </w:rPr>
        <w:t xml:space="preserve"> </w:t>
      </w:r>
      <w:r>
        <w:rPr>
          <w:sz w:val="22"/>
          <w:szCs w:val="22"/>
        </w:rPr>
        <w:lastRenderedPageBreak/>
        <w:t>trends in total commodity trade for comparative purposes. In the period from 2001 to 2007, both exports and imports of cultural goods increased, although imports grew more quickly than exports from 2002, widening South Africa’s trade deficit in cultural products.</w:t>
      </w:r>
      <w:r w:rsidR="007E16E4">
        <w:rPr>
          <w:sz w:val="22"/>
          <w:szCs w:val="22"/>
        </w:rPr>
        <w:t xml:space="preserve"> </w:t>
      </w:r>
      <w:r>
        <w:rPr>
          <w:sz w:val="22"/>
          <w:szCs w:val="22"/>
        </w:rPr>
        <w:t>During 2007</w:t>
      </w:r>
      <w:r w:rsidR="007178FA">
        <w:rPr>
          <w:sz w:val="22"/>
          <w:szCs w:val="22"/>
        </w:rPr>
        <w:t>–</w:t>
      </w:r>
      <w:r>
        <w:rPr>
          <w:sz w:val="22"/>
          <w:szCs w:val="22"/>
        </w:rPr>
        <w:t>2008, as the global financial crisis broke, cultural goods imports contracted while exports continued to rise, narrowing the deficit somewhat.</w:t>
      </w:r>
      <w:r w:rsidR="007E16E4">
        <w:rPr>
          <w:sz w:val="22"/>
          <w:szCs w:val="22"/>
        </w:rPr>
        <w:t xml:space="preserve"> </w:t>
      </w:r>
      <w:r>
        <w:rPr>
          <w:sz w:val="22"/>
          <w:szCs w:val="22"/>
        </w:rPr>
        <w:t>As the adverse impact of the financial crisis on global trade took hold, cultural goods trade contracted sharply in 2008</w:t>
      </w:r>
      <w:r w:rsidR="007178FA">
        <w:rPr>
          <w:sz w:val="22"/>
          <w:szCs w:val="22"/>
        </w:rPr>
        <w:t>–</w:t>
      </w:r>
      <w:r>
        <w:rPr>
          <w:sz w:val="22"/>
          <w:szCs w:val="22"/>
        </w:rPr>
        <w:t>2009, although imports contracted more precipitously, slightly narrowing the cultural trade deficit once more.</w:t>
      </w:r>
      <w:r w:rsidR="007E16E4">
        <w:rPr>
          <w:sz w:val="22"/>
          <w:szCs w:val="22"/>
        </w:rPr>
        <w:t xml:space="preserve"> </w:t>
      </w:r>
      <w:r>
        <w:rPr>
          <w:sz w:val="22"/>
          <w:szCs w:val="22"/>
        </w:rPr>
        <w:t>As Figure 11 indicates, cultural goods trade bounced back after the crisis in 2009</w:t>
      </w:r>
      <w:r w:rsidR="007178FA">
        <w:rPr>
          <w:sz w:val="22"/>
          <w:szCs w:val="22"/>
        </w:rPr>
        <w:t>–</w:t>
      </w:r>
      <w:r>
        <w:rPr>
          <w:sz w:val="22"/>
          <w:szCs w:val="22"/>
        </w:rPr>
        <w:t>2010, with imports increasing more quickly than exports, although not yet reaching the level of the 2007 pre-crisis import peak.</w:t>
      </w:r>
      <w:r w:rsidR="007E16E4">
        <w:rPr>
          <w:sz w:val="22"/>
          <w:szCs w:val="22"/>
        </w:rPr>
        <w:t xml:space="preserve"> </w:t>
      </w:r>
      <w:r>
        <w:rPr>
          <w:sz w:val="22"/>
          <w:szCs w:val="22"/>
        </w:rPr>
        <w:t>Exports did better during the recovery than their previous peak in 2008, but only marginally.</w:t>
      </w:r>
      <w:r w:rsidR="007E16E4">
        <w:rPr>
          <w:sz w:val="22"/>
          <w:szCs w:val="22"/>
        </w:rPr>
        <w:t xml:space="preserve"> </w:t>
      </w:r>
      <w:r>
        <w:rPr>
          <w:sz w:val="22"/>
          <w:szCs w:val="22"/>
        </w:rPr>
        <w:t>Cultural goods imports continued to rise between 2010 and 2012, while exports grew minimally, widening South Africa’s cultural goods trade deficit again up until 2012.</w:t>
      </w:r>
      <w:r w:rsidR="007E16E4">
        <w:rPr>
          <w:sz w:val="22"/>
          <w:szCs w:val="22"/>
        </w:rPr>
        <w:t xml:space="preserve"> </w:t>
      </w:r>
      <w:r>
        <w:rPr>
          <w:sz w:val="22"/>
          <w:szCs w:val="22"/>
        </w:rPr>
        <w:t>The deficit stood at US$423 million by 2012, although this was just under the 2007 peak of US$454 million.</w:t>
      </w:r>
    </w:p>
    <w:p w14:paraId="000001D6" w14:textId="45F66307" w:rsidR="0039297D" w:rsidRDefault="004273CA" w:rsidP="00317A7E">
      <w:pPr>
        <w:spacing w:line="259" w:lineRule="auto"/>
        <w:rPr>
          <w:sz w:val="22"/>
          <w:szCs w:val="22"/>
        </w:rPr>
      </w:pPr>
      <w:r>
        <w:rPr>
          <w:sz w:val="22"/>
          <w:szCs w:val="22"/>
        </w:rPr>
        <w:t>Cultural goods imports began a downward trajectory from 2012 onwards. Despite a brief upturn in 2017</w:t>
      </w:r>
      <w:r w:rsidR="00373C47">
        <w:rPr>
          <w:sz w:val="22"/>
          <w:szCs w:val="22"/>
        </w:rPr>
        <w:t>–</w:t>
      </w:r>
      <w:r>
        <w:rPr>
          <w:sz w:val="22"/>
          <w:szCs w:val="22"/>
        </w:rPr>
        <w:t>2018, the contraction in imports continued and became more marked after 2018.</w:t>
      </w:r>
      <w:r w:rsidR="007E16E4">
        <w:rPr>
          <w:sz w:val="22"/>
          <w:szCs w:val="22"/>
        </w:rPr>
        <w:t xml:space="preserve"> </w:t>
      </w:r>
      <w:r>
        <w:rPr>
          <w:sz w:val="22"/>
          <w:szCs w:val="22"/>
        </w:rPr>
        <w:t>While export growth was low in 2012</w:t>
      </w:r>
      <w:r w:rsidR="00373C47">
        <w:rPr>
          <w:sz w:val="22"/>
          <w:szCs w:val="22"/>
        </w:rPr>
        <w:t>–</w:t>
      </w:r>
      <w:r>
        <w:rPr>
          <w:sz w:val="22"/>
          <w:szCs w:val="22"/>
        </w:rPr>
        <w:t>2014, with a slight dip in 2014, exports grew steadily thereafter, and export growth accelerated for the 2017</w:t>
      </w:r>
      <w:r w:rsidR="00373C47">
        <w:rPr>
          <w:sz w:val="22"/>
          <w:szCs w:val="22"/>
        </w:rPr>
        <w:t>–</w:t>
      </w:r>
      <w:r>
        <w:rPr>
          <w:sz w:val="22"/>
          <w:szCs w:val="22"/>
        </w:rPr>
        <w:t>2018 period.</w:t>
      </w:r>
      <w:r w:rsidR="007E16E4">
        <w:rPr>
          <w:sz w:val="22"/>
          <w:szCs w:val="22"/>
        </w:rPr>
        <w:t xml:space="preserve"> </w:t>
      </w:r>
      <w:r>
        <w:rPr>
          <w:sz w:val="22"/>
          <w:szCs w:val="22"/>
        </w:rPr>
        <w:t>As a result, the trade deficit in cultural products narrowed to just US$24 million by 2018.</w:t>
      </w:r>
      <w:r>
        <w:rPr>
          <w:sz w:val="22"/>
          <w:szCs w:val="22"/>
          <w:vertAlign w:val="superscript"/>
        </w:rPr>
        <w:footnoteReference w:id="5"/>
      </w:r>
      <w:r w:rsidR="007E16E4">
        <w:rPr>
          <w:sz w:val="22"/>
          <w:szCs w:val="22"/>
        </w:rPr>
        <w:t xml:space="preserve"> </w:t>
      </w:r>
      <w:r>
        <w:rPr>
          <w:sz w:val="22"/>
          <w:szCs w:val="22"/>
        </w:rPr>
        <w:t>Although exports fell along with imports in both 2018</w:t>
      </w:r>
      <w:r w:rsidR="00373C47">
        <w:rPr>
          <w:sz w:val="22"/>
          <w:szCs w:val="22"/>
        </w:rPr>
        <w:t>–</w:t>
      </w:r>
      <w:r>
        <w:rPr>
          <w:sz w:val="22"/>
          <w:szCs w:val="22"/>
        </w:rPr>
        <w:t>2019 and (as a result of the global pandemic) in 2019</w:t>
      </w:r>
      <w:r w:rsidR="00373C47">
        <w:rPr>
          <w:sz w:val="22"/>
          <w:szCs w:val="22"/>
        </w:rPr>
        <w:t>–</w:t>
      </w:r>
      <w:r>
        <w:rPr>
          <w:sz w:val="22"/>
          <w:szCs w:val="22"/>
        </w:rPr>
        <w:t>2020, imports fell more rapidly.</w:t>
      </w:r>
      <w:r w:rsidR="007E16E4">
        <w:rPr>
          <w:sz w:val="22"/>
          <w:szCs w:val="22"/>
        </w:rPr>
        <w:t xml:space="preserve"> </w:t>
      </w:r>
      <w:r>
        <w:rPr>
          <w:sz w:val="22"/>
          <w:szCs w:val="22"/>
        </w:rPr>
        <w:t>The cultural goods trade deficit contracted further as a result, to US$13 million in 2019, then became a surplus of US$59 million in 2020 as exports exceeded imports for the first time over the period under study.</w:t>
      </w:r>
      <w:r w:rsidR="007E16E4">
        <w:rPr>
          <w:sz w:val="22"/>
          <w:szCs w:val="22"/>
        </w:rPr>
        <w:t xml:space="preserve"> </w:t>
      </w:r>
      <w:r>
        <w:rPr>
          <w:sz w:val="22"/>
          <w:szCs w:val="22"/>
        </w:rPr>
        <w:t>The unusual circumstances of the global COVID-19 pandemic severely affected trade flows in 2020.</w:t>
      </w:r>
      <w:r w:rsidR="007E16E4">
        <w:rPr>
          <w:sz w:val="22"/>
          <w:szCs w:val="22"/>
        </w:rPr>
        <w:t xml:space="preserve"> </w:t>
      </w:r>
      <w:r>
        <w:rPr>
          <w:sz w:val="22"/>
          <w:szCs w:val="22"/>
        </w:rPr>
        <w:t xml:space="preserve">The exporting environment was difficult, with a variety of local and international restrictions in place, while reduced incomes domestically impacted on import demand. </w:t>
      </w:r>
    </w:p>
    <w:p w14:paraId="000001D7" w14:textId="069F239E" w:rsidR="0039297D" w:rsidRDefault="004273CA" w:rsidP="00317A7E">
      <w:pPr>
        <w:spacing w:line="259" w:lineRule="auto"/>
        <w:rPr>
          <w:sz w:val="22"/>
          <w:szCs w:val="22"/>
        </w:rPr>
      </w:pPr>
      <w:r>
        <w:rPr>
          <w:sz w:val="22"/>
          <w:szCs w:val="22"/>
        </w:rPr>
        <w:t>Looking briefly at the most recent quarters, which were discussed more fully in Chapter 3, in the first quarter of 2021 there was a significant drop in cultural goods exports both relative to the same quarter in 2019 and 2020, and relative to cultural goods imports.</w:t>
      </w:r>
      <w:r w:rsidR="007E16E4">
        <w:rPr>
          <w:sz w:val="22"/>
          <w:szCs w:val="22"/>
        </w:rPr>
        <w:t xml:space="preserve"> </w:t>
      </w:r>
      <w:r>
        <w:rPr>
          <w:sz w:val="22"/>
          <w:szCs w:val="22"/>
        </w:rPr>
        <w:t>This was likely due to reduced economic activity during South Africa’s second wave of the COVID-19 pandemic.</w:t>
      </w:r>
      <w:r w:rsidR="007E16E4">
        <w:rPr>
          <w:sz w:val="22"/>
          <w:szCs w:val="22"/>
        </w:rPr>
        <w:t xml:space="preserve"> </w:t>
      </w:r>
      <w:r>
        <w:rPr>
          <w:sz w:val="22"/>
          <w:szCs w:val="22"/>
        </w:rPr>
        <w:t>On the other hand, while the cultural goods import recovery slowed in 2021Q1 compared to the previous two quarters, cultural goods imports, unlike exports, did not actually contract in 2021Q1.</w:t>
      </w:r>
      <w:r w:rsidR="007E16E4">
        <w:rPr>
          <w:sz w:val="22"/>
          <w:szCs w:val="22"/>
        </w:rPr>
        <w:t xml:space="preserve"> </w:t>
      </w:r>
      <w:r>
        <w:rPr>
          <w:sz w:val="22"/>
          <w:szCs w:val="22"/>
        </w:rPr>
        <w:t>By contrast, in 2021Q2, cultural goods exports recovered to above the 2019Q2 pre-pandemic level, while cultural goods imports fell relative to 2021Q1, but were at a similar level to 2019Q2.</w:t>
      </w:r>
      <w:r w:rsidR="007E16E4">
        <w:rPr>
          <w:sz w:val="22"/>
          <w:szCs w:val="22"/>
        </w:rPr>
        <w:t xml:space="preserve"> </w:t>
      </w:r>
    </w:p>
    <w:p w14:paraId="000001D8" w14:textId="77777777" w:rsidR="0039297D" w:rsidRDefault="004273CA">
      <w:pPr>
        <w:spacing w:line="259" w:lineRule="auto"/>
        <w:jc w:val="center"/>
        <w:rPr>
          <w:b/>
          <w:color w:val="2E75B5"/>
          <w:sz w:val="26"/>
          <w:szCs w:val="26"/>
        </w:rPr>
      </w:pPr>
      <w:r>
        <w:rPr>
          <w:noProof/>
          <w:lang w:val="en-ZA"/>
        </w:rPr>
        <w:lastRenderedPageBreak/>
        <w:drawing>
          <wp:inline distT="0" distB="0" distL="0" distR="0" wp14:anchorId="5CEE765A" wp14:editId="433F3E80">
            <wp:extent cx="5702300" cy="2698750"/>
            <wp:effectExtent l="0" t="0" r="0" b="0"/>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00001D9" w14:textId="1841E627" w:rsidR="0039297D" w:rsidRPr="000F15C3" w:rsidRDefault="004273CA" w:rsidP="000F15C3">
      <w:pPr>
        <w:pBdr>
          <w:top w:val="nil"/>
          <w:left w:val="nil"/>
          <w:bottom w:val="nil"/>
          <w:right w:val="nil"/>
          <w:between w:val="nil"/>
        </w:pBdr>
        <w:spacing w:before="120" w:line="259" w:lineRule="auto"/>
        <w:rPr>
          <w:i/>
          <w:color w:val="44546A"/>
        </w:rPr>
      </w:pPr>
      <w:bookmarkStart w:id="72" w:name="_heading=h.3tbugp1" w:colFirst="0" w:colLast="0"/>
      <w:bookmarkEnd w:id="72"/>
      <w:r w:rsidRPr="000F15C3">
        <w:rPr>
          <w:i/>
          <w:color w:val="44546A"/>
        </w:rPr>
        <w:t>Figure 11: South Africa</w:t>
      </w:r>
      <w:r w:rsidR="00792E6B" w:rsidRPr="000F15C3">
        <w:rPr>
          <w:i/>
          <w:color w:val="44546A"/>
        </w:rPr>
        <w:t>’</w:t>
      </w:r>
      <w:r w:rsidRPr="000F15C3">
        <w:rPr>
          <w:i/>
          <w:color w:val="44546A"/>
        </w:rPr>
        <w:t>s cultural goods trade in current US$ millions</w:t>
      </w:r>
    </w:p>
    <w:p w14:paraId="000001DA" w14:textId="7E491E06" w:rsidR="0039297D" w:rsidRPr="000F15C3" w:rsidRDefault="004273CA" w:rsidP="000F15C3">
      <w:pPr>
        <w:pBdr>
          <w:top w:val="nil"/>
          <w:left w:val="nil"/>
          <w:bottom w:val="nil"/>
          <w:right w:val="nil"/>
          <w:between w:val="nil"/>
        </w:pBdr>
        <w:spacing w:after="200" w:line="259" w:lineRule="auto"/>
        <w:rPr>
          <w:iCs/>
        </w:rPr>
      </w:pPr>
      <w:r w:rsidRPr="000F15C3">
        <w:rPr>
          <w:iCs/>
        </w:rPr>
        <w:t>Source: Authors’ computations based on data from ITC, 2021 and UN Comtrade, 2021</w:t>
      </w:r>
    </w:p>
    <w:p w14:paraId="000001DB" w14:textId="02EEE7F5" w:rsidR="0039297D" w:rsidRDefault="004273CA" w:rsidP="000F15C3">
      <w:pPr>
        <w:spacing w:line="259" w:lineRule="auto"/>
        <w:rPr>
          <w:sz w:val="22"/>
          <w:szCs w:val="22"/>
        </w:rPr>
      </w:pPr>
      <w:r>
        <w:rPr>
          <w:sz w:val="22"/>
          <w:szCs w:val="22"/>
        </w:rPr>
        <w:t>It is interesting to compare the trends in South Africa’s cultural goods trade with total commodity trade over the 2001-</w:t>
      </w:r>
      <w:r w:rsidR="00A74F53">
        <w:rPr>
          <w:sz w:val="22"/>
          <w:szCs w:val="22"/>
        </w:rPr>
        <w:t>–</w:t>
      </w:r>
      <w:r>
        <w:rPr>
          <w:sz w:val="22"/>
          <w:szCs w:val="22"/>
        </w:rPr>
        <w:t>2020 period.</w:t>
      </w:r>
      <w:r w:rsidR="007E16E4">
        <w:rPr>
          <w:sz w:val="22"/>
          <w:szCs w:val="22"/>
        </w:rPr>
        <w:t xml:space="preserve"> </w:t>
      </w:r>
      <w:r>
        <w:rPr>
          <w:sz w:val="22"/>
          <w:szCs w:val="22"/>
        </w:rPr>
        <w:t>Figure 12 depicts merchandise trade for the economy as a whole over the period under study.</w:t>
      </w:r>
      <w:r w:rsidR="007E16E4">
        <w:rPr>
          <w:sz w:val="22"/>
          <w:szCs w:val="22"/>
        </w:rPr>
        <w:t xml:space="preserve"> </w:t>
      </w:r>
      <w:r>
        <w:rPr>
          <w:sz w:val="22"/>
          <w:szCs w:val="22"/>
        </w:rPr>
        <w:t>As in the case of cultural goods trade, both total commodity exports and imports grew from the early 2000s through to 2007, with imports increasing more rapidly than exports, widening the deficit in total commodity trade.</w:t>
      </w:r>
      <w:r w:rsidR="007E16E4">
        <w:rPr>
          <w:sz w:val="22"/>
          <w:szCs w:val="22"/>
        </w:rPr>
        <w:t xml:space="preserve"> </w:t>
      </w:r>
      <w:r>
        <w:rPr>
          <w:sz w:val="22"/>
          <w:szCs w:val="22"/>
        </w:rPr>
        <w:t>The turning point associated with the global financial crisis, however, only took place in 2008 for total commodity imports, compared to 2007 for cultural goods imports, although commodity import growth did slow in 2007</w:t>
      </w:r>
      <w:r w:rsidR="00A74F53">
        <w:rPr>
          <w:sz w:val="22"/>
          <w:szCs w:val="22"/>
        </w:rPr>
        <w:t>–</w:t>
      </w:r>
      <w:r>
        <w:rPr>
          <w:sz w:val="22"/>
          <w:szCs w:val="22"/>
        </w:rPr>
        <w:t>2008.</w:t>
      </w:r>
      <w:r w:rsidR="007E16E4">
        <w:rPr>
          <w:sz w:val="22"/>
          <w:szCs w:val="22"/>
        </w:rPr>
        <w:t xml:space="preserve"> </w:t>
      </w:r>
      <w:r>
        <w:rPr>
          <w:sz w:val="22"/>
          <w:szCs w:val="22"/>
        </w:rPr>
        <w:t>Total commodity exports grew more rapidly than cultural goods exports up until 2008, except for a brief period in the early 2000s.</w:t>
      </w:r>
      <w:r w:rsidR="007E16E4">
        <w:rPr>
          <w:sz w:val="22"/>
          <w:szCs w:val="22"/>
        </w:rPr>
        <w:t xml:space="preserve"> </w:t>
      </w:r>
      <w:r>
        <w:rPr>
          <w:sz w:val="22"/>
          <w:szCs w:val="22"/>
        </w:rPr>
        <w:t>Merchandise trade contracted sharply in 2008</w:t>
      </w:r>
      <w:r w:rsidR="00A74F53">
        <w:rPr>
          <w:sz w:val="22"/>
          <w:szCs w:val="22"/>
        </w:rPr>
        <w:t>–</w:t>
      </w:r>
      <w:r>
        <w:rPr>
          <w:sz w:val="22"/>
          <w:szCs w:val="22"/>
        </w:rPr>
        <w:t>2009 during the fallout from the global financial crisis.</w:t>
      </w:r>
      <w:r w:rsidR="007E16E4">
        <w:rPr>
          <w:sz w:val="22"/>
          <w:szCs w:val="22"/>
        </w:rPr>
        <w:t xml:space="preserve"> </w:t>
      </w:r>
      <w:r>
        <w:rPr>
          <w:sz w:val="22"/>
          <w:szCs w:val="22"/>
        </w:rPr>
        <w:t>As in the case of cultural goods trade in this period, imports decreased more quickly than exports, narrowing the merchandise trade deficit somewhat.</w:t>
      </w:r>
    </w:p>
    <w:p w14:paraId="000001DC" w14:textId="58CD82C7" w:rsidR="0039297D" w:rsidRDefault="004273CA" w:rsidP="000F15C3">
      <w:pPr>
        <w:spacing w:line="259" w:lineRule="auto"/>
        <w:rPr>
          <w:sz w:val="22"/>
          <w:szCs w:val="22"/>
        </w:rPr>
      </w:pPr>
      <w:r>
        <w:rPr>
          <w:sz w:val="22"/>
          <w:szCs w:val="22"/>
        </w:rPr>
        <w:t>Unlike the case with cultural goods trade, however, commodity exports recovered more strongly than imports after 2009, enough for the merchandise trade balance to turn into a surplus in 2011.</w:t>
      </w:r>
      <w:r w:rsidR="007E16E4">
        <w:rPr>
          <w:sz w:val="22"/>
          <w:szCs w:val="22"/>
        </w:rPr>
        <w:t xml:space="preserve"> </w:t>
      </w:r>
      <w:r>
        <w:rPr>
          <w:sz w:val="22"/>
          <w:szCs w:val="22"/>
        </w:rPr>
        <w:t xml:space="preserve">This was short-lived, </w:t>
      </w:r>
      <w:r w:rsidR="00A74F53">
        <w:rPr>
          <w:sz w:val="22"/>
          <w:szCs w:val="22"/>
        </w:rPr>
        <w:t>however</w:t>
      </w:r>
      <w:r>
        <w:rPr>
          <w:sz w:val="22"/>
          <w:szCs w:val="22"/>
        </w:rPr>
        <w:t>, as both exports and imports began to decline, with exports contracting only marginally slower than imports between 2012 and 2015.</w:t>
      </w:r>
      <w:r w:rsidR="007E16E4">
        <w:rPr>
          <w:sz w:val="22"/>
          <w:szCs w:val="22"/>
        </w:rPr>
        <w:t xml:space="preserve"> </w:t>
      </w:r>
      <w:r>
        <w:rPr>
          <w:sz w:val="22"/>
          <w:szCs w:val="22"/>
        </w:rPr>
        <w:t>For this period, the trends in cultural goods exports and total merchandise exports can be seen to diverge, since the cultural exports increased (as noted above) from 2011 right through to 2018, with the exception of a minimal reduction in 2014. By contrast with the situation in the 2000s, growth in cultural goods exports exceeded that of commodity exports for most of the 2010s, although this was reversed in the most recent period from 2018</w:t>
      </w:r>
      <w:r w:rsidR="00A74F53">
        <w:rPr>
          <w:sz w:val="22"/>
          <w:szCs w:val="22"/>
        </w:rPr>
        <w:t>–</w:t>
      </w:r>
      <w:r>
        <w:rPr>
          <w:sz w:val="22"/>
          <w:szCs w:val="22"/>
        </w:rPr>
        <w:t>2020.</w:t>
      </w:r>
      <w:r w:rsidR="007E16E4">
        <w:rPr>
          <w:sz w:val="22"/>
          <w:szCs w:val="22"/>
        </w:rPr>
        <w:t xml:space="preserve"> </w:t>
      </w:r>
      <w:r>
        <w:rPr>
          <w:sz w:val="22"/>
          <w:szCs w:val="22"/>
        </w:rPr>
        <w:t>Cultural good import growth, on the other hand, fell more rapidly or increased more slowly than that of total commodity imports for most of the 2010s.</w:t>
      </w:r>
      <w:r>
        <w:rPr>
          <w:sz w:val="22"/>
          <w:szCs w:val="22"/>
          <w:vertAlign w:val="superscript"/>
        </w:rPr>
        <w:footnoteReference w:id="6"/>
      </w:r>
    </w:p>
    <w:p w14:paraId="000001DD" w14:textId="5F1F03A7" w:rsidR="0039297D" w:rsidRDefault="004273CA" w:rsidP="00A74F53">
      <w:pPr>
        <w:spacing w:line="259" w:lineRule="auto"/>
        <w:rPr>
          <w:sz w:val="22"/>
          <w:szCs w:val="22"/>
        </w:rPr>
      </w:pPr>
      <w:r>
        <w:rPr>
          <w:sz w:val="22"/>
          <w:szCs w:val="22"/>
        </w:rPr>
        <w:t xml:space="preserve">As Figure 12 indicates, from 2016 to 2018 total commodity trade grew once again, with a return to a trade surplus. The surplus was maintained when commodity trade contracted in </w:t>
      </w:r>
      <w:r>
        <w:rPr>
          <w:sz w:val="22"/>
          <w:szCs w:val="22"/>
        </w:rPr>
        <w:lastRenderedPageBreak/>
        <w:t>the 2018</w:t>
      </w:r>
      <w:r w:rsidR="00CB46C5">
        <w:rPr>
          <w:sz w:val="22"/>
          <w:szCs w:val="22"/>
        </w:rPr>
        <w:t>–</w:t>
      </w:r>
      <w:r>
        <w:rPr>
          <w:sz w:val="22"/>
          <w:szCs w:val="22"/>
        </w:rPr>
        <w:t>2020 period as imports declined more rapidly than exports. The trade surplus in 2020 was the highest for the period under study.</w:t>
      </w:r>
      <w:r w:rsidR="007E16E4">
        <w:rPr>
          <w:sz w:val="22"/>
          <w:szCs w:val="22"/>
        </w:rPr>
        <w:t xml:space="preserve"> </w:t>
      </w:r>
      <w:r>
        <w:rPr>
          <w:sz w:val="22"/>
          <w:szCs w:val="22"/>
        </w:rPr>
        <w:t>For cultural goods trade, in the period from 2019 to 2020, imports also contracted faster than exports, yielding the only cultural trade surplus in the period covered by the study.</w:t>
      </w:r>
      <w:r w:rsidR="007E16E4">
        <w:rPr>
          <w:sz w:val="22"/>
          <w:szCs w:val="22"/>
        </w:rPr>
        <w:t xml:space="preserve"> </w:t>
      </w:r>
      <w:r>
        <w:rPr>
          <w:sz w:val="22"/>
          <w:szCs w:val="22"/>
        </w:rPr>
        <w:t>In the first quarter of 2021, the cultural goods trade surplus reverted to a deficit, however the surplus was restored in the second quarter.</w:t>
      </w:r>
      <w:r w:rsidR="007E16E4">
        <w:rPr>
          <w:sz w:val="22"/>
          <w:szCs w:val="22"/>
        </w:rPr>
        <w:t xml:space="preserve"> </w:t>
      </w:r>
      <w:r>
        <w:rPr>
          <w:sz w:val="22"/>
          <w:szCs w:val="22"/>
        </w:rPr>
        <w:t xml:space="preserve">It is noteworthy, however, that total commodity exports and imports both performed significantly better than cultural goods exports and imports in the first two quarters of 2021. </w:t>
      </w:r>
    </w:p>
    <w:p w14:paraId="000001DE" w14:textId="6FF155D6" w:rsidR="0039297D" w:rsidRDefault="004273CA" w:rsidP="000F15C3">
      <w:pPr>
        <w:spacing w:line="259" w:lineRule="auto"/>
        <w:rPr>
          <w:sz w:val="22"/>
          <w:szCs w:val="22"/>
        </w:rPr>
      </w:pPr>
      <w:r>
        <w:rPr>
          <w:sz w:val="22"/>
          <w:szCs w:val="22"/>
        </w:rPr>
        <w:t>A final interesting point of comparison is to consider the trade balance as a proportion of total trade for cultural goods trade on the one hand and total commodity trade on the other, given the differences in scale of the absolute trade data presented in Figures 11 and 12.</w:t>
      </w:r>
      <w:r w:rsidR="007E16E4">
        <w:rPr>
          <w:sz w:val="22"/>
          <w:szCs w:val="22"/>
        </w:rPr>
        <w:t xml:space="preserve"> </w:t>
      </w:r>
      <w:r>
        <w:rPr>
          <w:sz w:val="22"/>
          <w:szCs w:val="22"/>
        </w:rPr>
        <w:t>As noted earlier, South Africa experienced a cultural goods trade deficit for the whole period under study, except for 2020. In addition, for most of that period, at least up to 2016, the cultural goods trade deficit was between 26</w:t>
      </w:r>
      <w:r w:rsidR="00D119BE">
        <w:rPr>
          <w:sz w:val="22"/>
          <w:szCs w:val="22"/>
        </w:rPr>
        <w:t>%</w:t>
      </w:r>
      <w:r>
        <w:rPr>
          <w:sz w:val="22"/>
          <w:szCs w:val="22"/>
        </w:rPr>
        <w:t xml:space="preserve"> and 54</w:t>
      </w:r>
      <w:r w:rsidR="00D119BE">
        <w:rPr>
          <w:sz w:val="22"/>
          <w:szCs w:val="22"/>
        </w:rPr>
        <w:t>%</w:t>
      </w:r>
      <w:r>
        <w:rPr>
          <w:sz w:val="22"/>
          <w:szCs w:val="22"/>
        </w:rPr>
        <w:t xml:space="preserve"> of total cultural goods trade.</w:t>
      </w:r>
      <w:r w:rsidR="007E16E4">
        <w:rPr>
          <w:sz w:val="22"/>
          <w:szCs w:val="22"/>
        </w:rPr>
        <w:t xml:space="preserve"> </w:t>
      </w:r>
      <w:r>
        <w:rPr>
          <w:sz w:val="22"/>
          <w:szCs w:val="22"/>
        </w:rPr>
        <w:t>By contrast, in the years for which total commodity trade was in deficit, that deficit was generally between 2</w:t>
      </w:r>
      <w:r w:rsidR="00D119BE">
        <w:rPr>
          <w:sz w:val="22"/>
          <w:szCs w:val="22"/>
        </w:rPr>
        <w:t>%</w:t>
      </w:r>
      <w:r>
        <w:rPr>
          <w:sz w:val="22"/>
          <w:szCs w:val="22"/>
        </w:rPr>
        <w:t xml:space="preserve"> and 13</w:t>
      </w:r>
      <w:r w:rsidR="00D119BE">
        <w:rPr>
          <w:sz w:val="22"/>
          <w:szCs w:val="22"/>
        </w:rPr>
        <w:t>%</w:t>
      </w:r>
      <w:r>
        <w:rPr>
          <w:sz w:val="22"/>
          <w:szCs w:val="22"/>
        </w:rPr>
        <w:t xml:space="preserve"> of total commodity trade.</w:t>
      </w:r>
      <w:r w:rsidR="007E16E4">
        <w:rPr>
          <w:sz w:val="22"/>
          <w:szCs w:val="22"/>
        </w:rPr>
        <w:t xml:space="preserve"> </w:t>
      </w:r>
      <w:r>
        <w:rPr>
          <w:sz w:val="22"/>
          <w:szCs w:val="22"/>
        </w:rPr>
        <w:t>This indicates that the trade imbalances are, relatively speaking, much greater for cultural goods trade than for merchandise trade as a whole.</w:t>
      </w:r>
      <w:r w:rsidR="007E16E4">
        <w:rPr>
          <w:sz w:val="22"/>
          <w:szCs w:val="22"/>
        </w:rPr>
        <w:t xml:space="preserve"> </w:t>
      </w:r>
      <w:r>
        <w:rPr>
          <w:sz w:val="22"/>
          <w:szCs w:val="22"/>
        </w:rPr>
        <w:t>Export promotion in the cultural and creative industries sector could both address these imbalances and create jobs.</w:t>
      </w:r>
      <w:r w:rsidR="007E16E4">
        <w:rPr>
          <w:sz w:val="22"/>
          <w:szCs w:val="22"/>
        </w:rPr>
        <w:t xml:space="preserve"> </w:t>
      </w:r>
    </w:p>
    <w:p w14:paraId="000001DF" w14:textId="77777777" w:rsidR="0039297D" w:rsidRDefault="004273CA">
      <w:pPr>
        <w:spacing w:line="259" w:lineRule="auto"/>
        <w:jc w:val="left"/>
        <w:rPr>
          <w:b/>
          <w:color w:val="2E75B5"/>
          <w:sz w:val="26"/>
          <w:szCs w:val="26"/>
        </w:rPr>
      </w:pPr>
      <w:r>
        <w:rPr>
          <w:noProof/>
          <w:lang w:val="en-ZA"/>
        </w:rPr>
        <w:drawing>
          <wp:inline distT="0" distB="0" distL="0" distR="0" wp14:anchorId="6C4D8C3D" wp14:editId="7609F4E5">
            <wp:extent cx="5607050" cy="2622550"/>
            <wp:effectExtent l="0" t="0" r="0" b="0"/>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00001E0" w14:textId="1876F39F" w:rsidR="0039297D" w:rsidRPr="000F15C3" w:rsidRDefault="004273CA" w:rsidP="000F15C3">
      <w:pPr>
        <w:pBdr>
          <w:top w:val="nil"/>
          <w:left w:val="nil"/>
          <w:bottom w:val="nil"/>
          <w:right w:val="nil"/>
          <w:between w:val="nil"/>
        </w:pBdr>
        <w:spacing w:before="120" w:line="259" w:lineRule="auto"/>
        <w:rPr>
          <w:i/>
          <w:color w:val="44546A"/>
        </w:rPr>
      </w:pPr>
      <w:bookmarkStart w:id="73" w:name="_heading=h.28h4qwu" w:colFirst="0" w:colLast="0"/>
      <w:bookmarkEnd w:id="73"/>
      <w:r w:rsidRPr="000F15C3">
        <w:rPr>
          <w:i/>
          <w:color w:val="44546A"/>
        </w:rPr>
        <w:t>Figure 12:</w:t>
      </w:r>
      <w:r w:rsidR="00CB46C5" w:rsidRPr="000F15C3">
        <w:rPr>
          <w:i/>
          <w:color w:val="44546A"/>
        </w:rPr>
        <w:t xml:space="preserve"> </w:t>
      </w:r>
      <w:r w:rsidRPr="000F15C3">
        <w:rPr>
          <w:i/>
          <w:color w:val="44546A"/>
        </w:rPr>
        <w:t>South Africa</w:t>
      </w:r>
      <w:r w:rsidR="00792E6B" w:rsidRPr="000F15C3">
        <w:rPr>
          <w:i/>
          <w:color w:val="44546A"/>
        </w:rPr>
        <w:t>’</w:t>
      </w:r>
      <w:r w:rsidRPr="000F15C3">
        <w:rPr>
          <w:i/>
          <w:color w:val="44546A"/>
        </w:rPr>
        <w:t>s total commodity trade in current US$ millions</w:t>
      </w:r>
    </w:p>
    <w:p w14:paraId="000001E1" w14:textId="399DAFE6" w:rsidR="0039297D" w:rsidRPr="000F15C3" w:rsidRDefault="004273CA" w:rsidP="000F15C3">
      <w:pPr>
        <w:pBdr>
          <w:top w:val="nil"/>
          <w:left w:val="nil"/>
          <w:bottom w:val="nil"/>
          <w:right w:val="nil"/>
          <w:between w:val="nil"/>
        </w:pBdr>
        <w:spacing w:line="259" w:lineRule="auto"/>
        <w:rPr>
          <w:iCs/>
          <w:sz w:val="24"/>
          <w:szCs w:val="24"/>
        </w:rPr>
      </w:pPr>
      <w:r w:rsidRPr="000F15C3">
        <w:rPr>
          <w:iCs/>
        </w:rPr>
        <w:t>Source: ITC, 2021 and UN Comtrade, 2021</w:t>
      </w:r>
    </w:p>
    <w:p w14:paraId="000001E2" w14:textId="6D9C08A8" w:rsidR="0039297D" w:rsidRDefault="004273CA" w:rsidP="000F15C3">
      <w:pPr>
        <w:spacing w:line="259" w:lineRule="auto"/>
        <w:rPr>
          <w:sz w:val="22"/>
          <w:szCs w:val="22"/>
        </w:rPr>
      </w:pPr>
      <w:r>
        <w:rPr>
          <w:sz w:val="22"/>
          <w:szCs w:val="22"/>
        </w:rPr>
        <w:t>Based on the data underlying the preceding discussion on South Africa’s cultural goods trade relative to total commodity trade, Table 7 and Figure 13 below illustrate the corresponding trends in the proportion of the country’s cultural goods exports and imports as shares of total commodity exports and imports respectively.</w:t>
      </w:r>
      <w:r w:rsidR="007E16E4">
        <w:rPr>
          <w:sz w:val="22"/>
          <w:szCs w:val="22"/>
        </w:rPr>
        <w:t xml:space="preserve"> </w:t>
      </w:r>
      <w:r>
        <w:rPr>
          <w:sz w:val="22"/>
          <w:szCs w:val="22"/>
        </w:rPr>
        <w:t>The table shows the evolution of these shares for selected years only, while the figure includes all the years from 2001 to 2020.</w:t>
      </w:r>
    </w:p>
    <w:p w14:paraId="000001E3" w14:textId="679FA90C" w:rsidR="0039297D" w:rsidRDefault="004273CA" w:rsidP="000F15C3">
      <w:pPr>
        <w:spacing w:line="259" w:lineRule="auto"/>
        <w:rPr>
          <w:sz w:val="22"/>
          <w:szCs w:val="22"/>
        </w:rPr>
      </w:pPr>
      <w:r>
        <w:rPr>
          <w:sz w:val="22"/>
          <w:szCs w:val="22"/>
        </w:rPr>
        <w:t>In line with the trends discussed earlier, the share of cultural goods exports in total commodity exports rose from 0.35% (US$89.743 million in absolute terms) in 2001 to 0.49% (US$112.585 million) in 2002, during the brief period in the early 2000s when cultural goods exports grew more rapidly than total commodity exports.</w:t>
      </w:r>
      <w:r w:rsidR="007E16E4">
        <w:rPr>
          <w:sz w:val="22"/>
          <w:szCs w:val="22"/>
        </w:rPr>
        <w:t xml:space="preserve"> </w:t>
      </w:r>
      <w:r>
        <w:rPr>
          <w:sz w:val="22"/>
          <w:szCs w:val="22"/>
        </w:rPr>
        <w:t>Subsequent to this, the cultural goods export share fell annually from 2002</w:t>
      </w:r>
      <w:r w:rsidR="003B1DC6">
        <w:rPr>
          <w:sz w:val="22"/>
          <w:szCs w:val="22"/>
        </w:rPr>
        <w:t>–</w:t>
      </w:r>
      <w:r>
        <w:rPr>
          <w:sz w:val="22"/>
          <w:szCs w:val="22"/>
        </w:rPr>
        <w:t>2003 (0.45%) up to 2006</w:t>
      </w:r>
      <w:r w:rsidR="003B1DC6">
        <w:rPr>
          <w:sz w:val="22"/>
          <w:szCs w:val="22"/>
        </w:rPr>
        <w:t>–</w:t>
      </w:r>
      <w:r>
        <w:rPr>
          <w:sz w:val="22"/>
          <w:szCs w:val="22"/>
        </w:rPr>
        <w:t>2007 (0.30%) (Figure 13).</w:t>
      </w:r>
      <w:r w:rsidR="007E16E4">
        <w:rPr>
          <w:sz w:val="22"/>
          <w:szCs w:val="22"/>
        </w:rPr>
        <w:t xml:space="preserve"> </w:t>
      </w:r>
      <w:r>
        <w:rPr>
          <w:sz w:val="22"/>
          <w:szCs w:val="22"/>
        </w:rPr>
        <w:t>This reflects the period when both cultural goods exports and total commodity exports were growing, but total commodity exports grew faster.</w:t>
      </w:r>
      <w:r w:rsidR="007E16E4">
        <w:rPr>
          <w:sz w:val="22"/>
          <w:szCs w:val="22"/>
        </w:rPr>
        <w:t xml:space="preserve"> </w:t>
      </w:r>
      <w:r>
        <w:rPr>
          <w:sz w:val="22"/>
          <w:szCs w:val="22"/>
        </w:rPr>
        <w:t>Cultural goods exports grew faster in 2007</w:t>
      </w:r>
      <w:r w:rsidR="003B1DC6">
        <w:rPr>
          <w:sz w:val="22"/>
          <w:szCs w:val="22"/>
        </w:rPr>
        <w:t>–</w:t>
      </w:r>
      <w:r>
        <w:rPr>
          <w:sz w:val="22"/>
          <w:szCs w:val="22"/>
        </w:rPr>
        <w:t xml:space="preserve">2008 and the </w:t>
      </w:r>
      <w:r>
        <w:rPr>
          <w:sz w:val="22"/>
          <w:szCs w:val="22"/>
        </w:rPr>
        <w:lastRenderedPageBreak/>
        <w:t>share rose slightly to 0.32% (US$235.077 million in absolute terms), before falling again and fluctuating during and in the immediate aftermath of the global financial crisis.</w:t>
      </w:r>
      <w:r w:rsidR="007E16E4">
        <w:rPr>
          <w:sz w:val="22"/>
          <w:szCs w:val="22"/>
        </w:rPr>
        <w:t xml:space="preserve"> </w:t>
      </w:r>
      <w:r>
        <w:rPr>
          <w:sz w:val="22"/>
          <w:szCs w:val="22"/>
        </w:rPr>
        <w:t>From 2011 up until 2016, the share of cultural goods exports in total commodity exports increased to 0.44% (US$338.564 million).</w:t>
      </w:r>
      <w:r w:rsidR="007E16E4">
        <w:rPr>
          <w:sz w:val="22"/>
          <w:szCs w:val="22"/>
        </w:rPr>
        <w:t xml:space="preserve"> </w:t>
      </w:r>
      <w:r>
        <w:rPr>
          <w:sz w:val="22"/>
          <w:szCs w:val="22"/>
        </w:rPr>
        <w:t>This was the period when cultural goods exports and total merchandise exports experienced diverging trends, with the former increasing and the latter contracting during these years. From 2016</w:t>
      </w:r>
      <w:r w:rsidR="000A6989">
        <w:rPr>
          <w:sz w:val="22"/>
          <w:szCs w:val="22"/>
        </w:rPr>
        <w:t>–</w:t>
      </w:r>
      <w:r>
        <w:rPr>
          <w:sz w:val="22"/>
          <w:szCs w:val="22"/>
        </w:rPr>
        <w:t>2017, the cultural goods export share fell slightly as commodity export growth recovered, but rose again in 2017</w:t>
      </w:r>
      <w:r w:rsidR="000A6989">
        <w:rPr>
          <w:sz w:val="22"/>
          <w:szCs w:val="22"/>
        </w:rPr>
        <w:t>–</w:t>
      </w:r>
      <w:r>
        <w:rPr>
          <w:sz w:val="22"/>
          <w:szCs w:val="22"/>
        </w:rPr>
        <w:t>2018. Since 2018, the cultural goods export share has fallen, reaching 0.37% in 2020.</w:t>
      </w:r>
      <w:r w:rsidR="007E16E4">
        <w:rPr>
          <w:sz w:val="22"/>
          <w:szCs w:val="22"/>
        </w:rPr>
        <w:t xml:space="preserve"> </w:t>
      </w:r>
      <w:r>
        <w:rPr>
          <w:sz w:val="22"/>
          <w:szCs w:val="22"/>
        </w:rPr>
        <w:t>Both cultural goods exports and total commodity exports contracted in the 2018</w:t>
      </w:r>
      <w:r w:rsidR="000A6989">
        <w:rPr>
          <w:sz w:val="22"/>
          <w:szCs w:val="22"/>
        </w:rPr>
        <w:t>–</w:t>
      </w:r>
      <w:r>
        <w:rPr>
          <w:sz w:val="22"/>
          <w:szCs w:val="22"/>
        </w:rPr>
        <w:t>2020 period, with cultural goods exports declining more rapidly.</w:t>
      </w:r>
      <w:r w:rsidR="007E16E4">
        <w:rPr>
          <w:sz w:val="22"/>
          <w:szCs w:val="22"/>
        </w:rPr>
        <w:t xml:space="preserve"> </w:t>
      </w:r>
      <w:r>
        <w:rPr>
          <w:sz w:val="22"/>
          <w:szCs w:val="22"/>
        </w:rPr>
        <w:t>Despite this, the cultural goods export share has fluctuated within a comparatively narrow range within the period under study, reaching a low of 0.23% in 2011 following a high of 0.49% in 2002.</w:t>
      </w:r>
    </w:p>
    <w:p w14:paraId="000001E4" w14:textId="74D8BD8B" w:rsidR="0039297D" w:rsidRDefault="004273CA" w:rsidP="000F15C3">
      <w:pPr>
        <w:spacing w:line="259" w:lineRule="auto"/>
        <w:rPr>
          <w:sz w:val="22"/>
          <w:szCs w:val="22"/>
        </w:rPr>
      </w:pPr>
      <w:r>
        <w:rPr>
          <w:sz w:val="22"/>
          <w:szCs w:val="22"/>
        </w:rPr>
        <w:t>The proportion of cultural goods imports as a share of total commodity imports was consistently higher than the corresponding export share over the period under study, although the two have converged in recent years (Table 7 and Figure 13).</w:t>
      </w:r>
      <w:r w:rsidR="007E16E4">
        <w:rPr>
          <w:sz w:val="22"/>
          <w:szCs w:val="22"/>
        </w:rPr>
        <w:t xml:space="preserve"> </w:t>
      </w:r>
      <w:r>
        <w:rPr>
          <w:sz w:val="22"/>
          <w:szCs w:val="22"/>
        </w:rPr>
        <w:t>The cultural goods import share increased from 2001 to 2002, like the export share, but by less proportionately (from 0.70% to 0.76% versus 0.35% to 0.49% for the export share).</w:t>
      </w:r>
      <w:r w:rsidR="007E16E4">
        <w:rPr>
          <w:sz w:val="22"/>
          <w:szCs w:val="22"/>
        </w:rPr>
        <w:t xml:space="preserve"> </w:t>
      </w:r>
      <w:r>
        <w:rPr>
          <w:sz w:val="22"/>
          <w:szCs w:val="22"/>
        </w:rPr>
        <w:t>After a small dip in 2002</w:t>
      </w:r>
      <w:r w:rsidR="000A6989">
        <w:rPr>
          <w:sz w:val="22"/>
          <w:szCs w:val="22"/>
        </w:rPr>
        <w:t>–</w:t>
      </w:r>
      <w:r>
        <w:rPr>
          <w:sz w:val="22"/>
          <w:szCs w:val="22"/>
        </w:rPr>
        <w:t>2003, the share of cultural goods imports in total commodity imports increased over the next few years, from 0.70% (US$242.552 million) in 2003 to a high of 0.88% (US$601.067 million) in 2006 as cultural good</w:t>
      </w:r>
      <w:r w:rsidR="000A6989">
        <w:rPr>
          <w:sz w:val="22"/>
          <w:szCs w:val="22"/>
        </w:rPr>
        <w:t>s</w:t>
      </w:r>
      <w:r>
        <w:rPr>
          <w:sz w:val="22"/>
          <w:szCs w:val="22"/>
        </w:rPr>
        <w:t xml:space="preserve"> import growth exceeded total merchandise import growth.</w:t>
      </w:r>
      <w:r w:rsidR="007E16E4">
        <w:rPr>
          <w:sz w:val="22"/>
          <w:szCs w:val="22"/>
        </w:rPr>
        <w:t xml:space="preserve"> </w:t>
      </w:r>
      <w:r>
        <w:rPr>
          <w:sz w:val="22"/>
          <w:szCs w:val="22"/>
        </w:rPr>
        <w:t>The cultural goods import share subsequently fell, then remained relatively steady during 2008</w:t>
      </w:r>
      <w:r w:rsidR="000A6989">
        <w:rPr>
          <w:sz w:val="22"/>
          <w:szCs w:val="22"/>
        </w:rPr>
        <w:t>–</w:t>
      </w:r>
      <w:r>
        <w:rPr>
          <w:sz w:val="22"/>
          <w:szCs w:val="22"/>
        </w:rPr>
        <w:t>2009 at around 0.69% (US$443.004 million in absolute terms), as both cultural goods imports and total commodity imports contracted due to the fallout from the global financial crisis.</w:t>
      </w:r>
      <w:r w:rsidR="007E16E4">
        <w:rPr>
          <w:sz w:val="22"/>
          <w:szCs w:val="22"/>
        </w:rPr>
        <w:t xml:space="preserve"> </w:t>
      </w:r>
      <w:r>
        <w:rPr>
          <w:sz w:val="22"/>
          <w:szCs w:val="22"/>
        </w:rPr>
        <w:t>Since total merchandise imports recovered more strongly after the crisis than cultural goods imports, the cultural goods import share fell again in 2010</w:t>
      </w:r>
      <w:r w:rsidR="000A6989">
        <w:rPr>
          <w:sz w:val="22"/>
          <w:szCs w:val="22"/>
        </w:rPr>
        <w:t>–</w:t>
      </w:r>
      <w:r>
        <w:rPr>
          <w:sz w:val="22"/>
          <w:szCs w:val="22"/>
        </w:rPr>
        <w:t>2011, to 0.60%.</w:t>
      </w:r>
      <w:r w:rsidR="007E16E4">
        <w:rPr>
          <w:sz w:val="22"/>
          <w:szCs w:val="22"/>
        </w:rPr>
        <w:t xml:space="preserve"> </w:t>
      </w:r>
      <w:r>
        <w:rPr>
          <w:sz w:val="22"/>
          <w:szCs w:val="22"/>
        </w:rPr>
        <w:t>This pattern reversed for 2011</w:t>
      </w:r>
      <w:r w:rsidR="000A6989">
        <w:rPr>
          <w:sz w:val="22"/>
          <w:szCs w:val="22"/>
        </w:rPr>
        <w:t>–</w:t>
      </w:r>
      <w:r>
        <w:rPr>
          <w:sz w:val="22"/>
          <w:szCs w:val="22"/>
        </w:rPr>
        <w:t>2012 and the import share rose to 0.65% (US$673.437 million in absolute terms).</w:t>
      </w:r>
      <w:r w:rsidR="007E16E4">
        <w:rPr>
          <w:sz w:val="22"/>
          <w:szCs w:val="22"/>
        </w:rPr>
        <w:t xml:space="preserve"> </w:t>
      </w:r>
      <w:r>
        <w:rPr>
          <w:sz w:val="22"/>
          <w:szCs w:val="22"/>
        </w:rPr>
        <w:t>From 2012 onwards, both cultural goods imports and total commodity imports began to decline once again.</w:t>
      </w:r>
      <w:r w:rsidR="007E16E4">
        <w:rPr>
          <w:sz w:val="22"/>
          <w:szCs w:val="22"/>
        </w:rPr>
        <w:t xml:space="preserve"> </w:t>
      </w:r>
      <w:r>
        <w:rPr>
          <w:sz w:val="22"/>
          <w:szCs w:val="22"/>
        </w:rPr>
        <w:t>Cultural goods imports declined marginally faster initially, and the cultural import share had dropped to 0.61% by 2015.</w:t>
      </w:r>
      <w:r w:rsidR="007E16E4">
        <w:rPr>
          <w:sz w:val="22"/>
          <w:szCs w:val="22"/>
        </w:rPr>
        <w:t xml:space="preserve"> </w:t>
      </w:r>
      <w:r>
        <w:rPr>
          <w:sz w:val="22"/>
          <w:szCs w:val="22"/>
        </w:rPr>
        <w:t>It increased up to 0.66% in 2016 but fell for the rest of the period, reaching a low of 0.38% of total commodity imports in 2020.</w:t>
      </w:r>
      <w:r>
        <w:rPr>
          <w:sz w:val="22"/>
          <w:szCs w:val="22"/>
          <w:vertAlign w:val="superscript"/>
        </w:rPr>
        <w:footnoteReference w:id="7"/>
      </w:r>
      <w:r w:rsidR="007E16E4">
        <w:rPr>
          <w:sz w:val="22"/>
          <w:szCs w:val="22"/>
        </w:rPr>
        <w:t xml:space="preserve"> </w:t>
      </w:r>
      <w:r>
        <w:rPr>
          <w:sz w:val="22"/>
          <w:szCs w:val="22"/>
        </w:rPr>
        <w:t>Cultural goods imports increased more slowly than merchandise imports in 2017</w:t>
      </w:r>
      <w:r w:rsidR="000A6989">
        <w:rPr>
          <w:sz w:val="22"/>
          <w:szCs w:val="22"/>
        </w:rPr>
        <w:t>–</w:t>
      </w:r>
      <w:r>
        <w:rPr>
          <w:sz w:val="22"/>
          <w:szCs w:val="22"/>
        </w:rPr>
        <w:t>2018 and fell more rapidly thereafter.</w:t>
      </w:r>
      <w:r w:rsidR="007E16E4">
        <w:rPr>
          <w:sz w:val="22"/>
          <w:szCs w:val="22"/>
        </w:rPr>
        <w:t xml:space="preserve"> </w:t>
      </w:r>
    </w:p>
    <w:p w14:paraId="000001E5" w14:textId="45111E76" w:rsidR="0039297D" w:rsidRDefault="004273CA" w:rsidP="000F15C3">
      <w:pPr>
        <w:spacing w:line="259" w:lineRule="auto"/>
        <w:rPr>
          <w:sz w:val="22"/>
          <w:szCs w:val="22"/>
        </w:rPr>
      </w:pPr>
      <w:r>
        <w:rPr>
          <w:sz w:val="22"/>
          <w:szCs w:val="22"/>
        </w:rPr>
        <w:t>It is noteworthy that the convergence in the shares of cultural exports to total exports and cultural imports to total imports in the face of a contraction in trade between 2018 and 2020 has primarily been due to the decline of the import share.</w:t>
      </w:r>
      <w:r w:rsidR="007E16E4">
        <w:rPr>
          <w:sz w:val="22"/>
          <w:szCs w:val="22"/>
        </w:rPr>
        <w:t xml:space="preserve"> </w:t>
      </w:r>
      <w:r>
        <w:rPr>
          <w:sz w:val="22"/>
          <w:szCs w:val="22"/>
        </w:rPr>
        <w:t>Although the export share has also fallen, it has remained steadier than the import share in the face of the adverse trading environment.</w:t>
      </w:r>
    </w:p>
    <w:p w14:paraId="000001E7" w14:textId="77777777" w:rsidR="0039297D" w:rsidRPr="000F15C3" w:rsidRDefault="004273CA">
      <w:pPr>
        <w:pBdr>
          <w:top w:val="nil"/>
          <w:left w:val="nil"/>
          <w:bottom w:val="nil"/>
          <w:right w:val="nil"/>
          <w:between w:val="nil"/>
        </w:pBdr>
        <w:spacing w:after="200"/>
        <w:rPr>
          <w:i/>
          <w:color w:val="44546A"/>
          <w:sz w:val="24"/>
          <w:szCs w:val="24"/>
        </w:rPr>
      </w:pPr>
      <w:r w:rsidRPr="000F15C3">
        <w:rPr>
          <w:i/>
          <w:color w:val="44546A"/>
        </w:rPr>
        <w:t>Table 7: South Africa’s cultural goods trade: USD millions and percentage shares of total commodity trade</w:t>
      </w:r>
    </w:p>
    <w:tbl>
      <w:tblPr>
        <w:tblStyle w:val="a5"/>
        <w:tblW w:w="9356" w:type="dxa"/>
        <w:jc w:val="center"/>
        <w:tblLayout w:type="fixed"/>
        <w:tblLook w:val="0400" w:firstRow="0" w:lastRow="0" w:firstColumn="0" w:lastColumn="0" w:noHBand="0" w:noVBand="1"/>
      </w:tblPr>
      <w:tblGrid>
        <w:gridCol w:w="2122"/>
        <w:gridCol w:w="904"/>
        <w:gridCol w:w="904"/>
        <w:gridCol w:w="904"/>
        <w:gridCol w:w="905"/>
        <w:gridCol w:w="904"/>
        <w:gridCol w:w="904"/>
        <w:gridCol w:w="904"/>
        <w:gridCol w:w="905"/>
      </w:tblGrid>
      <w:tr w:rsidR="0039297D" w14:paraId="7711E806" w14:textId="77777777" w:rsidTr="000F15C3">
        <w:trPr>
          <w:trHeight w:val="300"/>
          <w:jc w:val="center"/>
        </w:trPr>
        <w:tc>
          <w:tcPr>
            <w:tcW w:w="2122" w:type="dxa"/>
            <w:tcBorders>
              <w:top w:val="single" w:sz="8" w:space="0" w:color="000000"/>
              <w:left w:val="single" w:sz="8" w:space="0" w:color="000000"/>
              <w:bottom w:val="single" w:sz="8" w:space="0" w:color="000000"/>
              <w:right w:val="single" w:sz="4" w:space="0" w:color="000000"/>
            </w:tcBorders>
            <w:shd w:val="clear" w:color="auto" w:fill="auto"/>
            <w:vAlign w:val="bottom"/>
          </w:tcPr>
          <w:p w14:paraId="000001E8" w14:textId="77777777" w:rsidR="0039297D" w:rsidRPr="000F15C3" w:rsidRDefault="004273CA" w:rsidP="000F15C3">
            <w:pPr>
              <w:spacing w:before="60" w:after="60"/>
              <w:jc w:val="left"/>
              <w:rPr>
                <w:b/>
                <w:bCs/>
                <w:color w:val="000000"/>
                <w:sz w:val="18"/>
                <w:szCs w:val="18"/>
              </w:rPr>
            </w:pPr>
            <w:r w:rsidRPr="000F15C3">
              <w:rPr>
                <w:b/>
                <w:bCs/>
                <w:color w:val="000000"/>
                <w:sz w:val="18"/>
                <w:szCs w:val="18"/>
              </w:rPr>
              <w:t>Cultural goods</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9"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2001</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A"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2003</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B"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2006</w:t>
            </w:r>
          </w:p>
        </w:tc>
        <w:tc>
          <w:tcPr>
            <w:tcW w:w="905" w:type="dxa"/>
            <w:tcBorders>
              <w:top w:val="single" w:sz="8" w:space="0" w:color="000000"/>
              <w:left w:val="nil"/>
              <w:bottom w:val="single" w:sz="8" w:space="0" w:color="000000"/>
              <w:right w:val="single" w:sz="4" w:space="0" w:color="000000"/>
            </w:tcBorders>
            <w:shd w:val="clear" w:color="auto" w:fill="auto"/>
            <w:vAlign w:val="bottom"/>
          </w:tcPr>
          <w:p w14:paraId="000001EC"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2009</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D"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2012</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E"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2015</w:t>
            </w:r>
          </w:p>
        </w:tc>
        <w:tc>
          <w:tcPr>
            <w:tcW w:w="904" w:type="dxa"/>
            <w:tcBorders>
              <w:top w:val="single" w:sz="8" w:space="0" w:color="000000"/>
              <w:left w:val="nil"/>
              <w:bottom w:val="single" w:sz="8" w:space="0" w:color="000000"/>
              <w:right w:val="single" w:sz="4" w:space="0" w:color="000000"/>
            </w:tcBorders>
            <w:shd w:val="clear" w:color="auto" w:fill="auto"/>
            <w:vAlign w:val="bottom"/>
          </w:tcPr>
          <w:p w14:paraId="000001EF"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2018</w:t>
            </w:r>
          </w:p>
        </w:tc>
        <w:tc>
          <w:tcPr>
            <w:tcW w:w="905" w:type="dxa"/>
            <w:tcBorders>
              <w:top w:val="single" w:sz="8" w:space="0" w:color="000000"/>
              <w:left w:val="nil"/>
              <w:bottom w:val="single" w:sz="8" w:space="0" w:color="000000"/>
              <w:right w:val="single" w:sz="8" w:space="0" w:color="000000"/>
            </w:tcBorders>
            <w:shd w:val="clear" w:color="auto" w:fill="auto"/>
            <w:vAlign w:val="bottom"/>
          </w:tcPr>
          <w:p w14:paraId="000001F0" w14:textId="77777777" w:rsidR="0039297D" w:rsidRPr="000F15C3" w:rsidRDefault="004273CA" w:rsidP="000F15C3">
            <w:pPr>
              <w:spacing w:before="60" w:after="60"/>
              <w:jc w:val="center"/>
              <w:rPr>
                <w:b/>
                <w:bCs/>
                <w:color w:val="000000"/>
                <w:sz w:val="18"/>
                <w:szCs w:val="18"/>
              </w:rPr>
            </w:pPr>
            <w:r w:rsidRPr="000F15C3">
              <w:rPr>
                <w:b/>
                <w:bCs/>
                <w:color w:val="000000"/>
                <w:sz w:val="18"/>
                <w:szCs w:val="18"/>
              </w:rPr>
              <w:t>2020</w:t>
            </w:r>
          </w:p>
        </w:tc>
      </w:tr>
      <w:tr w:rsidR="0039297D" w14:paraId="04FF22FF" w14:textId="77777777" w:rsidTr="000F15C3">
        <w:trPr>
          <w:trHeight w:val="290"/>
          <w:jc w:val="center"/>
        </w:trPr>
        <w:tc>
          <w:tcPr>
            <w:tcW w:w="2122" w:type="dxa"/>
            <w:tcBorders>
              <w:top w:val="nil"/>
              <w:left w:val="single" w:sz="8" w:space="0" w:color="000000"/>
              <w:bottom w:val="single" w:sz="4" w:space="0" w:color="000000"/>
              <w:right w:val="single" w:sz="4" w:space="0" w:color="000000"/>
            </w:tcBorders>
            <w:shd w:val="clear" w:color="auto" w:fill="auto"/>
            <w:vAlign w:val="bottom"/>
          </w:tcPr>
          <w:p w14:paraId="000001F1" w14:textId="77777777" w:rsidR="0039297D" w:rsidRDefault="004273CA" w:rsidP="000F15C3">
            <w:pPr>
              <w:spacing w:before="60" w:after="60"/>
              <w:jc w:val="left"/>
              <w:rPr>
                <w:color w:val="000000"/>
                <w:sz w:val="18"/>
                <w:szCs w:val="18"/>
              </w:rPr>
            </w:pPr>
            <w:r>
              <w:rPr>
                <w:color w:val="000000"/>
                <w:sz w:val="18"/>
                <w:szCs w:val="18"/>
              </w:rPr>
              <w:t>Exports (USD millions)</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2" w14:textId="77777777" w:rsidR="0039297D" w:rsidRDefault="004273CA" w:rsidP="000F15C3">
            <w:pPr>
              <w:spacing w:before="60" w:after="60"/>
              <w:jc w:val="right"/>
              <w:rPr>
                <w:color w:val="000000"/>
                <w:sz w:val="18"/>
                <w:szCs w:val="18"/>
              </w:rPr>
            </w:pPr>
            <w:r>
              <w:rPr>
                <w:color w:val="000000"/>
                <w:sz w:val="18"/>
                <w:szCs w:val="18"/>
              </w:rPr>
              <w:t>89.743</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3" w14:textId="77777777" w:rsidR="0039297D" w:rsidRDefault="004273CA" w:rsidP="000F15C3">
            <w:pPr>
              <w:spacing w:before="60" w:after="60"/>
              <w:jc w:val="right"/>
              <w:rPr>
                <w:color w:val="000000"/>
                <w:sz w:val="18"/>
                <w:szCs w:val="18"/>
              </w:rPr>
            </w:pPr>
            <w:r>
              <w:rPr>
                <w:color w:val="000000"/>
                <w:sz w:val="18"/>
                <w:szCs w:val="18"/>
              </w:rPr>
              <w:t>141.740</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4" w14:textId="77777777" w:rsidR="0039297D" w:rsidRDefault="004273CA" w:rsidP="000F15C3">
            <w:pPr>
              <w:spacing w:before="60" w:after="60"/>
              <w:jc w:val="right"/>
              <w:rPr>
                <w:color w:val="000000"/>
                <w:sz w:val="18"/>
                <w:szCs w:val="18"/>
              </w:rPr>
            </w:pPr>
            <w:r>
              <w:rPr>
                <w:color w:val="000000"/>
                <w:sz w:val="18"/>
                <w:szCs w:val="18"/>
              </w:rPr>
              <w:t>181.749</w:t>
            </w:r>
          </w:p>
        </w:tc>
        <w:tc>
          <w:tcPr>
            <w:tcW w:w="905"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5" w14:textId="77777777" w:rsidR="0039297D" w:rsidRDefault="004273CA" w:rsidP="000F15C3">
            <w:pPr>
              <w:spacing w:before="60" w:after="60"/>
              <w:jc w:val="right"/>
              <w:rPr>
                <w:color w:val="000000"/>
                <w:sz w:val="18"/>
                <w:szCs w:val="18"/>
              </w:rPr>
            </w:pPr>
            <w:r>
              <w:rPr>
                <w:color w:val="000000"/>
                <w:sz w:val="18"/>
                <w:szCs w:val="18"/>
              </w:rPr>
              <w:t>146.483</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6" w14:textId="77777777" w:rsidR="0039297D" w:rsidRDefault="004273CA" w:rsidP="000F15C3">
            <w:pPr>
              <w:spacing w:before="60" w:after="60"/>
              <w:jc w:val="right"/>
              <w:rPr>
                <w:color w:val="000000"/>
                <w:sz w:val="18"/>
                <w:szCs w:val="18"/>
              </w:rPr>
            </w:pPr>
            <w:r>
              <w:rPr>
                <w:color w:val="000000"/>
                <w:sz w:val="18"/>
                <w:szCs w:val="18"/>
              </w:rPr>
              <w:t>250.175</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7" w14:textId="77777777" w:rsidR="0039297D" w:rsidRDefault="004273CA" w:rsidP="000F15C3">
            <w:pPr>
              <w:spacing w:before="60" w:after="60"/>
              <w:jc w:val="right"/>
              <w:rPr>
                <w:color w:val="000000"/>
                <w:sz w:val="18"/>
                <w:szCs w:val="18"/>
              </w:rPr>
            </w:pPr>
            <w:r>
              <w:rPr>
                <w:color w:val="000000"/>
                <w:sz w:val="18"/>
                <w:szCs w:val="18"/>
              </w:rPr>
              <w:t>297.939</w:t>
            </w:r>
          </w:p>
        </w:tc>
        <w:tc>
          <w:tcPr>
            <w:tcW w:w="904" w:type="dxa"/>
            <w:tcBorders>
              <w:top w:val="nil"/>
              <w:left w:val="nil"/>
              <w:bottom w:val="single" w:sz="4" w:space="0" w:color="000000"/>
              <w:right w:val="single" w:sz="4" w:space="0" w:color="000000"/>
            </w:tcBorders>
            <w:shd w:val="clear" w:color="auto" w:fill="auto"/>
            <w:tcMar>
              <w:left w:w="57" w:type="dxa"/>
              <w:right w:w="108" w:type="dxa"/>
            </w:tcMar>
            <w:vAlign w:val="bottom"/>
          </w:tcPr>
          <w:p w14:paraId="000001F8" w14:textId="77777777" w:rsidR="0039297D" w:rsidRDefault="004273CA" w:rsidP="000F15C3">
            <w:pPr>
              <w:spacing w:before="60" w:after="60"/>
              <w:jc w:val="right"/>
              <w:rPr>
                <w:color w:val="000000"/>
                <w:sz w:val="18"/>
                <w:szCs w:val="18"/>
              </w:rPr>
            </w:pPr>
            <w:r>
              <w:rPr>
                <w:color w:val="000000"/>
                <w:sz w:val="18"/>
                <w:szCs w:val="18"/>
              </w:rPr>
              <w:t>448.857</w:t>
            </w:r>
          </w:p>
        </w:tc>
        <w:tc>
          <w:tcPr>
            <w:tcW w:w="905" w:type="dxa"/>
            <w:tcBorders>
              <w:top w:val="nil"/>
              <w:left w:val="nil"/>
              <w:bottom w:val="single" w:sz="4" w:space="0" w:color="000000"/>
              <w:right w:val="single" w:sz="8" w:space="0" w:color="000000"/>
            </w:tcBorders>
            <w:shd w:val="clear" w:color="auto" w:fill="auto"/>
            <w:tcMar>
              <w:left w:w="57" w:type="dxa"/>
              <w:right w:w="108" w:type="dxa"/>
            </w:tcMar>
            <w:vAlign w:val="bottom"/>
          </w:tcPr>
          <w:p w14:paraId="000001F9" w14:textId="77777777" w:rsidR="0039297D" w:rsidRDefault="004273CA" w:rsidP="000F15C3">
            <w:pPr>
              <w:spacing w:before="60" w:after="60"/>
              <w:jc w:val="right"/>
              <w:rPr>
                <w:color w:val="000000"/>
                <w:sz w:val="18"/>
                <w:szCs w:val="18"/>
              </w:rPr>
            </w:pPr>
            <w:r>
              <w:rPr>
                <w:color w:val="000000"/>
                <w:sz w:val="18"/>
                <w:szCs w:val="18"/>
              </w:rPr>
              <w:t>316.458</w:t>
            </w:r>
          </w:p>
        </w:tc>
      </w:tr>
      <w:tr w:rsidR="0039297D" w14:paraId="4AEE4B01" w14:textId="77777777" w:rsidTr="000F15C3">
        <w:trPr>
          <w:trHeight w:val="300"/>
          <w:jc w:val="center"/>
        </w:trPr>
        <w:tc>
          <w:tcPr>
            <w:tcW w:w="2122" w:type="dxa"/>
            <w:tcBorders>
              <w:top w:val="nil"/>
              <w:left w:val="single" w:sz="8" w:space="0" w:color="000000"/>
              <w:bottom w:val="single" w:sz="8" w:space="0" w:color="000000"/>
              <w:right w:val="single" w:sz="4" w:space="0" w:color="000000"/>
            </w:tcBorders>
            <w:shd w:val="clear" w:color="auto" w:fill="auto"/>
            <w:vAlign w:val="bottom"/>
          </w:tcPr>
          <w:p w14:paraId="000001FA" w14:textId="77777777" w:rsidR="0039297D" w:rsidRDefault="004273CA" w:rsidP="000F15C3">
            <w:pPr>
              <w:spacing w:before="60" w:after="60"/>
              <w:jc w:val="left"/>
              <w:rPr>
                <w:color w:val="000000"/>
                <w:sz w:val="18"/>
                <w:szCs w:val="18"/>
              </w:rPr>
            </w:pPr>
            <w:r>
              <w:rPr>
                <w:color w:val="000000"/>
                <w:sz w:val="18"/>
                <w:szCs w:val="18"/>
              </w:rPr>
              <w:t>Imports (USD millions)</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1FB" w14:textId="77777777" w:rsidR="0039297D" w:rsidRDefault="004273CA" w:rsidP="000F15C3">
            <w:pPr>
              <w:spacing w:before="60" w:after="60"/>
              <w:jc w:val="right"/>
              <w:rPr>
                <w:color w:val="000000"/>
                <w:sz w:val="18"/>
                <w:szCs w:val="18"/>
              </w:rPr>
            </w:pPr>
            <w:r>
              <w:rPr>
                <w:color w:val="000000"/>
                <w:sz w:val="18"/>
                <w:szCs w:val="18"/>
              </w:rPr>
              <w:t>178.728</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1FC" w14:textId="77777777" w:rsidR="0039297D" w:rsidRDefault="004273CA" w:rsidP="000F15C3">
            <w:pPr>
              <w:spacing w:before="60" w:after="60"/>
              <w:jc w:val="right"/>
              <w:rPr>
                <w:color w:val="000000"/>
                <w:sz w:val="18"/>
                <w:szCs w:val="18"/>
              </w:rPr>
            </w:pPr>
            <w:r>
              <w:rPr>
                <w:color w:val="000000"/>
                <w:sz w:val="18"/>
                <w:szCs w:val="18"/>
              </w:rPr>
              <w:t>242.552</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1FD" w14:textId="77777777" w:rsidR="0039297D" w:rsidRDefault="004273CA" w:rsidP="000F15C3">
            <w:pPr>
              <w:spacing w:before="60" w:after="60"/>
              <w:jc w:val="right"/>
              <w:rPr>
                <w:color w:val="000000"/>
                <w:sz w:val="18"/>
                <w:szCs w:val="18"/>
              </w:rPr>
            </w:pPr>
            <w:r>
              <w:rPr>
                <w:color w:val="000000"/>
                <w:sz w:val="18"/>
                <w:szCs w:val="18"/>
              </w:rPr>
              <w:t>601.067</w:t>
            </w:r>
          </w:p>
        </w:tc>
        <w:tc>
          <w:tcPr>
            <w:tcW w:w="905"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1FE" w14:textId="77777777" w:rsidR="0039297D" w:rsidRDefault="004273CA" w:rsidP="000F15C3">
            <w:pPr>
              <w:spacing w:before="60" w:after="60"/>
              <w:jc w:val="right"/>
              <w:rPr>
                <w:color w:val="000000"/>
                <w:sz w:val="18"/>
                <w:szCs w:val="18"/>
              </w:rPr>
            </w:pPr>
            <w:r>
              <w:rPr>
                <w:color w:val="000000"/>
                <w:sz w:val="18"/>
                <w:szCs w:val="18"/>
              </w:rPr>
              <w:t>443.004</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1FF" w14:textId="77777777" w:rsidR="0039297D" w:rsidRDefault="004273CA" w:rsidP="000F15C3">
            <w:pPr>
              <w:spacing w:before="60" w:after="60"/>
              <w:jc w:val="right"/>
              <w:rPr>
                <w:color w:val="000000"/>
                <w:sz w:val="18"/>
                <w:szCs w:val="18"/>
              </w:rPr>
            </w:pPr>
            <w:r>
              <w:rPr>
                <w:color w:val="000000"/>
                <w:sz w:val="18"/>
                <w:szCs w:val="18"/>
              </w:rPr>
              <w:t>673.437</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200" w14:textId="77777777" w:rsidR="0039297D" w:rsidRDefault="004273CA" w:rsidP="000F15C3">
            <w:pPr>
              <w:spacing w:before="60" w:after="60"/>
              <w:jc w:val="right"/>
              <w:rPr>
                <w:color w:val="000000"/>
                <w:sz w:val="18"/>
                <w:szCs w:val="18"/>
              </w:rPr>
            </w:pPr>
            <w:r>
              <w:rPr>
                <w:color w:val="000000"/>
                <w:sz w:val="18"/>
                <w:szCs w:val="18"/>
              </w:rPr>
              <w:t>519.128</w:t>
            </w:r>
          </w:p>
        </w:tc>
        <w:tc>
          <w:tcPr>
            <w:tcW w:w="904" w:type="dxa"/>
            <w:tcBorders>
              <w:top w:val="nil"/>
              <w:left w:val="nil"/>
              <w:bottom w:val="single" w:sz="8" w:space="0" w:color="000000"/>
              <w:right w:val="single" w:sz="4" w:space="0" w:color="000000"/>
            </w:tcBorders>
            <w:shd w:val="clear" w:color="auto" w:fill="auto"/>
            <w:tcMar>
              <w:left w:w="57" w:type="dxa"/>
              <w:right w:w="108" w:type="dxa"/>
            </w:tcMar>
            <w:vAlign w:val="bottom"/>
          </w:tcPr>
          <w:p w14:paraId="00000201" w14:textId="77777777" w:rsidR="0039297D" w:rsidRDefault="004273CA" w:rsidP="000F15C3">
            <w:pPr>
              <w:spacing w:before="60" w:after="60"/>
              <w:jc w:val="right"/>
              <w:rPr>
                <w:color w:val="000000"/>
                <w:sz w:val="18"/>
                <w:szCs w:val="18"/>
              </w:rPr>
            </w:pPr>
            <w:r>
              <w:rPr>
                <w:color w:val="000000"/>
                <w:sz w:val="18"/>
                <w:szCs w:val="18"/>
              </w:rPr>
              <w:t>473.234</w:t>
            </w:r>
          </w:p>
        </w:tc>
        <w:tc>
          <w:tcPr>
            <w:tcW w:w="905" w:type="dxa"/>
            <w:tcBorders>
              <w:top w:val="nil"/>
              <w:left w:val="nil"/>
              <w:bottom w:val="single" w:sz="8" w:space="0" w:color="000000"/>
              <w:right w:val="single" w:sz="8" w:space="0" w:color="000000"/>
            </w:tcBorders>
            <w:shd w:val="clear" w:color="auto" w:fill="auto"/>
            <w:tcMar>
              <w:left w:w="57" w:type="dxa"/>
              <w:right w:w="108" w:type="dxa"/>
            </w:tcMar>
            <w:vAlign w:val="bottom"/>
          </w:tcPr>
          <w:p w14:paraId="00000202" w14:textId="77777777" w:rsidR="0039297D" w:rsidRDefault="004273CA" w:rsidP="000F15C3">
            <w:pPr>
              <w:spacing w:before="60" w:after="60"/>
              <w:jc w:val="right"/>
              <w:rPr>
                <w:color w:val="000000"/>
                <w:sz w:val="18"/>
                <w:szCs w:val="18"/>
              </w:rPr>
            </w:pPr>
            <w:r>
              <w:rPr>
                <w:color w:val="000000"/>
                <w:sz w:val="18"/>
                <w:szCs w:val="18"/>
              </w:rPr>
              <w:t>257.804</w:t>
            </w:r>
          </w:p>
        </w:tc>
      </w:tr>
      <w:tr w:rsidR="0039297D" w14:paraId="32C0524F" w14:textId="77777777" w:rsidTr="000F15C3">
        <w:trPr>
          <w:trHeight w:val="290"/>
          <w:jc w:val="center"/>
        </w:trPr>
        <w:tc>
          <w:tcPr>
            <w:tcW w:w="2122" w:type="dxa"/>
            <w:tcBorders>
              <w:top w:val="nil"/>
              <w:left w:val="single" w:sz="8" w:space="0" w:color="000000"/>
              <w:bottom w:val="single" w:sz="4" w:space="0" w:color="000000"/>
              <w:right w:val="single" w:sz="4" w:space="0" w:color="000000"/>
            </w:tcBorders>
            <w:shd w:val="clear" w:color="auto" w:fill="auto"/>
            <w:vAlign w:val="bottom"/>
          </w:tcPr>
          <w:p w14:paraId="00000203" w14:textId="77777777" w:rsidR="0039297D" w:rsidRDefault="004273CA" w:rsidP="000F15C3">
            <w:pPr>
              <w:spacing w:before="60" w:after="60"/>
              <w:jc w:val="left"/>
              <w:rPr>
                <w:color w:val="000000"/>
                <w:sz w:val="18"/>
                <w:szCs w:val="18"/>
              </w:rPr>
            </w:pPr>
            <w:r>
              <w:rPr>
                <w:color w:val="000000"/>
                <w:sz w:val="18"/>
                <w:szCs w:val="18"/>
              </w:rPr>
              <w:t>Exports % share</w:t>
            </w:r>
          </w:p>
        </w:tc>
        <w:tc>
          <w:tcPr>
            <w:tcW w:w="904" w:type="dxa"/>
            <w:tcBorders>
              <w:top w:val="nil"/>
              <w:left w:val="nil"/>
              <w:bottom w:val="single" w:sz="4" w:space="0" w:color="000000"/>
              <w:right w:val="single" w:sz="4" w:space="0" w:color="000000"/>
            </w:tcBorders>
            <w:shd w:val="clear" w:color="auto" w:fill="auto"/>
            <w:vAlign w:val="bottom"/>
          </w:tcPr>
          <w:p w14:paraId="00000204" w14:textId="77777777" w:rsidR="0039297D" w:rsidRDefault="004273CA" w:rsidP="000F15C3">
            <w:pPr>
              <w:spacing w:before="60" w:after="60"/>
              <w:jc w:val="center"/>
              <w:rPr>
                <w:color w:val="000000"/>
                <w:sz w:val="18"/>
                <w:szCs w:val="18"/>
              </w:rPr>
            </w:pPr>
            <w:r>
              <w:rPr>
                <w:color w:val="000000"/>
                <w:sz w:val="18"/>
                <w:szCs w:val="18"/>
              </w:rPr>
              <w:t>0.35</w:t>
            </w:r>
          </w:p>
        </w:tc>
        <w:tc>
          <w:tcPr>
            <w:tcW w:w="904" w:type="dxa"/>
            <w:tcBorders>
              <w:top w:val="nil"/>
              <w:left w:val="nil"/>
              <w:bottom w:val="single" w:sz="4" w:space="0" w:color="000000"/>
              <w:right w:val="single" w:sz="4" w:space="0" w:color="000000"/>
            </w:tcBorders>
            <w:shd w:val="clear" w:color="auto" w:fill="auto"/>
            <w:vAlign w:val="bottom"/>
          </w:tcPr>
          <w:p w14:paraId="00000205" w14:textId="77777777" w:rsidR="0039297D" w:rsidRDefault="004273CA" w:rsidP="000F15C3">
            <w:pPr>
              <w:spacing w:before="60" w:after="60"/>
              <w:jc w:val="center"/>
              <w:rPr>
                <w:color w:val="000000"/>
                <w:sz w:val="18"/>
                <w:szCs w:val="18"/>
              </w:rPr>
            </w:pPr>
            <w:r>
              <w:rPr>
                <w:color w:val="000000"/>
                <w:sz w:val="18"/>
                <w:szCs w:val="18"/>
              </w:rPr>
              <w:t>0.45</w:t>
            </w:r>
          </w:p>
        </w:tc>
        <w:tc>
          <w:tcPr>
            <w:tcW w:w="904" w:type="dxa"/>
            <w:tcBorders>
              <w:top w:val="nil"/>
              <w:left w:val="nil"/>
              <w:bottom w:val="single" w:sz="4" w:space="0" w:color="000000"/>
              <w:right w:val="single" w:sz="4" w:space="0" w:color="000000"/>
            </w:tcBorders>
            <w:shd w:val="clear" w:color="auto" w:fill="auto"/>
            <w:vAlign w:val="bottom"/>
          </w:tcPr>
          <w:p w14:paraId="00000206" w14:textId="77777777" w:rsidR="0039297D" w:rsidRDefault="004273CA" w:rsidP="000F15C3">
            <w:pPr>
              <w:spacing w:before="60" w:after="60"/>
              <w:jc w:val="center"/>
              <w:rPr>
                <w:color w:val="000000"/>
                <w:sz w:val="18"/>
                <w:szCs w:val="18"/>
              </w:rPr>
            </w:pPr>
            <w:r>
              <w:rPr>
                <w:color w:val="000000"/>
                <w:sz w:val="18"/>
                <w:szCs w:val="18"/>
              </w:rPr>
              <w:t>0.35</w:t>
            </w:r>
          </w:p>
        </w:tc>
        <w:tc>
          <w:tcPr>
            <w:tcW w:w="905" w:type="dxa"/>
            <w:tcBorders>
              <w:top w:val="nil"/>
              <w:left w:val="nil"/>
              <w:bottom w:val="single" w:sz="4" w:space="0" w:color="000000"/>
              <w:right w:val="single" w:sz="4" w:space="0" w:color="000000"/>
            </w:tcBorders>
            <w:shd w:val="clear" w:color="auto" w:fill="auto"/>
            <w:vAlign w:val="bottom"/>
          </w:tcPr>
          <w:p w14:paraId="00000207" w14:textId="77777777" w:rsidR="0039297D" w:rsidRDefault="004273CA" w:rsidP="000F15C3">
            <w:pPr>
              <w:spacing w:before="60" w:after="60"/>
              <w:jc w:val="center"/>
              <w:rPr>
                <w:color w:val="000000"/>
                <w:sz w:val="18"/>
                <w:szCs w:val="18"/>
              </w:rPr>
            </w:pPr>
            <w:r>
              <w:rPr>
                <w:color w:val="000000"/>
                <w:sz w:val="18"/>
                <w:szCs w:val="18"/>
              </w:rPr>
              <w:t>0.27</w:t>
            </w:r>
          </w:p>
        </w:tc>
        <w:tc>
          <w:tcPr>
            <w:tcW w:w="904" w:type="dxa"/>
            <w:tcBorders>
              <w:top w:val="nil"/>
              <w:left w:val="nil"/>
              <w:bottom w:val="single" w:sz="4" w:space="0" w:color="000000"/>
              <w:right w:val="single" w:sz="4" w:space="0" w:color="000000"/>
            </w:tcBorders>
            <w:shd w:val="clear" w:color="auto" w:fill="auto"/>
            <w:vAlign w:val="bottom"/>
          </w:tcPr>
          <w:p w14:paraId="00000208" w14:textId="77777777" w:rsidR="0039297D" w:rsidRDefault="004273CA" w:rsidP="000F15C3">
            <w:pPr>
              <w:spacing w:before="60" w:after="60"/>
              <w:jc w:val="center"/>
              <w:rPr>
                <w:color w:val="000000"/>
                <w:sz w:val="18"/>
                <w:szCs w:val="18"/>
              </w:rPr>
            </w:pPr>
            <w:r>
              <w:rPr>
                <w:color w:val="000000"/>
                <w:sz w:val="18"/>
                <w:szCs w:val="18"/>
              </w:rPr>
              <w:t>0.25</w:t>
            </w:r>
          </w:p>
        </w:tc>
        <w:tc>
          <w:tcPr>
            <w:tcW w:w="904" w:type="dxa"/>
            <w:tcBorders>
              <w:top w:val="nil"/>
              <w:left w:val="nil"/>
              <w:bottom w:val="single" w:sz="4" w:space="0" w:color="000000"/>
              <w:right w:val="single" w:sz="4" w:space="0" w:color="000000"/>
            </w:tcBorders>
            <w:shd w:val="clear" w:color="auto" w:fill="auto"/>
            <w:vAlign w:val="bottom"/>
          </w:tcPr>
          <w:p w14:paraId="00000209" w14:textId="77777777" w:rsidR="0039297D" w:rsidRDefault="004273CA" w:rsidP="000F15C3">
            <w:pPr>
              <w:spacing w:before="60" w:after="60"/>
              <w:jc w:val="center"/>
              <w:rPr>
                <w:color w:val="000000"/>
                <w:sz w:val="18"/>
                <w:szCs w:val="18"/>
              </w:rPr>
            </w:pPr>
            <w:r>
              <w:rPr>
                <w:color w:val="000000"/>
                <w:sz w:val="18"/>
                <w:szCs w:val="18"/>
              </w:rPr>
              <w:t>0.36</w:t>
            </w:r>
          </w:p>
        </w:tc>
        <w:tc>
          <w:tcPr>
            <w:tcW w:w="904" w:type="dxa"/>
            <w:tcBorders>
              <w:top w:val="nil"/>
              <w:left w:val="nil"/>
              <w:bottom w:val="single" w:sz="4" w:space="0" w:color="000000"/>
              <w:right w:val="single" w:sz="4" w:space="0" w:color="000000"/>
            </w:tcBorders>
            <w:shd w:val="clear" w:color="auto" w:fill="auto"/>
            <w:vAlign w:val="bottom"/>
          </w:tcPr>
          <w:p w14:paraId="0000020A" w14:textId="77777777" w:rsidR="0039297D" w:rsidRDefault="004273CA" w:rsidP="000F15C3">
            <w:pPr>
              <w:spacing w:before="60" w:after="60"/>
              <w:jc w:val="center"/>
              <w:rPr>
                <w:color w:val="000000"/>
                <w:sz w:val="18"/>
                <w:szCs w:val="18"/>
              </w:rPr>
            </w:pPr>
            <w:r>
              <w:rPr>
                <w:color w:val="000000"/>
                <w:sz w:val="18"/>
                <w:szCs w:val="18"/>
              </w:rPr>
              <w:t>0.47</w:t>
            </w:r>
          </w:p>
        </w:tc>
        <w:tc>
          <w:tcPr>
            <w:tcW w:w="905" w:type="dxa"/>
            <w:tcBorders>
              <w:top w:val="nil"/>
              <w:left w:val="nil"/>
              <w:bottom w:val="single" w:sz="4" w:space="0" w:color="000000"/>
              <w:right w:val="single" w:sz="8" w:space="0" w:color="000000"/>
            </w:tcBorders>
            <w:shd w:val="clear" w:color="auto" w:fill="auto"/>
            <w:vAlign w:val="bottom"/>
          </w:tcPr>
          <w:p w14:paraId="0000020B" w14:textId="77777777" w:rsidR="0039297D" w:rsidRDefault="004273CA" w:rsidP="000F15C3">
            <w:pPr>
              <w:spacing w:before="60" w:after="60"/>
              <w:jc w:val="center"/>
              <w:rPr>
                <w:color w:val="000000"/>
                <w:sz w:val="18"/>
                <w:szCs w:val="18"/>
              </w:rPr>
            </w:pPr>
            <w:r>
              <w:rPr>
                <w:color w:val="000000"/>
                <w:sz w:val="18"/>
                <w:szCs w:val="18"/>
              </w:rPr>
              <w:t>0.37</w:t>
            </w:r>
          </w:p>
        </w:tc>
      </w:tr>
      <w:tr w:rsidR="0039297D" w14:paraId="17227E96" w14:textId="77777777" w:rsidTr="000F15C3">
        <w:trPr>
          <w:trHeight w:val="300"/>
          <w:jc w:val="center"/>
        </w:trPr>
        <w:tc>
          <w:tcPr>
            <w:tcW w:w="2122" w:type="dxa"/>
            <w:tcBorders>
              <w:top w:val="nil"/>
              <w:left w:val="single" w:sz="8" w:space="0" w:color="000000"/>
              <w:bottom w:val="single" w:sz="8" w:space="0" w:color="000000"/>
              <w:right w:val="single" w:sz="4" w:space="0" w:color="000000"/>
            </w:tcBorders>
            <w:shd w:val="clear" w:color="auto" w:fill="auto"/>
            <w:vAlign w:val="bottom"/>
          </w:tcPr>
          <w:p w14:paraId="0000020C" w14:textId="77777777" w:rsidR="0039297D" w:rsidRDefault="004273CA" w:rsidP="000F15C3">
            <w:pPr>
              <w:spacing w:before="60" w:after="60"/>
              <w:jc w:val="left"/>
              <w:rPr>
                <w:color w:val="000000"/>
                <w:sz w:val="18"/>
                <w:szCs w:val="18"/>
              </w:rPr>
            </w:pPr>
            <w:r>
              <w:rPr>
                <w:color w:val="000000"/>
                <w:sz w:val="18"/>
                <w:szCs w:val="18"/>
              </w:rPr>
              <w:t>Imports % share</w:t>
            </w:r>
          </w:p>
        </w:tc>
        <w:tc>
          <w:tcPr>
            <w:tcW w:w="904" w:type="dxa"/>
            <w:tcBorders>
              <w:top w:val="nil"/>
              <w:left w:val="nil"/>
              <w:bottom w:val="single" w:sz="8" w:space="0" w:color="000000"/>
              <w:right w:val="single" w:sz="4" w:space="0" w:color="000000"/>
            </w:tcBorders>
            <w:shd w:val="clear" w:color="auto" w:fill="auto"/>
            <w:vAlign w:val="bottom"/>
          </w:tcPr>
          <w:p w14:paraId="0000020D" w14:textId="77777777" w:rsidR="0039297D" w:rsidRDefault="004273CA" w:rsidP="000F15C3">
            <w:pPr>
              <w:spacing w:before="60" w:after="60"/>
              <w:jc w:val="center"/>
              <w:rPr>
                <w:color w:val="000000"/>
                <w:sz w:val="18"/>
                <w:szCs w:val="18"/>
              </w:rPr>
            </w:pPr>
            <w:r>
              <w:rPr>
                <w:color w:val="000000"/>
                <w:sz w:val="18"/>
                <w:szCs w:val="18"/>
              </w:rPr>
              <w:t>0.70</w:t>
            </w:r>
          </w:p>
        </w:tc>
        <w:tc>
          <w:tcPr>
            <w:tcW w:w="904" w:type="dxa"/>
            <w:tcBorders>
              <w:top w:val="nil"/>
              <w:left w:val="nil"/>
              <w:bottom w:val="single" w:sz="8" w:space="0" w:color="000000"/>
              <w:right w:val="single" w:sz="4" w:space="0" w:color="000000"/>
            </w:tcBorders>
            <w:shd w:val="clear" w:color="auto" w:fill="auto"/>
            <w:vAlign w:val="bottom"/>
          </w:tcPr>
          <w:p w14:paraId="0000020E" w14:textId="77777777" w:rsidR="0039297D" w:rsidRDefault="004273CA" w:rsidP="000F15C3">
            <w:pPr>
              <w:spacing w:before="60" w:after="60"/>
              <w:jc w:val="center"/>
              <w:rPr>
                <w:color w:val="000000"/>
                <w:sz w:val="18"/>
                <w:szCs w:val="18"/>
              </w:rPr>
            </w:pPr>
            <w:r>
              <w:rPr>
                <w:color w:val="000000"/>
                <w:sz w:val="18"/>
                <w:szCs w:val="18"/>
              </w:rPr>
              <w:t>0.70</w:t>
            </w:r>
          </w:p>
        </w:tc>
        <w:tc>
          <w:tcPr>
            <w:tcW w:w="904" w:type="dxa"/>
            <w:tcBorders>
              <w:top w:val="nil"/>
              <w:left w:val="nil"/>
              <w:bottom w:val="single" w:sz="8" w:space="0" w:color="000000"/>
              <w:right w:val="single" w:sz="4" w:space="0" w:color="000000"/>
            </w:tcBorders>
            <w:shd w:val="clear" w:color="auto" w:fill="auto"/>
            <w:vAlign w:val="bottom"/>
          </w:tcPr>
          <w:p w14:paraId="0000020F" w14:textId="77777777" w:rsidR="0039297D" w:rsidRDefault="004273CA" w:rsidP="000F15C3">
            <w:pPr>
              <w:spacing w:before="60" w:after="60"/>
              <w:jc w:val="center"/>
              <w:rPr>
                <w:color w:val="000000"/>
                <w:sz w:val="18"/>
                <w:szCs w:val="18"/>
              </w:rPr>
            </w:pPr>
            <w:r>
              <w:rPr>
                <w:color w:val="000000"/>
                <w:sz w:val="18"/>
                <w:szCs w:val="18"/>
              </w:rPr>
              <w:t>0.88</w:t>
            </w:r>
          </w:p>
        </w:tc>
        <w:tc>
          <w:tcPr>
            <w:tcW w:w="905" w:type="dxa"/>
            <w:tcBorders>
              <w:top w:val="nil"/>
              <w:left w:val="nil"/>
              <w:bottom w:val="single" w:sz="8" w:space="0" w:color="000000"/>
              <w:right w:val="single" w:sz="4" w:space="0" w:color="000000"/>
            </w:tcBorders>
            <w:shd w:val="clear" w:color="auto" w:fill="auto"/>
            <w:vAlign w:val="bottom"/>
          </w:tcPr>
          <w:p w14:paraId="00000210" w14:textId="77777777" w:rsidR="0039297D" w:rsidRDefault="004273CA" w:rsidP="000F15C3">
            <w:pPr>
              <w:spacing w:before="60" w:after="60"/>
              <w:jc w:val="center"/>
              <w:rPr>
                <w:color w:val="000000"/>
                <w:sz w:val="18"/>
                <w:szCs w:val="18"/>
              </w:rPr>
            </w:pPr>
            <w:r>
              <w:rPr>
                <w:color w:val="000000"/>
                <w:sz w:val="18"/>
                <w:szCs w:val="18"/>
              </w:rPr>
              <w:t>0.69</w:t>
            </w:r>
          </w:p>
        </w:tc>
        <w:tc>
          <w:tcPr>
            <w:tcW w:w="904" w:type="dxa"/>
            <w:tcBorders>
              <w:top w:val="nil"/>
              <w:left w:val="nil"/>
              <w:bottom w:val="single" w:sz="8" w:space="0" w:color="000000"/>
              <w:right w:val="single" w:sz="4" w:space="0" w:color="000000"/>
            </w:tcBorders>
            <w:shd w:val="clear" w:color="auto" w:fill="auto"/>
            <w:vAlign w:val="bottom"/>
          </w:tcPr>
          <w:p w14:paraId="00000211" w14:textId="77777777" w:rsidR="0039297D" w:rsidRDefault="004273CA" w:rsidP="000F15C3">
            <w:pPr>
              <w:spacing w:before="60" w:after="60"/>
              <w:jc w:val="center"/>
              <w:rPr>
                <w:color w:val="000000"/>
                <w:sz w:val="18"/>
                <w:szCs w:val="18"/>
              </w:rPr>
            </w:pPr>
            <w:r>
              <w:rPr>
                <w:color w:val="000000"/>
                <w:sz w:val="18"/>
                <w:szCs w:val="18"/>
              </w:rPr>
              <w:t>0.65</w:t>
            </w:r>
          </w:p>
        </w:tc>
        <w:tc>
          <w:tcPr>
            <w:tcW w:w="904" w:type="dxa"/>
            <w:tcBorders>
              <w:top w:val="nil"/>
              <w:left w:val="nil"/>
              <w:bottom w:val="single" w:sz="8" w:space="0" w:color="000000"/>
              <w:right w:val="single" w:sz="4" w:space="0" w:color="000000"/>
            </w:tcBorders>
            <w:shd w:val="clear" w:color="auto" w:fill="auto"/>
            <w:vAlign w:val="bottom"/>
          </w:tcPr>
          <w:p w14:paraId="00000212" w14:textId="77777777" w:rsidR="0039297D" w:rsidRDefault="004273CA" w:rsidP="000F15C3">
            <w:pPr>
              <w:spacing w:before="60" w:after="60"/>
              <w:jc w:val="center"/>
              <w:rPr>
                <w:color w:val="000000"/>
                <w:sz w:val="18"/>
                <w:szCs w:val="18"/>
              </w:rPr>
            </w:pPr>
            <w:r>
              <w:rPr>
                <w:color w:val="000000"/>
                <w:sz w:val="18"/>
                <w:szCs w:val="18"/>
              </w:rPr>
              <w:t>0.61</w:t>
            </w:r>
          </w:p>
        </w:tc>
        <w:tc>
          <w:tcPr>
            <w:tcW w:w="904" w:type="dxa"/>
            <w:tcBorders>
              <w:top w:val="nil"/>
              <w:left w:val="nil"/>
              <w:bottom w:val="single" w:sz="8" w:space="0" w:color="000000"/>
              <w:right w:val="single" w:sz="4" w:space="0" w:color="000000"/>
            </w:tcBorders>
            <w:shd w:val="clear" w:color="auto" w:fill="auto"/>
            <w:vAlign w:val="bottom"/>
          </w:tcPr>
          <w:p w14:paraId="00000213" w14:textId="77777777" w:rsidR="0039297D" w:rsidRDefault="004273CA" w:rsidP="000F15C3">
            <w:pPr>
              <w:spacing w:before="60" w:after="60"/>
              <w:jc w:val="center"/>
              <w:rPr>
                <w:color w:val="000000"/>
                <w:sz w:val="18"/>
                <w:szCs w:val="18"/>
              </w:rPr>
            </w:pPr>
            <w:r>
              <w:rPr>
                <w:color w:val="000000"/>
                <w:sz w:val="18"/>
                <w:szCs w:val="18"/>
              </w:rPr>
              <w:t>0.50</w:t>
            </w:r>
          </w:p>
        </w:tc>
        <w:tc>
          <w:tcPr>
            <w:tcW w:w="905" w:type="dxa"/>
            <w:tcBorders>
              <w:top w:val="nil"/>
              <w:left w:val="nil"/>
              <w:bottom w:val="single" w:sz="8" w:space="0" w:color="000000"/>
              <w:right w:val="single" w:sz="8" w:space="0" w:color="000000"/>
            </w:tcBorders>
            <w:shd w:val="clear" w:color="auto" w:fill="auto"/>
            <w:vAlign w:val="bottom"/>
          </w:tcPr>
          <w:p w14:paraId="00000214" w14:textId="77777777" w:rsidR="0039297D" w:rsidRDefault="004273CA" w:rsidP="000F15C3">
            <w:pPr>
              <w:spacing w:before="60" w:after="60"/>
              <w:jc w:val="center"/>
              <w:rPr>
                <w:color w:val="000000"/>
                <w:sz w:val="18"/>
                <w:szCs w:val="18"/>
              </w:rPr>
            </w:pPr>
            <w:r>
              <w:rPr>
                <w:color w:val="000000"/>
                <w:sz w:val="18"/>
                <w:szCs w:val="18"/>
              </w:rPr>
              <w:t>0.38</w:t>
            </w:r>
          </w:p>
        </w:tc>
      </w:tr>
    </w:tbl>
    <w:p w14:paraId="00000215" w14:textId="3CA57B8E" w:rsidR="0039297D" w:rsidRPr="000F15C3" w:rsidRDefault="004273CA" w:rsidP="000F15C3">
      <w:pPr>
        <w:spacing w:before="120" w:line="259" w:lineRule="auto"/>
        <w:jc w:val="left"/>
        <w:rPr>
          <w:iCs/>
        </w:rPr>
      </w:pPr>
      <w:r w:rsidRPr="000F15C3">
        <w:rPr>
          <w:iCs/>
        </w:rPr>
        <w:lastRenderedPageBreak/>
        <w:t>Source: Authors’ computations based on data from ITC, 2021 and UN Comtrade, 2021</w:t>
      </w:r>
    </w:p>
    <w:p w14:paraId="00000217" w14:textId="77777777" w:rsidR="0039297D" w:rsidRDefault="004273CA">
      <w:pPr>
        <w:spacing w:line="259" w:lineRule="auto"/>
        <w:jc w:val="left"/>
        <w:rPr>
          <w:b/>
          <w:color w:val="2E75B5"/>
          <w:sz w:val="26"/>
          <w:szCs w:val="26"/>
        </w:rPr>
      </w:pPr>
      <w:r>
        <w:rPr>
          <w:noProof/>
          <w:lang w:val="en-ZA"/>
        </w:rPr>
        <w:drawing>
          <wp:inline distT="0" distB="0" distL="0" distR="0" wp14:anchorId="7704F564" wp14:editId="1446F571">
            <wp:extent cx="5683250" cy="2546350"/>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0000218" w14:textId="3381D7FE" w:rsidR="0039297D" w:rsidRPr="000F15C3" w:rsidRDefault="004273CA" w:rsidP="000F15C3">
      <w:pPr>
        <w:pBdr>
          <w:top w:val="nil"/>
          <w:left w:val="nil"/>
          <w:bottom w:val="nil"/>
          <w:right w:val="nil"/>
          <w:between w:val="nil"/>
        </w:pBdr>
        <w:spacing w:before="120" w:line="259" w:lineRule="auto"/>
        <w:rPr>
          <w:i/>
          <w:color w:val="44546A"/>
        </w:rPr>
      </w:pPr>
      <w:bookmarkStart w:id="74" w:name="_heading=h.37m2jsg" w:colFirst="0" w:colLast="0"/>
      <w:bookmarkEnd w:id="74"/>
      <w:r w:rsidRPr="000F15C3">
        <w:rPr>
          <w:i/>
          <w:color w:val="44546A"/>
        </w:rPr>
        <w:t>Figure 13: Percentage shares of cultural goods trade in South Africa</w:t>
      </w:r>
      <w:r w:rsidR="00792E6B" w:rsidRPr="000F15C3">
        <w:rPr>
          <w:i/>
          <w:color w:val="44546A"/>
        </w:rPr>
        <w:t>’</w:t>
      </w:r>
      <w:r w:rsidRPr="000F15C3">
        <w:rPr>
          <w:i/>
          <w:color w:val="44546A"/>
        </w:rPr>
        <w:t>s total commodity trade</w:t>
      </w:r>
    </w:p>
    <w:p w14:paraId="00000219" w14:textId="41BC726A" w:rsidR="0039297D" w:rsidRPr="000F15C3" w:rsidRDefault="004273CA" w:rsidP="000F15C3">
      <w:pPr>
        <w:pBdr>
          <w:top w:val="nil"/>
          <w:left w:val="nil"/>
          <w:bottom w:val="nil"/>
          <w:right w:val="nil"/>
          <w:between w:val="nil"/>
        </w:pBdr>
        <w:spacing w:line="259" w:lineRule="auto"/>
        <w:rPr>
          <w:iCs/>
        </w:rPr>
      </w:pPr>
      <w:r w:rsidRPr="000F15C3">
        <w:rPr>
          <w:iCs/>
        </w:rPr>
        <w:t>Source: Authors’ computations based on data from ITC, 2021 and UN Comtrade, 2021</w:t>
      </w:r>
    </w:p>
    <w:p w14:paraId="0000021B" w14:textId="3E701722" w:rsidR="0039297D" w:rsidRDefault="004273CA" w:rsidP="00EB059B">
      <w:pPr>
        <w:spacing w:line="259" w:lineRule="auto"/>
        <w:rPr>
          <w:sz w:val="22"/>
          <w:szCs w:val="22"/>
        </w:rPr>
      </w:pPr>
      <w:r>
        <w:rPr>
          <w:sz w:val="22"/>
          <w:szCs w:val="22"/>
        </w:rPr>
        <w:t>The remainder of this section turns to trends in the composition of cultural goods exports and imports by domain.</w:t>
      </w:r>
      <w:r w:rsidR="007E16E4">
        <w:rPr>
          <w:sz w:val="22"/>
          <w:szCs w:val="22"/>
        </w:rPr>
        <w:t xml:space="preserve"> </w:t>
      </w:r>
      <w:r>
        <w:rPr>
          <w:sz w:val="22"/>
          <w:szCs w:val="22"/>
        </w:rPr>
        <w:t xml:space="preserve">It is important to analyse the domains and sub-sectors driving the trends in cultural goods exports, imports and the trade balance that were discussed earlier, as this will have important implications for policy. </w:t>
      </w:r>
    </w:p>
    <w:p w14:paraId="0000021C" w14:textId="51E60D98" w:rsidR="0039297D" w:rsidRDefault="004273CA" w:rsidP="00EB059B">
      <w:pPr>
        <w:spacing w:line="259" w:lineRule="auto"/>
        <w:rPr>
          <w:sz w:val="22"/>
          <w:szCs w:val="22"/>
        </w:rPr>
      </w:pPr>
      <w:r>
        <w:rPr>
          <w:sz w:val="22"/>
          <w:szCs w:val="22"/>
        </w:rPr>
        <w:t>Figure 14 below graphs South Africa’s cultural goods exports by domain for the period 2001</w:t>
      </w:r>
      <w:r w:rsidR="000E3F72">
        <w:rPr>
          <w:sz w:val="22"/>
          <w:szCs w:val="22"/>
        </w:rPr>
        <w:t>–</w:t>
      </w:r>
      <w:r>
        <w:rPr>
          <w:sz w:val="22"/>
          <w:szCs w:val="22"/>
        </w:rPr>
        <w:t>2020.</w:t>
      </w:r>
      <w:r w:rsidR="007E16E4">
        <w:rPr>
          <w:sz w:val="22"/>
          <w:szCs w:val="22"/>
        </w:rPr>
        <w:t xml:space="preserve"> </w:t>
      </w:r>
      <w:r>
        <w:rPr>
          <w:sz w:val="22"/>
          <w:szCs w:val="22"/>
        </w:rPr>
        <w:t>Over this period, exports were dominated by products from the Visual Arts and Crafts domain, together with those from Books and Press.</w:t>
      </w:r>
      <w:r w:rsidR="007E16E4">
        <w:rPr>
          <w:sz w:val="22"/>
          <w:szCs w:val="22"/>
        </w:rPr>
        <w:t xml:space="preserve"> </w:t>
      </w:r>
      <w:r>
        <w:rPr>
          <w:sz w:val="22"/>
          <w:szCs w:val="22"/>
        </w:rPr>
        <w:t>Exports of the Visual Arts and Crafts domain accounted for the largest share of cultural goods exports in all the years under study, except for the period 2010</w:t>
      </w:r>
      <w:r w:rsidR="000E3F72">
        <w:rPr>
          <w:sz w:val="22"/>
          <w:szCs w:val="22"/>
        </w:rPr>
        <w:t>–</w:t>
      </w:r>
      <w:r>
        <w:rPr>
          <w:sz w:val="22"/>
          <w:szCs w:val="22"/>
        </w:rPr>
        <w:t>2012.</w:t>
      </w:r>
      <w:r w:rsidR="007E16E4">
        <w:rPr>
          <w:sz w:val="22"/>
          <w:szCs w:val="22"/>
        </w:rPr>
        <w:t xml:space="preserve"> </w:t>
      </w:r>
      <w:r>
        <w:rPr>
          <w:sz w:val="22"/>
          <w:szCs w:val="22"/>
        </w:rPr>
        <w:t>Growth in Visual Arts and Craft exports accelerated markedly after 2014, but fell from 2018 onwards.</w:t>
      </w:r>
      <w:r w:rsidR="007E16E4">
        <w:rPr>
          <w:sz w:val="22"/>
          <w:szCs w:val="22"/>
        </w:rPr>
        <w:t xml:space="preserve"> </w:t>
      </w:r>
      <w:r>
        <w:rPr>
          <w:sz w:val="22"/>
          <w:szCs w:val="22"/>
        </w:rPr>
        <w:t>Sub-sectors of primary importance for Visual Arts and Crafts exports included “Articles of jewellery and parts thereof, of precious metal other than silver”, which accounted for 62% of domain exports in 2020, and, more recently, “Paintings, e.g. oil paintings, watercolours and pastels, and drawings”, “Collages and similar decorative plaques” and “Original sculptures and statuary, in any material”.</w:t>
      </w:r>
      <w:r w:rsidR="007E16E4">
        <w:rPr>
          <w:sz w:val="22"/>
          <w:szCs w:val="22"/>
        </w:rPr>
        <w:t xml:space="preserve"> </w:t>
      </w:r>
      <w:r>
        <w:rPr>
          <w:sz w:val="22"/>
          <w:szCs w:val="22"/>
        </w:rPr>
        <w:t>Earlier in the period under study, especially between 2001 and 2008, the sub-sector “Ornamental trimmings of textile materials, in the piece, not embroidered, other than knitted” was an important export category.</w:t>
      </w:r>
      <w:r w:rsidR="007E16E4">
        <w:rPr>
          <w:sz w:val="22"/>
          <w:szCs w:val="22"/>
        </w:rPr>
        <w:t xml:space="preserve"> </w:t>
      </w:r>
      <w:r>
        <w:rPr>
          <w:sz w:val="22"/>
          <w:szCs w:val="22"/>
        </w:rPr>
        <w:t>Under Books and Press, the predominant export sub-sector was “Printed Books and Press, brochures and similar printed matter (excluding those in single sheets…)”, which accounted for 81% of Books and Press exports in 2020.</w:t>
      </w:r>
      <w:r w:rsidR="007E16E4">
        <w:rPr>
          <w:sz w:val="22"/>
          <w:szCs w:val="22"/>
        </w:rPr>
        <w:t xml:space="preserve"> </w:t>
      </w:r>
      <w:r>
        <w:rPr>
          <w:sz w:val="22"/>
          <w:szCs w:val="22"/>
        </w:rPr>
        <w:t>“Printed Books and Press, brochures and similar printed matter, in single sheets, whether or not folded” and “Newspapers, journals and periodicals” were other important sub-sectors.</w:t>
      </w:r>
      <w:r w:rsidR="007E16E4">
        <w:rPr>
          <w:sz w:val="22"/>
          <w:szCs w:val="22"/>
        </w:rPr>
        <w:t xml:space="preserve"> </w:t>
      </w:r>
      <w:r>
        <w:rPr>
          <w:sz w:val="22"/>
          <w:szCs w:val="22"/>
        </w:rPr>
        <w:t>There appears to be a lot of scope for further diversification of exports within the Visual Arts and Crafts and Books and Press domains in related sub-sectors.</w:t>
      </w:r>
    </w:p>
    <w:p w14:paraId="0000021D" w14:textId="5A45479A" w:rsidR="0039297D" w:rsidRDefault="004273CA" w:rsidP="00EB059B">
      <w:pPr>
        <w:spacing w:line="259" w:lineRule="auto"/>
        <w:rPr>
          <w:sz w:val="22"/>
          <w:szCs w:val="22"/>
        </w:rPr>
      </w:pPr>
      <w:r>
        <w:rPr>
          <w:sz w:val="22"/>
          <w:szCs w:val="22"/>
        </w:rPr>
        <w:t>While the Performance and Celebration domain contributes less to cultural goods exports than the domains discussed above, there was some notable export growth in Performance and Celebration in the period 2013</w:t>
      </w:r>
      <w:r w:rsidR="00EE08A8">
        <w:rPr>
          <w:sz w:val="22"/>
          <w:szCs w:val="22"/>
        </w:rPr>
        <w:t>–</w:t>
      </w:r>
      <w:r>
        <w:rPr>
          <w:sz w:val="22"/>
          <w:szCs w:val="22"/>
        </w:rPr>
        <w:t>2017 in particular.</w:t>
      </w:r>
      <w:r w:rsidR="007E16E4">
        <w:rPr>
          <w:sz w:val="22"/>
          <w:szCs w:val="22"/>
        </w:rPr>
        <w:t xml:space="preserve"> </w:t>
      </w:r>
      <w:r>
        <w:rPr>
          <w:sz w:val="22"/>
          <w:szCs w:val="22"/>
        </w:rPr>
        <w:t>This was largely driven by the sub-sectors “Media for the recording of sound or of other phenomena, whether or not recorded…” and “Magnetic media for the recording of sound or of other phenomena…”.</w:t>
      </w:r>
      <w:r w:rsidR="007E16E4">
        <w:rPr>
          <w:sz w:val="22"/>
          <w:szCs w:val="22"/>
        </w:rPr>
        <w:t xml:space="preserve"> </w:t>
      </w:r>
      <w:r>
        <w:rPr>
          <w:sz w:val="22"/>
          <w:szCs w:val="22"/>
        </w:rPr>
        <w:t>The Cultural and Natural Heritage domain depicted steady but minimal export growth off a low base over the period under study, with export spikes in 2008 and 2012.</w:t>
      </w:r>
      <w:r w:rsidR="007E16E4">
        <w:rPr>
          <w:sz w:val="22"/>
          <w:szCs w:val="22"/>
        </w:rPr>
        <w:t xml:space="preserve"> </w:t>
      </w:r>
      <w:r>
        <w:rPr>
          <w:sz w:val="22"/>
          <w:szCs w:val="22"/>
        </w:rPr>
        <w:t xml:space="preserve">Finally, there were negligible cultural </w:t>
      </w:r>
      <w:r>
        <w:rPr>
          <w:sz w:val="22"/>
          <w:szCs w:val="22"/>
        </w:rPr>
        <w:lastRenderedPageBreak/>
        <w:t>goods exports from the Audio-visual and Interactive Media and Design and Creative Services domains.</w:t>
      </w:r>
      <w:r w:rsidR="007E16E4">
        <w:rPr>
          <w:sz w:val="22"/>
          <w:szCs w:val="22"/>
        </w:rPr>
        <w:t xml:space="preserve"> </w:t>
      </w:r>
      <w:r>
        <w:rPr>
          <w:sz w:val="22"/>
          <w:szCs w:val="22"/>
        </w:rPr>
        <w:t>However, trade activity in these domains is mostly captured in the services trade data discussed in Chapter 3.</w:t>
      </w:r>
    </w:p>
    <w:p w14:paraId="0000021E" w14:textId="77777777" w:rsidR="0039297D" w:rsidRDefault="004273CA">
      <w:pPr>
        <w:spacing w:line="259" w:lineRule="auto"/>
        <w:jc w:val="left"/>
        <w:rPr>
          <w:sz w:val="22"/>
          <w:szCs w:val="22"/>
        </w:rPr>
      </w:pPr>
      <w:r>
        <w:rPr>
          <w:noProof/>
          <w:lang w:val="en-ZA"/>
        </w:rPr>
        <w:drawing>
          <wp:inline distT="0" distB="0" distL="0" distR="0" wp14:anchorId="0142AA20" wp14:editId="75853855">
            <wp:extent cx="5651500" cy="3365500"/>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000021F" w14:textId="2ED8C7F5" w:rsidR="0039297D" w:rsidRPr="000F15C3" w:rsidRDefault="004273CA" w:rsidP="000F15C3">
      <w:pPr>
        <w:pBdr>
          <w:top w:val="nil"/>
          <w:left w:val="nil"/>
          <w:bottom w:val="nil"/>
          <w:right w:val="nil"/>
          <w:between w:val="nil"/>
        </w:pBdr>
        <w:spacing w:before="120" w:after="0" w:line="259" w:lineRule="auto"/>
        <w:rPr>
          <w:i/>
          <w:color w:val="44546A"/>
        </w:rPr>
      </w:pPr>
      <w:bookmarkStart w:id="75" w:name="_heading=h.1mrcu09" w:colFirst="0" w:colLast="0"/>
      <w:bookmarkEnd w:id="75"/>
      <w:r w:rsidRPr="000F15C3">
        <w:rPr>
          <w:i/>
          <w:color w:val="44546A"/>
        </w:rPr>
        <w:t xml:space="preserve">Figure 14: South </w:t>
      </w:r>
      <w:r w:rsidR="00792E6B" w:rsidRPr="000F15C3">
        <w:rPr>
          <w:i/>
          <w:color w:val="44546A"/>
        </w:rPr>
        <w:t xml:space="preserve">Africa’s </w:t>
      </w:r>
      <w:r w:rsidRPr="000F15C3">
        <w:rPr>
          <w:i/>
          <w:color w:val="44546A"/>
        </w:rPr>
        <w:t>cultural goods exports by domain 2001-2020 (US$ millions)</w:t>
      </w:r>
    </w:p>
    <w:p w14:paraId="00000220" w14:textId="24125A9E" w:rsidR="0039297D" w:rsidRPr="000F15C3" w:rsidRDefault="004273CA" w:rsidP="000F15C3">
      <w:pPr>
        <w:pBdr>
          <w:top w:val="nil"/>
          <w:left w:val="nil"/>
          <w:bottom w:val="nil"/>
          <w:right w:val="nil"/>
          <w:between w:val="nil"/>
        </w:pBdr>
        <w:spacing w:before="120" w:line="259" w:lineRule="auto"/>
        <w:rPr>
          <w:iCs/>
          <w:sz w:val="24"/>
          <w:szCs w:val="24"/>
        </w:rPr>
      </w:pPr>
      <w:r w:rsidRPr="000F15C3">
        <w:rPr>
          <w:iCs/>
        </w:rPr>
        <w:t>Source: Authors’ computations based on data from ITC, 2021 and UN Comtrade, 2021</w:t>
      </w:r>
    </w:p>
    <w:p w14:paraId="00000221" w14:textId="46E42408" w:rsidR="0039297D" w:rsidRDefault="004273CA">
      <w:pPr>
        <w:spacing w:line="259" w:lineRule="auto"/>
        <w:rPr>
          <w:sz w:val="22"/>
          <w:szCs w:val="22"/>
        </w:rPr>
      </w:pPr>
      <w:r>
        <w:rPr>
          <w:sz w:val="22"/>
          <w:szCs w:val="22"/>
        </w:rPr>
        <w:t>Turning to the import side, Figure 15 below plots South Africa’s cultural goods imports by domain for the period 2001 to 2020.</w:t>
      </w:r>
      <w:r w:rsidR="007E16E4">
        <w:rPr>
          <w:sz w:val="22"/>
          <w:szCs w:val="22"/>
        </w:rPr>
        <w:t xml:space="preserve"> </w:t>
      </w:r>
      <w:r>
        <w:rPr>
          <w:sz w:val="22"/>
          <w:szCs w:val="22"/>
        </w:rPr>
        <w:t>Books and Press, together with Visual Arts and Crafts, were the dominant import domains for most of the period under study, as in the case of exports.</w:t>
      </w:r>
      <w:r w:rsidR="007E16E4">
        <w:rPr>
          <w:sz w:val="22"/>
          <w:szCs w:val="22"/>
        </w:rPr>
        <w:t xml:space="preserve"> </w:t>
      </w:r>
      <w:r>
        <w:rPr>
          <w:sz w:val="22"/>
          <w:szCs w:val="22"/>
        </w:rPr>
        <w:t>After growing for most of the 2000s until the global financial crisis, imports from the Books and Press domain declined systematically between 2010 and 2020.</w:t>
      </w:r>
      <w:r w:rsidR="007E16E4">
        <w:rPr>
          <w:sz w:val="22"/>
          <w:szCs w:val="22"/>
        </w:rPr>
        <w:t xml:space="preserve"> </w:t>
      </w:r>
      <w:r>
        <w:rPr>
          <w:sz w:val="22"/>
          <w:szCs w:val="22"/>
        </w:rPr>
        <w:t>Visual Arts and Crafts imports grew up until 2006, fell during the crisis, then grew again from 2009 until 2011. Visual Arts and Crafts imports were fluctuating but relatively stable thereafter until 2018 when they began to decline more sharply.</w:t>
      </w:r>
      <w:r w:rsidR="007E16E4">
        <w:rPr>
          <w:sz w:val="22"/>
          <w:szCs w:val="22"/>
        </w:rPr>
        <w:t xml:space="preserve"> </w:t>
      </w:r>
      <w:r>
        <w:rPr>
          <w:sz w:val="22"/>
          <w:szCs w:val="22"/>
        </w:rPr>
        <w:t>Prominent import categories in Books and Press included “Printed Books and Press, brochures and similar printed matter (excluding those in single sheets...)” and “Newspapers, journals and periodicals”, as on the export side.</w:t>
      </w:r>
      <w:r w:rsidR="007E16E4">
        <w:rPr>
          <w:sz w:val="22"/>
          <w:szCs w:val="22"/>
        </w:rPr>
        <w:t xml:space="preserve"> </w:t>
      </w:r>
      <w:r>
        <w:rPr>
          <w:sz w:val="22"/>
          <w:szCs w:val="22"/>
        </w:rPr>
        <w:t>Important Visual Arts and Crafts imports included “Knitted or crocheted fabrics, of a width of &gt; 30 cm, containing &gt;= 5% by weight elastomeric ...”, “Articles of jewellery and parts thereof, of precious metal other than silver” and “Articles of jewellery and parts thereof, of silver”.</w:t>
      </w:r>
    </w:p>
    <w:p w14:paraId="00000222" w14:textId="625ACC1A" w:rsidR="0039297D" w:rsidRDefault="004273CA">
      <w:pPr>
        <w:spacing w:line="259" w:lineRule="auto"/>
        <w:rPr>
          <w:sz w:val="22"/>
          <w:szCs w:val="22"/>
        </w:rPr>
      </w:pPr>
      <w:r>
        <w:rPr>
          <w:sz w:val="22"/>
          <w:szCs w:val="22"/>
        </w:rPr>
        <w:t>Performance and Celebration was another significant domain for cultural goods imports from 2006 to 2018, however imports from this domain also declined thereafter.</w:t>
      </w:r>
      <w:r w:rsidR="007E16E4">
        <w:rPr>
          <w:sz w:val="22"/>
          <w:szCs w:val="22"/>
        </w:rPr>
        <w:t xml:space="preserve"> </w:t>
      </w:r>
      <w:r>
        <w:rPr>
          <w:sz w:val="22"/>
          <w:szCs w:val="22"/>
        </w:rPr>
        <w:t>Imports of products falling in this domain appear to be more diversified than exports, although the same two sub-sectors are prominent on the import side.</w:t>
      </w:r>
      <w:r w:rsidR="007E16E4">
        <w:rPr>
          <w:sz w:val="22"/>
          <w:szCs w:val="22"/>
        </w:rPr>
        <w:t xml:space="preserve"> </w:t>
      </w:r>
      <w:r>
        <w:rPr>
          <w:sz w:val="22"/>
          <w:szCs w:val="22"/>
        </w:rPr>
        <w:t>The sub-sector “Solid-state, non-volatile data storage devices for recording data from an external source…” is, however, by far the most dominant import sub-sector in the Performance and Celebration domain.</w:t>
      </w:r>
      <w:r w:rsidR="007E16E4">
        <w:rPr>
          <w:sz w:val="22"/>
          <w:szCs w:val="22"/>
        </w:rPr>
        <w:t xml:space="preserve"> </w:t>
      </w:r>
      <w:r>
        <w:rPr>
          <w:sz w:val="22"/>
          <w:szCs w:val="22"/>
        </w:rPr>
        <w:t>Musical instrument categories in this domain are also of importance on the import side.</w:t>
      </w:r>
    </w:p>
    <w:p w14:paraId="00000223" w14:textId="7D7869CC" w:rsidR="0039297D" w:rsidRDefault="004273CA">
      <w:pPr>
        <w:spacing w:line="259" w:lineRule="auto"/>
        <w:rPr>
          <w:sz w:val="22"/>
          <w:szCs w:val="22"/>
        </w:rPr>
      </w:pPr>
      <w:r>
        <w:rPr>
          <w:sz w:val="22"/>
          <w:szCs w:val="22"/>
        </w:rPr>
        <w:t>Import trends for the Audio-visual and Interactive Media domain were affected by the reallocation of the sub-sector “Video games” into a broader category not recognised as part of cultural goods trade in the 2009 UNESCO FCS.</w:t>
      </w:r>
      <w:r w:rsidR="007E16E4">
        <w:rPr>
          <w:sz w:val="22"/>
          <w:szCs w:val="22"/>
        </w:rPr>
        <w:t xml:space="preserve"> </w:t>
      </w:r>
      <w:r>
        <w:rPr>
          <w:sz w:val="22"/>
          <w:szCs w:val="22"/>
        </w:rPr>
        <w:t xml:space="preserve">This accounts for part of the import decline </w:t>
      </w:r>
      <w:r>
        <w:rPr>
          <w:sz w:val="22"/>
          <w:szCs w:val="22"/>
        </w:rPr>
        <w:lastRenderedPageBreak/>
        <w:t>for this domain in the period 2012</w:t>
      </w:r>
      <w:r w:rsidR="00EE08A8">
        <w:rPr>
          <w:sz w:val="22"/>
          <w:szCs w:val="22"/>
        </w:rPr>
        <w:t>–</w:t>
      </w:r>
      <w:r>
        <w:rPr>
          <w:sz w:val="22"/>
          <w:szCs w:val="22"/>
        </w:rPr>
        <w:t>2017 (Figure 15).</w:t>
      </w:r>
      <w:r w:rsidR="007E16E4">
        <w:rPr>
          <w:sz w:val="22"/>
          <w:szCs w:val="22"/>
        </w:rPr>
        <w:t xml:space="preserve"> </w:t>
      </w:r>
      <w:r>
        <w:rPr>
          <w:sz w:val="22"/>
          <w:szCs w:val="22"/>
        </w:rPr>
        <w:t xml:space="preserve">Imports were also very low </w:t>
      </w:r>
      <w:r w:rsidR="00EE08A8">
        <w:rPr>
          <w:sz w:val="22"/>
          <w:szCs w:val="22"/>
        </w:rPr>
        <w:t xml:space="preserve">compared </w:t>
      </w:r>
      <w:r>
        <w:rPr>
          <w:sz w:val="22"/>
          <w:szCs w:val="22"/>
        </w:rPr>
        <w:t>to th</w:t>
      </w:r>
      <w:r w:rsidR="00EE08A8">
        <w:rPr>
          <w:sz w:val="22"/>
          <w:szCs w:val="22"/>
        </w:rPr>
        <w:t>ose</w:t>
      </w:r>
      <w:r>
        <w:rPr>
          <w:sz w:val="22"/>
          <w:szCs w:val="22"/>
        </w:rPr>
        <w:t xml:space="preserve"> during the period 2009</w:t>
      </w:r>
      <w:r w:rsidR="00EE08A8">
        <w:rPr>
          <w:sz w:val="22"/>
          <w:szCs w:val="22"/>
        </w:rPr>
        <w:t>–</w:t>
      </w:r>
      <w:r>
        <w:rPr>
          <w:sz w:val="22"/>
          <w:szCs w:val="22"/>
        </w:rPr>
        <w:t>2011.</w:t>
      </w:r>
      <w:r w:rsidR="007E16E4">
        <w:rPr>
          <w:sz w:val="22"/>
          <w:szCs w:val="22"/>
        </w:rPr>
        <w:t xml:space="preserve"> </w:t>
      </w:r>
      <w:r>
        <w:rPr>
          <w:sz w:val="22"/>
          <w:szCs w:val="22"/>
        </w:rPr>
        <w:t>Finally, imports in the Cultural and Natural Heritage domain were comparatively low over the period under study, while imports in the Design and Creative Services domain were negligible.</w:t>
      </w:r>
    </w:p>
    <w:p w14:paraId="00000224" w14:textId="77777777" w:rsidR="0039297D" w:rsidRDefault="004273CA">
      <w:pPr>
        <w:spacing w:line="259" w:lineRule="auto"/>
        <w:jc w:val="left"/>
        <w:rPr>
          <w:sz w:val="22"/>
          <w:szCs w:val="22"/>
        </w:rPr>
      </w:pPr>
      <w:r>
        <w:rPr>
          <w:noProof/>
          <w:lang w:val="en-ZA"/>
        </w:rPr>
        <w:drawing>
          <wp:inline distT="0" distB="0" distL="0" distR="0" wp14:anchorId="12CF0341" wp14:editId="2ABC82B2">
            <wp:extent cx="5689600" cy="3314700"/>
            <wp:effectExtent l="0" t="0" r="0" b="0"/>
            <wp:docPr id="57" name="Chart 5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00000225" w14:textId="0F7FAC9A" w:rsidR="0039297D" w:rsidRPr="000F15C3" w:rsidRDefault="004273CA" w:rsidP="000F15C3">
      <w:pPr>
        <w:pBdr>
          <w:top w:val="nil"/>
          <w:left w:val="nil"/>
          <w:bottom w:val="nil"/>
          <w:right w:val="nil"/>
          <w:between w:val="nil"/>
        </w:pBdr>
        <w:spacing w:before="120" w:line="259" w:lineRule="auto"/>
        <w:rPr>
          <w:i/>
          <w:color w:val="44546A"/>
        </w:rPr>
      </w:pPr>
      <w:bookmarkStart w:id="76" w:name="_heading=h.46r0co2" w:colFirst="0" w:colLast="0"/>
      <w:bookmarkEnd w:id="76"/>
      <w:r w:rsidRPr="000F15C3">
        <w:rPr>
          <w:i/>
          <w:color w:val="44546A"/>
        </w:rPr>
        <w:t>Figure 15: South Africa</w:t>
      </w:r>
      <w:r w:rsidR="00792E6B" w:rsidRPr="000F15C3">
        <w:rPr>
          <w:i/>
          <w:color w:val="44546A"/>
        </w:rPr>
        <w:t>’</w:t>
      </w:r>
      <w:r w:rsidRPr="000F15C3">
        <w:rPr>
          <w:i/>
          <w:color w:val="44546A"/>
        </w:rPr>
        <w:t>s cultural goods imports by domain 2001-2020 (US$ millions)</w:t>
      </w:r>
    </w:p>
    <w:p w14:paraId="00000226" w14:textId="06CC6453" w:rsidR="0039297D" w:rsidRPr="000F15C3" w:rsidRDefault="004273CA" w:rsidP="000F15C3">
      <w:pPr>
        <w:pBdr>
          <w:top w:val="nil"/>
          <w:left w:val="nil"/>
          <w:bottom w:val="nil"/>
          <w:right w:val="nil"/>
          <w:between w:val="nil"/>
        </w:pBdr>
        <w:spacing w:line="259" w:lineRule="auto"/>
        <w:rPr>
          <w:iCs/>
          <w:color w:val="44546A"/>
        </w:rPr>
      </w:pPr>
      <w:r w:rsidRPr="000F15C3">
        <w:rPr>
          <w:iCs/>
        </w:rPr>
        <w:t>Source: Authors’ computations based on data from ITC, 2021 and UN Comtrade, 2021</w:t>
      </w:r>
    </w:p>
    <w:p w14:paraId="00000227" w14:textId="17FF1612" w:rsidR="0039297D" w:rsidRDefault="004273CA" w:rsidP="000F15C3">
      <w:pPr>
        <w:spacing w:line="259" w:lineRule="auto"/>
        <w:rPr>
          <w:sz w:val="22"/>
          <w:szCs w:val="22"/>
        </w:rPr>
      </w:pPr>
      <w:r>
        <w:rPr>
          <w:sz w:val="22"/>
          <w:szCs w:val="22"/>
        </w:rPr>
        <w:t>Trends in the trade balance by domain over the period 2001 to 2020 are shown in Figure 16 below.</w:t>
      </w:r>
      <w:r w:rsidR="007E16E4">
        <w:rPr>
          <w:sz w:val="22"/>
          <w:szCs w:val="22"/>
        </w:rPr>
        <w:t xml:space="preserve"> </w:t>
      </w:r>
      <w:r>
        <w:rPr>
          <w:sz w:val="22"/>
          <w:szCs w:val="22"/>
        </w:rPr>
        <w:t>This perspective is a useful one for policy purposes.</w:t>
      </w:r>
      <w:r w:rsidR="007E16E4">
        <w:rPr>
          <w:sz w:val="22"/>
          <w:szCs w:val="22"/>
        </w:rPr>
        <w:t xml:space="preserve"> </w:t>
      </w:r>
      <w:r>
        <w:rPr>
          <w:sz w:val="22"/>
          <w:szCs w:val="22"/>
        </w:rPr>
        <w:t>For example, despite the relatively low magnitude of South Africa’s trade in the Cultural and Natural Heritage domain, the trend in Figure 16 shows a consistent trade surplus for this domain over the period under study.</w:t>
      </w:r>
      <w:r w:rsidR="007E16E4">
        <w:rPr>
          <w:sz w:val="22"/>
          <w:szCs w:val="22"/>
        </w:rPr>
        <w:t xml:space="preserve"> </w:t>
      </w:r>
      <w:r>
        <w:rPr>
          <w:sz w:val="22"/>
          <w:szCs w:val="22"/>
        </w:rPr>
        <w:t>Cultural and Natural Heritage could therefore be a useful domain to target for export promotion.</w:t>
      </w:r>
      <w:r w:rsidR="007E16E4">
        <w:rPr>
          <w:sz w:val="22"/>
          <w:szCs w:val="22"/>
        </w:rPr>
        <w:t xml:space="preserve"> </w:t>
      </w:r>
      <w:r>
        <w:rPr>
          <w:sz w:val="22"/>
          <w:szCs w:val="22"/>
        </w:rPr>
        <w:t>The Visual Arts and Crafts domain, which has a significant share of cultural goods trade in terms of both exports and imports, began to run a trade surplus from 2017 for the first time since 2005.</w:t>
      </w:r>
      <w:r w:rsidR="007E16E4">
        <w:rPr>
          <w:sz w:val="22"/>
          <w:szCs w:val="22"/>
        </w:rPr>
        <w:t xml:space="preserve"> </w:t>
      </w:r>
      <w:r>
        <w:rPr>
          <w:sz w:val="22"/>
          <w:szCs w:val="22"/>
        </w:rPr>
        <w:t>This was when both exports and imports were growing, but exports grew more rapidly.</w:t>
      </w:r>
      <w:r w:rsidR="007E16E4">
        <w:rPr>
          <w:sz w:val="22"/>
          <w:szCs w:val="22"/>
        </w:rPr>
        <w:t xml:space="preserve"> </w:t>
      </w:r>
      <w:r>
        <w:rPr>
          <w:sz w:val="22"/>
          <w:szCs w:val="22"/>
        </w:rPr>
        <w:t>Further diversification and export promotion in this domain seem warranted.</w:t>
      </w:r>
    </w:p>
    <w:p w14:paraId="00000228" w14:textId="3F33C448" w:rsidR="0039297D" w:rsidRDefault="004273CA" w:rsidP="000F15C3">
      <w:pPr>
        <w:spacing w:line="259" w:lineRule="auto"/>
        <w:rPr>
          <w:sz w:val="22"/>
          <w:szCs w:val="22"/>
        </w:rPr>
      </w:pPr>
      <w:r>
        <w:rPr>
          <w:sz w:val="22"/>
          <w:szCs w:val="22"/>
        </w:rPr>
        <w:t xml:space="preserve">Books and Press </w:t>
      </w:r>
      <w:r w:rsidR="00EE08A8">
        <w:rPr>
          <w:sz w:val="22"/>
          <w:szCs w:val="22"/>
        </w:rPr>
        <w:t>and</w:t>
      </w:r>
      <w:r>
        <w:rPr>
          <w:sz w:val="22"/>
          <w:szCs w:val="22"/>
        </w:rPr>
        <w:t xml:space="preserve"> Performance and Celebration show the most significant trade deficits in cultural goods trade for South Africa.</w:t>
      </w:r>
      <w:r w:rsidR="007E16E4">
        <w:rPr>
          <w:sz w:val="22"/>
          <w:szCs w:val="22"/>
        </w:rPr>
        <w:t xml:space="preserve"> </w:t>
      </w:r>
      <w:r>
        <w:rPr>
          <w:sz w:val="22"/>
          <w:szCs w:val="22"/>
        </w:rPr>
        <w:t>Both deficits have narrowed markedly in recent years, especially in the Books and Press domain, largely due to the import contraction seen in Figure 15.</w:t>
      </w:r>
      <w:r w:rsidR="007E16E4">
        <w:rPr>
          <w:sz w:val="22"/>
          <w:szCs w:val="22"/>
        </w:rPr>
        <w:t xml:space="preserve"> </w:t>
      </w:r>
      <w:r>
        <w:rPr>
          <w:sz w:val="22"/>
          <w:szCs w:val="22"/>
        </w:rPr>
        <w:t>For Books and Press, however, the increase in exports in 2017</w:t>
      </w:r>
      <w:r w:rsidR="00D02019">
        <w:rPr>
          <w:sz w:val="22"/>
          <w:szCs w:val="22"/>
        </w:rPr>
        <w:t>–</w:t>
      </w:r>
      <w:r>
        <w:rPr>
          <w:sz w:val="22"/>
          <w:szCs w:val="22"/>
        </w:rPr>
        <w:t>2018 and again in 2019</w:t>
      </w:r>
      <w:r w:rsidR="00D02019">
        <w:rPr>
          <w:sz w:val="22"/>
          <w:szCs w:val="22"/>
        </w:rPr>
        <w:t>–</w:t>
      </w:r>
      <w:r>
        <w:rPr>
          <w:sz w:val="22"/>
          <w:szCs w:val="22"/>
        </w:rPr>
        <w:t>2020 contributed to the deficit reduction.</w:t>
      </w:r>
      <w:r w:rsidR="007E16E4">
        <w:rPr>
          <w:sz w:val="22"/>
          <w:szCs w:val="22"/>
        </w:rPr>
        <w:t xml:space="preserve"> </w:t>
      </w:r>
      <w:r>
        <w:rPr>
          <w:sz w:val="22"/>
          <w:szCs w:val="22"/>
        </w:rPr>
        <w:t>Policies to promote cultural goods exports should look closely at sub-sectors within these domains where exporting may be feasible.</w:t>
      </w:r>
      <w:r w:rsidR="007E16E4">
        <w:rPr>
          <w:sz w:val="22"/>
          <w:szCs w:val="22"/>
        </w:rPr>
        <w:t xml:space="preserve"> </w:t>
      </w:r>
      <w:r>
        <w:rPr>
          <w:sz w:val="22"/>
          <w:szCs w:val="22"/>
        </w:rPr>
        <w:t>The deficit reduction in the Audio-visual and Interactive Media domain is related to the removal of the “Video games” category from cultural trade and a lack of data in the cinematographic film sub-category since 2011</w:t>
      </w:r>
      <w:r w:rsidR="00D02019">
        <w:rPr>
          <w:sz w:val="22"/>
          <w:szCs w:val="22"/>
        </w:rPr>
        <w:t>–</w:t>
      </w:r>
      <w:r>
        <w:rPr>
          <w:sz w:val="22"/>
          <w:szCs w:val="22"/>
        </w:rPr>
        <w:t>2012.</w:t>
      </w:r>
      <w:r w:rsidR="007E16E4">
        <w:rPr>
          <w:sz w:val="22"/>
          <w:szCs w:val="22"/>
        </w:rPr>
        <w:t xml:space="preserve"> </w:t>
      </w:r>
      <w:r>
        <w:rPr>
          <w:sz w:val="22"/>
          <w:szCs w:val="22"/>
        </w:rPr>
        <w:t>Even though a lot of the activity of this domain is captured under services trade, improved data collection for the Audio-visual and Interactive Media domain on the goods trade side is needed.</w:t>
      </w:r>
    </w:p>
    <w:p w14:paraId="00000229" w14:textId="77777777" w:rsidR="0039297D" w:rsidRDefault="004273CA">
      <w:pPr>
        <w:rPr>
          <w:sz w:val="22"/>
          <w:szCs w:val="22"/>
        </w:rPr>
      </w:pPr>
      <w:r>
        <w:rPr>
          <w:noProof/>
          <w:lang w:val="en-ZA"/>
        </w:rPr>
        <w:lastRenderedPageBreak/>
        <w:drawing>
          <wp:inline distT="0" distB="0" distL="0" distR="0" wp14:anchorId="1CEEB557" wp14:editId="0CAF99CF">
            <wp:extent cx="5731510" cy="3422650"/>
            <wp:effectExtent l="0" t="0" r="0" b="0"/>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0000022A" w14:textId="09203A21" w:rsidR="0039297D" w:rsidRPr="000F15C3" w:rsidRDefault="004273CA" w:rsidP="000F15C3">
      <w:pPr>
        <w:pBdr>
          <w:top w:val="nil"/>
          <w:left w:val="nil"/>
          <w:bottom w:val="nil"/>
          <w:right w:val="nil"/>
          <w:between w:val="nil"/>
        </w:pBdr>
        <w:spacing w:before="120" w:line="259" w:lineRule="auto"/>
        <w:rPr>
          <w:i/>
          <w:color w:val="44546A"/>
        </w:rPr>
      </w:pPr>
      <w:bookmarkStart w:id="77" w:name="_heading=h.2lwamvv" w:colFirst="0" w:colLast="0"/>
      <w:bookmarkEnd w:id="77"/>
      <w:r w:rsidRPr="000F15C3">
        <w:rPr>
          <w:i/>
          <w:color w:val="44546A"/>
        </w:rPr>
        <w:t>Figure 16: South Africa</w:t>
      </w:r>
      <w:r w:rsidR="00792E6B" w:rsidRPr="000F15C3">
        <w:rPr>
          <w:i/>
          <w:color w:val="44546A"/>
        </w:rPr>
        <w:t>’</w:t>
      </w:r>
      <w:r w:rsidRPr="000F15C3">
        <w:rPr>
          <w:i/>
          <w:color w:val="44546A"/>
        </w:rPr>
        <w:t>s cultural goods trade balance by domain 2001</w:t>
      </w:r>
      <w:r w:rsidR="00792E6B" w:rsidRPr="000F15C3">
        <w:rPr>
          <w:i/>
          <w:color w:val="44546A"/>
        </w:rPr>
        <w:t>–</w:t>
      </w:r>
      <w:r w:rsidRPr="000F15C3">
        <w:rPr>
          <w:i/>
          <w:color w:val="44546A"/>
        </w:rPr>
        <w:t>2020 (US$ millions)</w:t>
      </w:r>
    </w:p>
    <w:p w14:paraId="0000022B" w14:textId="4C38E9FA" w:rsidR="0039297D" w:rsidRPr="000F15C3" w:rsidRDefault="004273CA" w:rsidP="000F15C3">
      <w:pPr>
        <w:pBdr>
          <w:top w:val="nil"/>
          <w:left w:val="nil"/>
          <w:bottom w:val="nil"/>
          <w:right w:val="nil"/>
          <w:between w:val="nil"/>
        </w:pBdr>
        <w:spacing w:before="120" w:line="259" w:lineRule="auto"/>
        <w:rPr>
          <w:iCs/>
          <w:sz w:val="24"/>
          <w:szCs w:val="24"/>
        </w:rPr>
      </w:pPr>
      <w:r w:rsidRPr="000F15C3">
        <w:rPr>
          <w:iCs/>
        </w:rPr>
        <w:t>Source: Authors’ computations based on data from ITC, 2021 and UN Comtrade, 2021</w:t>
      </w:r>
    </w:p>
    <w:p w14:paraId="0000022D" w14:textId="77777777" w:rsidR="0039297D" w:rsidRDefault="004273CA" w:rsidP="000F15C3">
      <w:pPr>
        <w:pStyle w:val="Heading2"/>
        <w:ind w:left="578" w:hanging="578"/>
      </w:pPr>
      <w:bookmarkStart w:id="78" w:name="_Toc90193715"/>
      <w:bookmarkStart w:id="79" w:name="_Toc90193736"/>
      <w:bookmarkStart w:id="80" w:name="_Toc90193763"/>
      <w:r>
        <w:t>The origin and destinations of cultural goods trade</w:t>
      </w:r>
      <w:bookmarkEnd w:id="78"/>
      <w:bookmarkEnd w:id="79"/>
      <w:bookmarkEnd w:id="80"/>
      <w:r>
        <w:t xml:space="preserve"> </w:t>
      </w:r>
    </w:p>
    <w:p w14:paraId="0000022E" w14:textId="6E8C9CCD" w:rsidR="0039297D" w:rsidRDefault="004273CA" w:rsidP="000F15C3">
      <w:pPr>
        <w:spacing w:line="259" w:lineRule="auto"/>
        <w:rPr>
          <w:sz w:val="22"/>
          <w:szCs w:val="22"/>
        </w:rPr>
      </w:pPr>
      <w:bookmarkStart w:id="81" w:name="_heading=h.3l18frh" w:colFirst="0" w:colLast="0"/>
      <w:bookmarkEnd w:id="81"/>
      <w:r>
        <w:rPr>
          <w:sz w:val="22"/>
          <w:szCs w:val="22"/>
        </w:rPr>
        <w:t>Tables 8 and 9 below provide a breakdown of South Africa’s cultural goods exports and imports by main partner over time in share terms, together with the total value of cultural goods exports and imports, for selected years from 2002 to 2020.</w:t>
      </w:r>
      <w:r w:rsidR="007E16E4">
        <w:rPr>
          <w:sz w:val="22"/>
          <w:szCs w:val="22"/>
        </w:rPr>
        <w:t xml:space="preserve"> </w:t>
      </w:r>
      <w:r>
        <w:rPr>
          <w:sz w:val="22"/>
          <w:szCs w:val="22"/>
        </w:rPr>
        <w:t>To make the analysis of changes in the composition of the top twenty trading partners tractable, eight-year periods from 2002 to 2018 were chosen, then changes for 2019 and 2020 were examined in light of the volatility of trade in recent years.</w:t>
      </w:r>
      <w:r w:rsidR="007E16E4">
        <w:rPr>
          <w:sz w:val="22"/>
          <w:szCs w:val="22"/>
        </w:rPr>
        <w:t xml:space="preserve"> </w:t>
      </w:r>
      <w:r>
        <w:rPr>
          <w:sz w:val="22"/>
          <w:szCs w:val="22"/>
        </w:rPr>
        <w:t>The tables therefore report the results of the share analysis for 2002, 2010, 2018, 2019 and 2020.</w:t>
      </w:r>
      <w:r w:rsidR="007E16E4">
        <w:rPr>
          <w:sz w:val="22"/>
          <w:szCs w:val="22"/>
        </w:rPr>
        <w:t xml:space="preserve"> </w:t>
      </w:r>
      <w:r>
        <w:rPr>
          <w:sz w:val="22"/>
          <w:szCs w:val="22"/>
        </w:rPr>
        <w:t>The discussion in this section complements the share analysis undertaken from a regional perspective in Chapter 3 of the mapping study.</w:t>
      </w:r>
    </w:p>
    <w:p w14:paraId="0000022F" w14:textId="20BA799E" w:rsidR="0039297D" w:rsidRDefault="004273CA" w:rsidP="000F15C3">
      <w:pPr>
        <w:spacing w:line="259" w:lineRule="auto"/>
        <w:rPr>
          <w:sz w:val="22"/>
          <w:szCs w:val="22"/>
        </w:rPr>
      </w:pPr>
      <w:r>
        <w:rPr>
          <w:sz w:val="22"/>
          <w:szCs w:val="22"/>
        </w:rPr>
        <w:t>As Table 8 indicates, South Africa’s largest trading partner for its cultural goods exports in the years shown was the US, accounting for 44.28% of cultural goods exports in 2002, 16.85% in 2010 (in the aftermath of the global financial crisis), 32.06% in 2018 and 45.72% in 2020.</w:t>
      </w:r>
      <w:r w:rsidR="007E16E4">
        <w:rPr>
          <w:sz w:val="22"/>
          <w:szCs w:val="22"/>
        </w:rPr>
        <w:t xml:space="preserve"> </w:t>
      </w:r>
      <w:r>
        <w:rPr>
          <w:sz w:val="22"/>
          <w:szCs w:val="22"/>
        </w:rPr>
        <w:t>The US is the dominant partner in the USMCA (US-Mexico-Canada) regional grouping.</w:t>
      </w:r>
      <w:r w:rsidR="007E16E4">
        <w:rPr>
          <w:sz w:val="22"/>
          <w:szCs w:val="22"/>
        </w:rPr>
        <w:t xml:space="preserve"> </w:t>
      </w:r>
      <w:r>
        <w:rPr>
          <w:sz w:val="22"/>
          <w:szCs w:val="22"/>
        </w:rPr>
        <w:t>The time series analysis by partner country in the present sub-section therefore provides further support for the focus on South Africa’s cultural goods trade relations with USMCA in a comparative regional context in Chapter 3 of this year’s mapping study.</w:t>
      </w:r>
      <w:r w:rsidR="007E16E4">
        <w:rPr>
          <w:sz w:val="22"/>
          <w:szCs w:val="22"/>
        </w:rPr>
        <w:t xml:space="preserve"> </w:t>
      </w:r>
      <w:r>
        <w:rPr>
          <w:sz w:val="22"/>
          <w:szCs w:val="22"/>
        </w:rPr>
        <w:t>In 2002, the UK was South Africa’s second largest export market for cultural products, accounting for 12.39% of the country’s cultural goods exports.</w:t>
      </w:r>
      <w:r w:rsidR="007E16E4">
        <w:rPr>
          <w:sz w:val="22"/>
          <w:szCs w:val="22"/>
        </w:rPr>
        <w:t xml:space="preserve"> </w:t>
      </w:r>
      <w:r>
        <w:rPr>
          <w:sz w:val="22"/>
          <w:szCs w:val="22"/>
        </w:rPr>
        <w:t>Its position fell to seventh in 2010, with a share of just 5.27%.</w:t>
      </w:r>
      <w:r w:rsidR="007E16E4">
        <w:rPr>
          <w:sz w:val="22"/>
          <w:szCs w:val="22"/>
        </w:rPr>
        <w:t xml:space="preserve"> </w:t>
      </w:r>
      <w:r>
        <w:rPr>
          <w:sz w:val="22"/>
          <w:szCs w:val="22"/>
        </w:rPr>
        <w:t>By 2018, the UK had moved back into third place as an export market with a share of 5.45% of cultural goods exports.</w:t>
      </w:r>
      <w:r w:rsidR="007E16E4">
        <w:rPr>
          <w:sz w:val="22"/>
          <w:szCs w:val="22"/>
        </w:rPr>
        <w:t xml:space="preserve"> </w:t>
      </w:r>
      <w:r>
        <w:rPr>
          <w:sz w:val="22"/>
          <w:szCs w:val="22"/>
        </w:rPr>
        <w:t>It maintained this position in the ranking in 2019 and 2020, capturing a greater share of exports in 2019 (8.19%) and a slightly lower share (7.05%) in 2020.</w:t>
      </w:r>
    </w:p>
    <w:p w14:paraId="00000230" w14:textId="22CC6D13" w:rsidR="0039297D" w:rsidRDefault="004273CA" w:rsidP="000F15C3">
      <w:pPr>
        <w:spacing w:line="259" w:lineRule="auto"/>
        <w:rPr>
          <w:sz w:val="22"/>
          <w:szCs w:val="22"/>
        </w:rPr>
      </w:pPr>
      <w:r>
        <w:rPr>
          <w:sz w:val="22"/>
          <w:szCs w:val="22"/>
        </w:rPr>
        <w:t>While the US has largely maintained its share and position as the key export market for South Africa’s cultural goods, the UK’s placing appears to have been affected by the rise in importance of export destinations on the African continent and, in some years, unusual spikes in South Africa’s cultural goods exports to China.</w:t>
      </w:r>
      <w:r w:rsidR="007E16E4">
        <w:rPr>
          <w:sz w:val="22"/>
          <w:szCs w:val="22"/>
        </w:rPr>
        <w:t xml:space="preserve"> </w:t>
      </w:r>
      <w:r>
        <w:rPr>
          <w:sz w:val="22"/>
          <w:szCs w:val="22"/>
        </w:rPr>
        <w:t xml:space="preserve">In 2002 and 2010, China did not feature in the top twenty export destinations for South Africa’s cultural products, although it was already </w:t>
      </w:r>
      <w:r>
        <w:rPr>
          <w:sz w:val="22"/>
          <w:szCs w:val="22"/>
        </w:rPr>
        <w:lastRenderedPageBreak/>
        <w:t>prominent on the import side.</w:t>
      </w:r>
      <w:r w:rsidR="007E16E4">
        <w:rPr>
          <w:sz w:val="22"/>
          <w:szCs w:val="22"/>
        </w:rPr>
        <w:t xml:space="preserve"> </w:t>
      </w:r>
      <w:r>
        <w:rPr>
          <w:sz w:val="22"/>
          <w:szCs w:val="22"/>
        </w:rPr>
        <w:t>In 2018, as Table 8 shows, China was the second largest market for South Africa’s cultural goods exports, with a share of 21.89% (behind only the US share of 32.06%).</w:t>
      </w:r>
      <w:r w:rsidR="007E16E4">
        <w:rPr>
          <w:sz w:val="22"/>
          <w:szCs w:val="22"/>
        </w:rPr>
        <w:t xml:space="preserve"> </w:t>
      </w:r>
      <w:r>
        <w:rPr>
          <w:sz w:val="22"/>
          <w:szCs w:val="22"/>
        </w:rPr>
        <w:t>However, a look at the intervening years between 2002 and 2018 (not shown in the table for space reasons) reveals that the 2018 figure was one of two outliers over the period (the other being a share of 19.96% in 2008).</w:t>
      </w:r>
      <w:r>
        <w:rPr>
          <w:sz w:val="22"/>
          <w:szCs w:val="22"/>
          <w:vertAlign w:val="superscript"/>
        </w:rPr>
        <w:footnoteReference w:id="8"/>
      </w:r>
      <w:r w:rsidR="007E16E4">
        <w:rPr>
          <w:sz w:val="22"/>
          <w:szCs w:val="22"/>
        </w:rPr>
        <w:t xml:space="preserve"> </w:t>
      </w:r>
      <w:r>
        <w:rPr>
          <w:sz w:val="22"/>
          <w:szCs w:val="22"/>
        </w:rPr>
        <w:t>For most of the period under study, the share of South Africa’s cultural goods exports destined for the Chinese market was very low, fluctuating between 0.06% and 0.80%.</w:t>
      </w:r>
      <w:r w:rsidR="007E16E4">
        <w:rPr>
          <w:sz w:val="22"/>
          <w:szCs w:val="22"/>
        </w:rPr>
        <w:t xml:space="preserve"> </w:t>
      </w:r>
      <w:r>
        <w:rPr>
          <w:sz w:val="22"/>
          <w:szCs w:val="22"/>
        </w:rPr>
        <w:t>It was also within this range in 2020, at 0.45%.</w:t>
      </w:r>
    </w:p>
    <w:p w14:paraId="00000231" w14:textId="45C67479" w:rsidR="0039297D" w:rsidRDefault="004273CA" w:rsidP="000F15C3">
      <w:pPr>
        <w:spacing w:line="259" w:lineRule="auto"/>
        <w:rPr>
          <w:sz w:val="22"/>
          <w:szCs w:val="22"/>
        </w:rPr>
      </w:pPr>
      <w:r>
        <w:rPr>
          <w:sz w:val="22"/>
          <w:szCs w:val="22"/>
        </w:rPr>
        <w:t>The African continent, and the SADC region in particular, accounts for a significant share of South Africa’s cultural goods exports.</w:t>
      </w:r>
      <w:r w:rsidR="007E16E4">
        <w:rPr>
          <w:sz w:val="22"/>
          <w:szCs w:val="22"/>
        </w:rPr>
        <w:t xml:space="preserve"> </w:t>
      </w:r>
      <w:r>
        <w:rPr>
          <w:sz w:val="22"/>
          <w:szCs w:val="22"/>
        </w:rPr>
        <w:t>In 2002, Zambia, Malawi, Zimbabwe, Mauritius, Mozambique and Angola all featured in the top twenty export destinations with a combined share of South Africa’s cultural goods exports of 11.12%.</w:t>
      </w:r>
      <w:r w:rsidR="007E16E4">
        <w:rPr>
          <w:sz w:val="22"/>
          <w:szCs w:val="22"/>
        </w:rPr>
        <w:t xml:space="preserve"> </w:t>
      </w:r>
      <w:r>
        <w:rPr>
          <w:sz w:val="22"/>
          <w:szCs w:val="22"/>
        </w:rPr>
        <w:t>Zambia, Malawi and Zimbabwe were in the top ten, as was Nigeria, a non-SADC continental trading partner.</w:t>
      </w:r>
      <w:r w:rsidR="007E16E4">
        <w:rPr>
          <w:sz w:val="22"/>
          <w:szCs w:val="22"/>
        </w:rPr>
        <w:t xml:space="preserve"> </w:t>
      </w:r>
      <w:r>
        <w:rPr>
          <w:sz w:val="22"/>
          <w:szCs w:val="22"/>
        </w:rPr>
        <w:t>In 2010 and in subsequent years depicted in Table 8, South Africa’s SACU (Southern African Customs Union) partners, Namibia, Botswana, eSwatini and Lesotho, became prominent export destinations.</w:t>
      </w:r>
      <w:r>
        <w:rPr>
          <w:sz w:val="22"/>
          <w:szCs w:val="22"/>
          <w:vertAlign w:val="superscript"/>
        </w:rPr>
        <w:footnoteReference w:id="9"/>
      </w:r>
      <w:r w:rsidR="007E16E4">
        <w:rPr>
          <w:sz w:val="22"/>
          <w:szCs w:val="22"/>
        </w:rPr>
        <w:t xml:space="preserve"> </w:t>
      </w:r>
      <w:r>
        <w:rPr>
          <w:sz w:val="22"/>
          <w:szCs w:val="22"/>
        </w:rPr>
        <w:t>Namibia was consistently among the top five export destinations, and Botswana and eSwatini were both in the top ten.</w:t>
      </w:r>
      <w:r w:rsidR="007E16E4">
        <w:rPr>
          <w:sz w:val="22"/>
          <w:szCs w:val="22"/>
        </w:rPr>
        <w:t xml:space="preserve"> </w:t>
      </w:r>
      <w:r>
        <w:rPr>
          <w:sz w:val="22"/>
          <w:szCs w:val="22"/>
        </w:rPr>
        <w:t>The SACU market alone accounted for 30.59% of South Africa’s cultural goods exports in 2010, 10.79% in 2018, and 11.55% in 2020.</w:t>
      </w:r>
      <w:r w:rsidR="007E16E4">
        <w:rPr>
          <w:sz w:val="22"/>
          <w:szCs w:val="22"/>
        </w:rPr>
        <w:t xml:space="preserve"> </w:t>
      </w:r>
      <w:r>
        <w:rPr>
          <w:sz w:val="22"/>
          <w:szCs w:val="22"/>
        </w:rPr>
        <w:t>With the rest of the SADC countries in the top 20 included, these shares rose to over 50% in 2010, and over 20% in 2018 and 2020.</w:t>
      </w:r>
      <w:r w:rsidR="007E16E4">
        <w:rPr>
          <w:sz w:val="22"/>
          <w:szCs w:val="22"/>
        </w:rPr>
        <w:t xml:space="preserve"> </w:t>
      </w:r>
      <w:r>
        <w:rPr>
          <w:sz w:val="22"/>
          <w:szCs w:val="22"/>
        </w:rPr>
        <w:t>Of the non-SACU SADC countries, Zambia, Zimbabwe, Malawi and Mozambique were consistently in the top twenty export destinations. South Africa’s partners in SACU and the rest of SADC are very important destinations for the country’s manufactured exports.</w:t>
      </w:r>
      <w:r w:rsidR="007E16E4">
        <w:rPr>
          <w:sz w:val="22"/>
          <w:szCs w:val="22"/>
        </w:rPr>
        <w:t xml:space="preserve"> </w:t>
      </w:r>
      <w:r>
        <w:rPr>
          <w:sz w:val="22"/>
          <w:szCs w:val="22"/>
        </w:rPr>
        <w:t>The region is therefore a strong potential market for higher value-added cultural goods exports.</w:t>
      </w:r>
    </w:p>
    <w:p w14:paraId="00000232" w14:textId="106AC060" w:rsidR="0039297D" w:rsidRDefault="004273CA" w:rsidP="000F15C3">
      <w:pPr>
        <w:spacing w:line="259" w:lineRule="auto"/>
        <w:rPr>
          <w:sz w:val="22"/>
          <w:szCs w:val="22"/>
        </w:rPr>
      </w:pPr>
      <w:r>
        <w:rPr>
          <w:sz w:val="22"/>
          <w:szCs w:val="22"/>
        </w:rPr>
        <w:t>The position of Angola warrants mention, because of the presence of outliers for two of the years in Table 8 below, namely 2010 and 2020.</w:t>
      </w:r>
      <w:r w:rsidR="007E16E4">
        <w:rPr>
          <w:sz w:val="22"/>
          <w:szCs w:val="22"/>
        </w:rPr>
        <w:t xml:space="preserve"> </w:t>
      </w:r>
      <w:r>
        <w:rPr>
          <w:sz w:val="22"/>
          <w:szCs w:val="22"/>
        </w:rPr>
        <w:t>For most of the period under study, Angola’s share of South Africa’s cultural goods exports varied between 0.70% and 1.45%.</w:t>
      </w:r>
      <w:r w:rsidR="007E16E4">
        <w:rPr>
          <w:sz w:val="22"/>
          <w:szCs w:val="22"/>
        </w:rPr>
        <w:t xml:space="preserve"> </w:t>
      </w:r>
      <w:r>
        <w:rPr>
          <w:sz w:val="22"/>
          <w:szCs w:val="22"/>
        </w:rPr>
        <w:t>However, in 2010 and 2020 these shares rose to 10.30% and 9.96% respectively due primarily to once-off increases in the export of HS code 490199 (“Printed Books and Press, brochures and similar printed matter, excluding those in single sheets…”).</w:t>
      </w:r>
      <w:r w:rsidR="007E16E4">
        <w:rPr>
          <w:sz w:val="22"/>
          <w:szCs w:val="22"/>
        </w:rPr>
        <w:t xml:space="preserve"> </w:t>
      </w:r>
      <w:r>
        <w:rPr>
          <w:sz w:val="22"/>
          <w:szCs w:val="22"/>
        </w:rPr>
        <w:t>This explains Angola’s position as the third highest export destination in 2010 and the second highest in 2020.</w:t>
      </w:r>
    </w:p>
    <w:p w14:paraId="00000233" w14:textId="003C522F" w:rsidR="0039297D" w:rsidRDefault="004273CA" w:rsidP="000F15C3">
      <w:pPr>
        <w:spacing w:line="259" w:lineRule="auto"/>
        <w:rPr>
          <w:sz w:val="22"/>
          <w:szCs w:val="22"/>
        </w:rPr>
      </w:pPr>
      <w:r>
        <w:rPr>
          <w:sz w:val="22"/>
          <w:szCs w:val="22"/>
        </w:rPr>
        <w:t>Other than the UK, discussed earlier, Germany, France, Switzerland and Netherlands are notable European markets for South Africa’s cultural goods trade. South Africa should make use of the provisions of the Economic Partnership Agreement with the EU, and its separate trade agreement with the UK, to promote cultural goods exports to Europe.</w:t>
      </w:r>
      <w:r w:rsidR="007E16E4">
        <w:rPr>
          <w:sz w:val="22"/>
          <w:szCs w:val="22"/>
        </w:rPr>
        <w:t xml:space="preserve"> </w:t>
      </w:r>
      <w:r>
        <w:rPr>
          <w:sz w:val="22"/>
          <w:szCs w:val="22"/>
        </w:rPr>
        <w:t>Apart from China and the UAE, there are no Middle Eastern, North African or Asian economies in the top 20 export destinations for South Africa’s cultural goods.</w:t>
      </w:r>
      <w:r w:rsidR="007E16E4">
        <w:rPr>
          <w:sz w:val="22"/>
          <w:szCs w:val="22"/>
        </w:rPr>
        <w:t xml:space="preserve"> </w:t>
      </w:r>
      <w:r>
        <w:rPr>
          <w:sz w:val="22"/>
          <w:szCs w:val="22"/>
        </w:rPr>
        <w:t>It is arguable that some of these markets provide an untapped opportunity for the country to grow and diversify its cultural goods exports (Cattaneo and Snowball, 2020: 23).</w:t>
      </w:r>
      <w:r>
        <w:rPr>
          <w:sz w:val="22"/>
          <w:szCs w:val="22"/>
          <w:vertAlign w:val="superscript"/>
        </w:rPr>
        <w:footnoteReference w:id="10"/>
      </w:r>
    </w:p>
    <w:p w14:paraId="00000234" w14:textId="77777777" w:rsidR="0039297D" w:rsidRDefault="0039297D">
      <w:pPr>
        <w:pBdr>
          <w:top w:val="nil"/>
          <w:left w:val="nil"/>
          <w:bottom w:val="nil"/>
          <w:right w:val="nil"/>
          <w:between w:val="nil"/>
        </w:pBdr>
        <w:spacing w:after="200"/>
        <w:rPr>
          <w:i/>
          <w:color w:val="44546A"/>
          <w:sz w:val="18"/>
          <w:szCs w:val="18"/>
        </w:rPr>
      </w:pPr>
    </w:p>
    <w:p w14:paraId="07C883A6" w14:textId="77777777" w:rsidR="00987687" w:rsidRDefault="00987687">
      <w:pPr>
        <w:rPr>
          <w:i/>
          <w:color w:val="44546A"/>
          <w:sz w:val="18"/>
          <w:szCs w:val="18"/>
        </w:rPr>
      </w:pPr>
      <w:bookmarkStart w:id="82" w:name="_heading=h.jqnk496php2w" w:colFirst="0" w:colLast="0"/>
      <w:bookmarkEnd w:id="82"/>
      <w:r>
        <w:rPr>
          <w:i/>
          <w:color w:val="44546A"/>
          <w:sz w:val="18"/>
          <w:szCs w:val="18"/>
        </w:rPr>
        <w:br w:type="page"/>
      </w:r>
    </w:p>
    <w:p w14:paraId="00000235" w14:textId="6D7C7B84" w:rsidR="0039297D" w:rsidRDefault="004273CA">
      <w:pPr>
        <w:pBdr>
          <w:top w:val="nil"/>
          <w:left w:val="nil"/>
          <w:bottom w:val="nil"/>
          <w:right w:val="nil"/>
          <w:between w:val="nil"/>
        </w:pBdr>
        <w:spacing w:after="200"/>
        <w:rPr>
          <w:color w:val="44546A"/>
          <w:sz w:val="18"/>
          <w:szCs w:val="18"/>
        </w:rPr>
      </w:pPr>
      <w:r>
        <w:rPr>
          <w:i/>
          <w:color w:val="44546A"/>
          <w:sz w:val="18"/>
          <w:szCs w:val="18"/>
        </w:rPr>
        <w:lastRenderedPageBreak/>
        <w:t>Table 8: Percentage share of top twenty partners in South Africa</w:t>
      </w:r>
      <w:r w:rsidR="00792E6B">
        <w:rPr>
          <w:i/>
          <w:color w:val="44546A"/>
          <w:sz w:val="18"/>
          <w:szCs w:val="18"/>
        </w:rPr>
        <w:t>’</w:t>
      </w:r>
      <w:r>
        <w:rPr>
          <w:i/>
          <w:color w:val="44546A"/>
          <w:sz w:val="18"/>
          <w:szCs w:val="18"/>
        </w:rPr>
        <w:t>s cultural goods exports, selected years</w:t>
      </w:r>
    </w:p>
    <w:tbl>
      <w:tblPr>
        <w:tblStyle w:val="a6"/>
        <w:tblW w:w="10415" w:type="dxa"/>
        <w:jc w:val="center"/>
        <w:tblLayout w:type="fixed"/>
        <w:tblLook w:val="0400" w:firstRow="0" w:lastRow="0" w:firstColumn="0" w:lastColumn="0" w:noHBand="0" w:noVBand="1"/>
      </w:tblPr>
      <w:tblGrid>
        <w:gridCol w:w="1247"/>
        <w:gridCol w:w="820"/>
        <w:gridCol w:w="1247"/>
        <w:gridCol w:w="800"/>
        <w:gridCol w:w="1247"/>
        <w:gridCol w:w="860"/>
        <w:gridCol w:w="1247"/>
        <w:gridCol w:w="860"/>
        <w:gridCol w:w="1247"/>
        <w:gridCol w:w="840"/>
      </w:tblGrid>
      <w:tr w:rsidR="0039297D" w14:paraId="4EF54D49" w14:textId="77777777">
        <w:trPr>
          <w:trHeight w:val="290"/>
          <w:jc w:val="center"/>
        </w:trPr>
        <w:tc>
          <w:tcPr>
            <w:tcW w:w="1247" w:type="dxa"/>
            <w:tcBorders>
              <w:top w:val="single" w:sz="8" w:space="0" w:color="000000"/>
              <w:left w:val="single" w:sz="8" w:space="0" w:color="000000"/>
              <w:bottom w:val="single" w:sz="4" w:space="0" w:color="000000"/>
              <w:right w:val="nil"/>
            </w:tcBorders>
            <w:shd w:val="clear" w:color="auto" w:fill="auto"/>
            <w:vAlign w:val="bottom"/>
          </w:tcPr>
          <w:p w14:paraId="00000236" w14:textId="77777777" w:rsidR="0039297D" w:rsidRDefault="004273CA" w:rsidP="000F15C3">
            <w:pPr>
              <w:spacing w:before="60" w:after="60"/>
              <w:jc w:val="right"/>
              <w:rPr>
                <w:b/>
                <w:color w:val="000000"/>
                <w:sz w:val="18"/>
                <w:szCs w:val="18"/>
              </w:rPr>
            </w:pPr>
            <w:r>
              <w:rPr>
                <w:b/>
                <w:color w:val="000000"/>
                <w:sz w:val="18"/>
                <w:szCs w:val="18"/>
              </w:rPr>
              <w:t>2002</w:t>
            </w:r>
          </w:p>
        </w:tc>
        <w:tc>
          <w:tcPr>
            <w:tcW w:w="820" w:type="dxa"/>
            <w:tcBorders>
              <w:top w:val="single" w:sz="8" w:space="0" w:color="000000"/>
              <w:left w:val="nil"/>
              <w:bottom w:val="single" w:sz="4" w:space="0" w:color="000000"/>
              <w:right w:val="single" w:sz="8" w:space="0" w:color="000000"/>
            </w:tcBorders>
            <w:shd w:val="clear" w:color="auto" w:fill="auto"/>
            <w:vAlign w:val="bottom"/>
          </w:tcPr>
          <w:p w14:paraId="00000237" w14:textId="77777777" w:rsidR="0039297D" w:rsidRDefault="004273CA" w:rsidP="000F15C3">
            <w:pPr>
              <w:spacing w:before="60" w:after="60"/>
              <w:jc w:val="left"/>
              <w:rPr>
                <w:b/>
                <w:color w:val="000000"/>
                <w:sz w:val="18"/>
                <w:szCs w:val="18"/>
              </w:rPr>
            </w:pPr>
            <w:r>
              <w:rPr>
                <w:b/>
                <w:color w:val="000000"/>
                <w:sz w:val="18"/>
                <w:szCs w:val="18"/>
              </w:rPr>
              <w:t> </w:t>
            </w:r>
          </w:p>
        </w:tc>
        <w:tc>
          <w:tcPr>
            <w:tcW w:w="1247" w:type="dxa"/>
            <w:tcBorders>
              <w:top w:val="single" w:sz="8" w:space="0" w:color="000000"/>
              <w:left w:val="nil"/>
              <w:bottom w:val="single" w:sz="4" w:space="0" w:color="000000"/>
              <w:right w:val="nil"/>
            </w:tcBorders>
            <w:shd w:val="clear" w:color="auto" w:fill="auto"/>
            <w:vAlign w:val="bottom"/>
          </w:tcPr>
          <w:p w14:paraId="00000238" w14:textId="77777777" w:rsidR="0039297D" w:rsidRDefault="004273CA" w:rsidP="000F15C3">
            <w:pPr>
              <w:spacing w:before="60" w:after="60"/>
              <w:jc w:val="right"/>
              <w:rPr>
                <w:b/>
                <w:color w:val="000000"/>
                <w:sz w:val="18"/>
                <w:szCs w:val="18"/>
              </w:rPr>
            </w:pPr>
            <w:r>
              <w:rPr>
                <w:b/>
                <w:color w:val="000000"/>
                <w:sz w:val="18"/>
                <w:szCs w:val="18"/>
              </w:rPr>
              <w:t>2010</w:t>
            </w:r>
          </w:p>
        </w:tc>
        <w:tc>
          <w:tcPr>
            <w:tcW w:w="800" w:type="dxa"/>
            <w:tcBorders>
              <w:top w:val="single" w:sz="8" w:space="0" w:color="000000"/>
              <w:left w:val="nil"/>
              <w:bottom w:val="single" w:sz="4" w:space="0" w:color="000000"/>
              <w:right w:val="single" w:sz="8" w:space="0" w:color="000000"/>
            </w:tcBorders>
            <w:shd w:val="clear" w:color="auto" w:fill="auto"/>
            <w:vAlign w:val="bottom"/>
          </w:tcPr>
          <w:p w14:paraId="00000239" w14:textId="77777777" w:rsidR="0039297D" w:rsidRDefault="004273CA" w:rsidP="000F15C3">
            <w:pPr>
              <w:spacing w:before="60" w:after="60"/>
              <w:jc w:val="center"/>
              <w:rPr>
                <w:b/>
                <w:color w:val="000000"/>
                <w:sz w:val="18"/>
                <w:szCs w:val="18"/>
              </w:rPr>
            </w:pPr>
            <w:r>
              <w:rPr>
                <w:b/>
                <w:color w:val="000000"/>
                <w:sz w:val="18"/>
                <w:szCs w:val="18"/>
              </w:rPr>
              <w:t> </w:t>
            </w:r>
          </w:p>
        </w:tc>
        <w:tc>
          <w:tcPr>
            <w:tcW w:w="1247" w:type="dxa"/>
            <w:tcBorders>
              <w:top w:val="single" w:sz="8" w:space="0" w:color="000000"/>
              <w:left w:val="nil"/>
              <w:bottom w:val="single" w:sz="4" w:space="0" w:color="000000"/>
              <w:right w:val="nil"/>
            </w:tcBorders>
            <w:shd w:val="clear" w:color="auto" w:fill="auto"/>
            <w:vAlign w:val="bottom"/>
          </w:tcPr>
          <w:p w14:paraId="0000023A" w14:textId="77777777" w:rsidR="0039297D" w:rsidRDefault="004273CA" w:rsidP="000F15C3">
            <w:pPr>
              <w:spacing w:before="60" w:after="60"/>
              <w:jc w:val="right"/>
              <w:rPr>
                <w:b/>
                <w:color w:val="000000"/>
                <w:sz w:val="18"/>
                <w:szCs w:val="18"/>
              </w:rPr>
            </w:pPr>
            <w:r>
              <w:rPr>
                <w:b/>
                <w:color w:val="000000"/>
                <w:sz w:val="18"/>
                <w:szCs w:val="18"/>
              </w:rPr>
              <w:t>2018</w:t>
            </w:r>
          </w:p>
        </w:tc>
        <w:tc>
          <w:tcPr>
            <w:tcW w:w="860" w:type="dxa"/>
            <w:tcBorders>
              <w:top w:val="single" w:sz="8" w:space="0" w:color="000000"/>
              <w:left w:val="nil"/>
              <w:bottom w:val="single" w:sz="4" w:space="0" w:color="000000"/>
              <w:right w:val="single" w:sz="8" w:space="0" w:color="000000"/>
            </w:tcBorders>
            <w:shd w:val="clear" w:color="auto" w:fill="auto"/>
            <w:vAlign w:val="bottom"/>
          </w:tcPr>
          <w:p w14:paraId="0000023B" w14:textId="77777777" w:rsidR="0039297D" w:rsidRDefault="004273CA" w:rsidP="000F15C3">
            <w:pPr>
              <w:spacing w:before="60" w:after="60"/>
              <w:jc w:val="center"/>
              <w:rPr>
                <w:b/>
                <w:color w:val="000000"/>
                <w:sz w:val="18"/>
                <w:szCs w:val="18"/>
              </w:rPr>
            </w:pPr>
            <w:r>
              <w:rPr>
                <w:b/>
                <w:color w:val="000000"/>
                <w:sz w:val="18"/>
                <w:szCs w:val="18"/>
              </w:rPr>
              <w:t> </w:t>
            </w:r>
          </w:p>
        </w:tc>
        <w:tc>
          <w:tcPr>
            <w:tcW w:w="1247" w:type="dxa"/>
            <w:tcBorders>
              <w:top w:val="single" w:sz="8" w:space="0" w:color="000000"/>
              <w:left w:val="nil"/>
              <w:bottom w:val="single" w:sz="4" w:space="0" w:color="000000"/>
              <w:right w:val="nil"/>
            </w:tcBorders>
            <w:shd w:val="clear" w:color="auto" w:fill="auto"/>
            <w:vAlign w:val="bottom"/>
          </w:tcPr>
          <w:p w14:paraId="0000023C" w14:textId="77777777" w:rsidR="0039297D" w:rsidRDefault="004273CA" w:rsidP="000F15C3">
            <w:pPr>
              <w:spacing w:before="60" w:after="60"/>
              <w:jc w:val="right"/>
              <w:rPr>
                <w:b/>
                <w:color w:val="000000"/>
                <w:sz w:val="18"/>
                <w:szCs w:val="18"/>
              </w:rPr>
            </w:pPr>
            <w:r>
              <w:rPr>
                <w:b/>
                <w:color w:val="000000"/>
                <w:sz w:val="18"/>
                <w:szCs w:val="18"/>
              </w:rPr>
              <w:t>2019</w:t>
            </w:r>
          </w:p>
        </w:tc>
        <w:tc>
          <w:tcPr>
            <w:tcW w:w="860" w:type="dxa"/>
            <w:tcBorders>
              <w:top w:val="single" w:sz="8" w:space="0" w:color="000000"/>
              <w:left w:val="nil"/>
              <w:bottom w:val="single" w:sz="4" w:space="0" w:color="000000"/>
              <w:right w:val="single" w:sz="8" w:space="0" w:color="000000"/>
            </w:tcBorders>
            <w:shd w:val="clear" w:color="auto" w:fill="auto"/>
            <w:vAlign w:val="bottom"/>
          </w:tcPr>
          <w:p w14:paraId="0000023D" w14:textId="77777777" w:rsidR="0039297D" w:rsidRDefault="004273CA" w:rsidP="000F15C3">
            <w:pPr>
              <w:spacing w:before="60" w:after="60"/>
              <w:jc w:val="center"/>
              <w:rPr>
                <w:b/>
                <w:color w:val="000000"/>
                <w:sz w:val="18"/>
                <w:szCs w:val="18"/>
              </w:rPr>
            </w:pPr>
            <w:r>
              <w:rPr>
                <w:b/>
                <w:color w:val="000000"/>
                <w:sz w:val="18"/>
                <w:szCs w:val="18"/>
              </w:rPr>
              <w:t> </w:t>
            </w:r>
          </w:p>
        </w:tc>
        <w:tc>
          <w:tcPr>
            <w:tcW w:w="1247" w:type="dxa"/>
            <w:tcBorders>
              <w:top w:val="single" w:sz="8" w:space="0" w:color="000000"/>
              <w:left w:val="nil"/>
              <w:bottom w:val="single" w:sz="4" w:space="0" w:color="000000"/>
              <w:right w:val="nil"/>
            </w:tcBorders>
            <w:shd w:val="clear" w:color="auto" w:fill="auto"/>
            <w:vAlign w:val="bottom"/>
          </w:tcPr>
          <w:p w14:paraId="0000023E" w14:textId="77777777" w:rsidR="0039297D" w:rsidRDefault="004273CA" w:rsidP="000F15C3">
            <w:pPr>
              <w:spacing w:before="60" w:after="60"/>
              <w:jc w:val="right"/>
              <w:rPr>
                <w:b/>
                <w:color w:val="000000"/>
                <w:sz w:val="18"/>
                <w:szCs w:val="18"/>
              </w:rPr>
            </w:pPr>
            <w:r>
              <w:rPr>
                <w:b/>
                <w:color w:val="000000"/>
                <w:sz w:val="18"/>
                <w:szCs w:val="18"/>
              </w:rPr>
              <w:t>2020</w:t>
            </w:r>
          </w:p>
        </w:tc>
        <w:tc>
          <w:tcPr>
            <w:tcW w:w="840" w:type="dxa"/>
            <w:tcBorders>
              <w:top w:val="single" w:sz="8" w:space="0" w:color="000000"/>
              <w:left w:val="nil"/>
              <w:bottom w:val="single" w:sz="4" w:space="0" w:color="000000"/>
              <w:right w:val="single" w:sz="8" w:space="0" w:color="000000"/>
            </w:tcBorders>
            <w:shd w:val="clear" w:color="auto" w:fill="auto"/>
            <w:vAlign w:val="bottom"/>
          </w:tcPr>
          <w:p w14:paraId="0000023F" w14:textId="77777777" w:rsidR="0039297D" w:rsidRDefault="004273CA" w:rsidP="000F15C3">
            <w:pPr>
              <w:spacing w:before="60" w:after="60"/>
              <w:jc w:val="center"/>
              <w:rPr>
                <w:b/>
                <w:color w:val="000000"/>
                <w:sz w:val="18"/>
                <w:szCs w:val="18"/>
              </w:rPr>
            </w:pPr>
            <w:r>
              <w:rPr>
                <w:b/>
                <w:color w:val="000000"/>
                <w:sz w:val="18"/>
                <w:szCs w:val="18"/>
              </w:rPr>
              <w:t> </w:t>
            </w:r>
          </w:p>
        </w:tc>
      </w:tr>
      <w:tr w:rsidR="0039297D" w14:paraId="33A2DBB6"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40" w14:textId="77777777" w:rsidR="0039297D" w:rsidRDefault="004273CA" w:rsidP="000F15C3">
            <w:pPr>
              <w:spacing w:before="60" w:after="60"/>
              <w:jc w:val="left"/>
              <w:rPr>
                <w:color w:val="000000"/>
                <w:sz w:val="18"/>
                <w:szCs w:val="18"/>
              </w:rPr>
            </w:pPr>
            <w:r>
              <w:rPr>
                <w:color w:val="000000"/>
                <w:sz w:val="18"/>
                <w:szCs w:val="18"/>
              </w:rPr>
              <w:t>USA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41" w14:textId="77777777" w:rsidR="0039297D" w:rsidRDefault="004273CA" w:rsidP="000F15C3">
            <w:pPr>
              <w:spacing w:before="60" w:after="60"/>
              <w:jc w:val="right"/>
              <w:rPr>
                <w:color w:val="000000"/>
                <w:sz w:val="18"/>
                <w:szCs w:val="18"/>
              </w:rPr>
            </w:pPr>
            <w:r>
              <w:rPr>
                <w:color w:val="000000"/>
                <w:sz w:val="18"/>
                <w:szCs w:val="18"/>
              </w:rPr>
              <w:t>44.28</w:t>
            </w:r>
          </w:p>
        </w:tc>
        <w:tc>
          <w:tcPr>
            <w:tcW w:w="1247" w:type="dxa"/>
            <w:tcBorders>
              <w:top w:val="nil"/>
              <w:left w:val="nil"/>
              <w:bottom w:val="single" w:sz="4" w:space="0" w:color="000000"/>
              <w:right w:val="single" w:sz="4" w:space="0" w:color="000000"/>
            </w:tcBorders>
            <w:shd w:val="clear" w:color="auto" w:fill="auto"/>
            <w:vAlign w:val="bottom"/>
          </w:tcPr>
          <w:p w14:paraId="00000242" w14:textId="77777777" w:rsidR="0039297D" w:rsidRDefault="004273CA" w:rsidP="000F15C3">
            <w:pPr>
              <w:spacing w:before="60" w:after="60"/>
              <w:jc w:val="left"/>
              <w:rPr>
                <w:color w:val="000000"/>
                <w:sz w:val="18"/>
                <w:szCs w:val="18"/>
              </w:rPr>
            </w:pPr>
            <w:r>
              <w:rPr>
                <w:color w:val="000000"/>
                <w:sz w:val="18"/>
                <w:szCs w:val="18"/>
              </w:rPr>
              <w:t>USA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43" w14:textId="77777777" w:rsidR="0039297D" w:rsidRDefault="004273CA" w:rsidP="000F15C3">
            <w:pPr>
              <w:spacing w:before="60" w:after="60"/>
              <w:jc w:val="right"/>
              <w:rPr>
                <w:color w:val="000000"/>
                <w:sz w:val="18"/>
                <w:szCs w:val="18"/>
              </w:rPr>
            </w:pPr>
            <w:r>
              <w:rPr>
                <w:color w:val="000000"/>
                <w:sz w:val="18"/>
                <w:szCs w:val="18"/>
              </w:rPr>
              <w:t>16.85</w:t>
            </w:r>
          </w:p>
        </w:tc>
        <w:tc>
          <w:tcPr>
            <w:tcW w:w="1247" w:type="dxa"/>
            <w:tcBorders>
              <w:top w:val="nil"/>
              <w:left w:val="nil"/>
              <w:bottom w:val="single" w:sz="4" w:space="0" w:color="000000"/>
              <w:right w:val="single" w:sz="4" w:space="0" w:color="000000"/>
            </w:tcBorders>
            <w:shd w:val="clear" w:color="auto" w:fill="auto"/>
            <w:vAlign w:val="bottom"/>
          </w:tcPr>
          <w:p w14:paraId="00000244" w14:textId="77777777" w:rsidR="0039297D" w:rsidRDefault="004273CA" w:rsidP="000F15C3">
            <w:pPr>
              <w:spacing w:before="60" w:after="60"/>
              <w:jc w:val="left"/>
              <w:rPr>
                <w:color w:val="000000"/>
                <w:sz w:val="18"/>
                <w:szCs w:val="18"/>
              </w:rPr>
            </w:pPr>
            <w:r>
              <w:rPr>
                <w:color w:val="000000"/>
                <w:sz w:val="18"/>
                <w:szCs w:val="18"/>
              </w:rPr>
              <w:t>USA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45" w14:textId="77777777" w:rsidR="0039297D" w:rsidRDefault="004273CA" w:rsidP="000F15C3">
            <w:pPr>
              <w:spacing w:before="60" w:after="60"/>
              <w:jc w:val="right"/>
              <w:rPr>
                <w:color w:val="000000"/>
                <w:sz w:val="18"/>
                <w:szCs w:val="18"/>
              </w:rPr>
            </w:pPr>
            <w:r>
              <w:rPr>
                <w:color w:val="000000"/>
                <w:sz w:val="18"/>
                <w:szCs w:val="18"/>
              </w:rPr>
              <w:t>32.06</w:t>
            </w:r>
          </w:p>
        </w:tc>
        <w:tc>
          <w:tcPr>
            <w:tcW w:w="1247" w:type="dxa"/>
            <w:tcBorders>
              <w:top w:val="nil"/>
              <w:left w:val="nil"/>
              <w:bottom w:val="single" w:sz="4" w:space="0" w:color="000000"/>
              <w:right w:val="single" w:sz="4" w:space="0" w:color="000000"/>
            </w:tcBorders>
            <w:shd w:val="clear" w:color="auto" w:fill="auto"/>
            <w:vAlign w:val="bottom"/>
          </w:tcPr>
          <w:p w14:paraId="00000246" w14:textId="77777777" w:rsidR="0039297D" w:rsidRDefault="004273CA" w:rsidP="000F15C3">
            <w:pPr>
              <w:spacing w:before="60" w:after="60"/>
              <w:jc w:val="left"/>
              <w:rPr>
                <w:color w:val="000000"/>
                <w:sz w:val="18"/>
                <w:szCs w:val="18"/>
              </w:rPr>
            </w:pPr>
            <w:r>
              <w:rPr>
                <w:color w:val="000000"/>
                <w:sz w:val="18"/>
                <w:szCs w:val="18"/>
              </w:rPr>
              <w:t>USA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47" w14:textId="77777777" w:rsidR="0039297D" w:rsidRDefault="004273CA" w:rsidP="000F15C3">
            <w:pPr>
              <w:spacing w:before="60" w:after="60"/>
              <w:jc w:val="right"/>
              <w:rPr>
                <w:color w:val="000000"/>
                <w:sz w:val="18"/>
                <w:szCs w:val="18"/>
              </w:rPr>
            </w:pPr>
            <w:r>
              <w:rPr>
                <w:color w:val="000000"/>
                <w:sz w:val="18"/>
                <w:szCs w:val="18"/>
              </w:rPr>
              <w:t>37.41</w:t>
            </w:r>
          </w:p>
        </w:tc>
        <w:tc>
          <w:tcPr>
            <w:tcW w:w="1247" w:type="dxa"/>
            <w:tcBorders>
              <w:top w:val="nil"/>
              <w:left w:val="nil"/>
              <w:bottom w:val="single" w:sz="4" w:space="0" w:color="000000"/>
              <w:right w:val="single" w:sz="4" w:space="0" w:color="000000"/>
            </w:tcBorders>
            <w:shd w:val="clear" w:color="auto" w:fill="auto"/>
            <w:vAlign w:val="bottom"/>
          </w:tcPr>
          <w:p w14:paraId="00000248" w14:textId="77777777" w:rsidR="0039297D" w:rsidRDefault="004273CA" w:rsidP="000F15C3">
            <w:pPr>
              <w:spacing w:before="60" w:after="60"/>
              <w:jc w:val="left"/>
              <w:rPr>
                <w:color w:val="000000"/>
                <w:sz w:val="18"/>
                <w:szCs w:val="18"/>
              </w:rPr>
            </w:pPr>
            <w:r>
              <w:rPr>
                <w:color w:val="000000"/>
                <w:sz w:val="18"/>
                <w:szCs w:val="18"/>
              </w:rPr>
              <w:t>USA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49" w14:textId="77777777" w:rsidR="0039297D" w:rsidRDefault="004273CA" w:rsidP="000F15C3">
            <w:pPr>
              <w:spacing w:before="60" w:after="60"/>
              <w:jc w:val="right"/>
              <w:rPr>
                <w:color w:val="000000"/>
                <w:sz w:val="18"/>
                <w:szCs w:val="18"/>
              </w:rPr>
            </w:pPr>
            <w:r>
              <w:rPr>
                <w:color w:val="000000"/>
                <w:sz w:val="18"/>
                <w:szCs w:val="18"/>
              </w:rPr>
              <w:t>45.72</w:t>
            </w:r>
          </w:p>
        </w:tc>
      </w:tr>
      <w:tr w:rsidR="0039297D" w14:paraId="09D3A811"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4A" w14:textId="77777777" w:rsidR="0039297D" w:rsidRDefault="004273CA" w:rsidP="000F15C3">
            <w:pPr>
              <w:spacing w:before="60" w:after="60"/>
              <w:jc w:val="left"/>
              <w:rPr>
                <w:color w:val="000000"/>
                <w:sz w:val="18"/>
                <w:szCs w:val="18"/>
              </w:rPr>
            </w:pPr>
            <w:r>
              <w:rPr>
                <w:color w:val="000000"/>
                <w:sz w:val="18"/>
                <w:szCs w:val="18"/>
              </w:rPr>
              <w:t>UK</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4B" w14:textId="77777777" w:rsidR="0039297D" w:rsidRDefault="004273CA" w:rsidP="000F15C3">
            <w:pPr>
              <w:spacing w:before="60" w:after="60"/>
              <w:jc w:val="right"/>
              <w:rPr>
                <w:color w:val="000000"/>
                <w:sz w:val="18"/>
                <w:szCs w:val="18"/>
              </w:rPr>
            </w:pPr>
            <w:r>
              <w:rPr>
                <w:color w:val="000000"/>
                <w:sz w:val="18"/>
                <w:szCs w:val="18"/>
              </w:rPr>
              <w:t>12.39</w:t>
            </w:r>
          </w:p>
        </w:tc>
        <w:tc>
          <w:tcPr>
            <w:tcW w:w="1247" w:type="dxa"/>
            <w:tcBorders>
              <w:top w:val="nil"/>
              <w:left w:val="nil"/>
              <w:bottom w:val="single" w:sz="4" w:space="0" w:color="000000"/>
              <w:right w:val="single" w:sz="4" w:space="0" w:color="000000"/>
            </w:tcBorders>
            <w:shd w:val="clear" w:color="auto" w:fill="auto"/>
            <w:vAlign w:val="bottom"/>
          </w:tcPr>
          <w:p w14:paraId="0000024C" w14:textId="77777777" w:rsidR="0039297D" w:rsidRDefault="004273CA" w:rsidP="000F15C3">
            <w:pPr>
              <w:spacing w:before="60" w:after="60"/>
              <w:jc w:val="left"/>
              <w:rPr>
                <w:color w:val="000000"/>
                <w:sz w:val="18"/>
                <w:szCs w:val="18"/>
              </w:rPr>
            </w:pPr>
            <w:r>
              <w:rPr>
                <w:color w:val="000000"/>
                <w:sz w:val="18"/>
                <w:szCs w:val="18"/>
              </w:rPr>
              <w:t>Namibia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4D" w14:textId="77777777" w:rsidR="0039297D" w:rsidRDefault="004273CA" w:rsidP="000F15C3">
            <w:pPr>
              <w:spacing w:before="60" w:after="60"/>
              <w:jc w:val="right"/>
              <w:rPr>
                <w:color w:val="000000"/>
                <w:sz w:val="18"/>
                <w:szCs w:val="18"/>
              </w:rPr>
            </w:pPr>
            <w:r>
              <w:rPr>
                <w:color w:val="000000"/>
                <w:sz w:val="18"/>
                <w:szCs w:val="18"/>
              </w:rPr>
              <w:t>12.68</w:t>
            </w:r>
          </w:p>
        </w:tc>
        <w:tc>
          <w:tcPr>
            <w:tcW w:w="1247" w:type="dxa"/>
            <w:tcBorders>
              <w:top w:val="nil"/>
              <w:left w:val="nil"/>
              <w:bottom w:val="single" w:sz="4" w:space="0" w:color="000000"/>
              <w:right w:val="single" w:sz="4" w:space="0" w:color="000000"/>
            </w:tcBorders>
            <w:shd w:val="clear" w:color="auto" w:fill="auto"/>
            <w:vAlign w:val="bottom"/>
          </w:tcPr>
          <w:p w14:paraId="0000024E" w14:textId="77777777" w:rsidR="0039297D" w:rsidRDefault="004273CA" w:rsidP="000F15C3">
            <w:pPr>
              <w:spacing w:before="60" w:after="60"/>
              <w:jc w:val="left"/>
              <w:rPr>
                <w:color w:val="000000"/>
                <w:sz w:val="18"/>
                <w:szCs w:val="18"/>
              </w:rPr>
            </w:pPr>
            <w:r>
              <w:rPr>
                <w:color w:val="000000"/>
                <w:sz w:val="18"/>
                <w:szCs w:val="18"/>
              </w:rPr>
              <w:t>China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4F" w14:textId="77777777" w:rsidR="0039297D" w:rsidRDefault="004273CA" w:rsidP="000F15C3">
            <w:pPr>
              <w:spacing w:before="60" w:after="60"/>
              <w:jc w:val="right"/>
              <w:rPr>
                <w:color w:val="000000"/>
                <w:sz w:val="18"/>
                <w:szCs w:val="18"/>
              </w:rPr>
            </w:pPr>
            <w:r>
              <w:rPr>
                <w:color w:val="000000"/>
                <w:sz w:val="18"/>
                <w:szCs w:val="18"/>
              </w:rPr>
              <w:t>21.89</w:t>
            </w:r>
          </w:p>
        </w:tc>
        <w:tc>
          <w:tcPr>
            <w:tcW w:w="1247" w:type="dxa"/>
            <w:tcBorders>
              <w:top w:val="nil"/>
              <w:left w:val="nil"/>
              <w:bottom w:val="single" w:sz="4" w:space="0" w:color="000000"/>
              <w:right w:val="single" w:sz="4" w:space="0" w:color="000000"/>
            </w:tcBorders>
            <w:shd w:val="clear" w:color="auto" w:fill="auto"/>
            <w:vAlign w:val="bottom"/>
          </w:tcPr>
          <w:p w14:paraId="00000250" w14:textId="77777777" w:rsidR="0039297D" w:rsidRDefault="004273CA" w:rsidP="000F15C3">
            <w:pPr>
              <w:spacing w:before="60" w:after="60"/>
              <w:jc w:val="left"/>
              <w:rPr>
                <w:color w:val="000000"/>
                <w:sz w:val="18"/>
                <w:szCs w:val="18"/>
              </w:rPr>
            </w:pPr>
            <w:r>
              <w:rPr>
                <w:color w:val="000000"/>
                <w:sz w:val="18"/>
                <w:szCs w:val="18"/>
              </w:rPr>
              <w:t>China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51" w14:textId="77777777" w:rsidR="0039297D" w:rsidRDefault="004273CA" w:rsidP="000F15C3">
            <w:pPr>
              <w:spacing w:before="60" w:after="60"/>
              <w:jc w:val="right"/>
              <w:rPr>
                <w:color w:val="000000"/>
                <w:sz w:val="18"/>
                <w:szCs w:val="18"/>
              </w:rPr>
            </w:pPr>
            <w:r>
              <w:rPr>
                <w:color w:val="000000"/>
                <w:sz w:val="18"/>
                <w:szCs w:val="18"/>
              </w:rPr>
              <w:t>8.74</w:t>
            </w:r>
          </w:p>
        </w:tc>
        <w:tc>
          <w:tcPr>
            <w:tcW w:w="1247" w:type="dxa"/>
            <w:tcBorders>
              <w:top w:val="nil"/>
              <w:left w:val="nil"/>
              <w:bottom w:val="single" w:sz="4" w:space="0" w:color="000000"/>
              <w:right w:val="single" w:sz="4" w:space="0" w:color="000000"/>
            </w:tcBorders>
            <w:shd w:val="clear" w:color="auto" w:fill="auto"/>
            <w:vAlign w:val="bottom"/>
          </w:tcPr>
          <w:p w14:paraId="00000252" w14:textId="77777777" w:rsidR="0039297D" w:rsidRDefault="004273CA" w:rsidP="000F15C3">
            <w:pPr>
              <w:spacing w:before="60" w:after="60"/>
              <w:jc w:val="left"/>
              <w:rPr>
                <w:color w:val="000000"/>
                <w:sz w:val="18"/>
                <w:szCs w:val="18"/>
              </w:rPr>
            </w:pPr>
            <w:r>
              <w:rPr>
                <w:color w:val="000000"/>
                <w:sz w:val="18"/>
                <w:szCs w:val="18"/>
              </w:rPr>
              <w:t>Angola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53" w14:textId="77777777" w:rsidR="0039297D" w:rsidRDefault="004273CA" w:rsidP="000F15C3">
            <w:pPr>
              <w:spacing w:before="60" w:after="60"/>
              <w:jc w:val="right"/>
              <w:rPr>
                <w:color w:val="000000"/>
                <w:sz w:val="18"/>
                <w:szCs w:val="18"/>
              </w:rPr>
            </w:pPr>
            <w:r>
              <w:rPr>
                <w:color w:val="000000"/>
                <w:sz w:val="18"/>
                <w:szCs w:val="18"/>
              </w:rPr>
              <w:t>9.96</w:t>
            </w:r>
          </w:p>
        </w:tc>
      </w:tr>
      <w:tr w:rsidR="0039297D" w14:paraId="17E34A94"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54" w14:textId="77777777" w:rsidR="0039297D" w:rsidRDefault="004273CA" w:rsidP="000F15C3">
            <w:pPr>
              <w:spacing w:before="60" w:after="60"/>
              <w:jc w:val="left"/>
              <w:rPr>
                <w:color w:val="000000"/>
                <w:sz w:val="18"/>
                <w:szCs w:val="18"/>
              </w:rPr>
            </w:pPr>
            <w:r>
              <w:rPr>
                <w:color w:val="000000"/>
                <w:sz w:val="18"/>
                <w:szCs w:val="18"/>
              </w:rPr>
              <w:t>Israel</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55" w14:textId="77777777" w:rsidR="0039297D" w:rsidRDefault="004273CA" w:rsidP="000F15C3">
            <w:pPr>
              <w:spacing w:before="60" w:after="60"/>
              <w:jc w:val="right"/>
              <w:rPr>
                <w:color w:val="000000"/>
                <w:sz w:val="18"/>
                <w:szCs w:val="18"/>
              </w:rPr>
            </w:pPr>
            <w:r>
              <w:rPr>
                <w:color w:val="000000"/>
                <w:sz w:val="18"/>
                <w:szCs w:val="18"/>
              </w:rPr>
              <w:t>6.66</w:t>
            </w:r>
          </w:p>
        </w:tc>
        <w:tc>
          <w:tcPr>
            <w:tcW w:w="1247" w:type="dxa"/>
            <w:tcBorders>
              <w:top w:val="nil"/>
              <w:left w:val="nil"/>
              <w:bottom w:val="single" w:sz="4" w:space="0" w:color="000000"/>
              <w:right w:val="single" w:sz="4" w:space="0" w:color="000000"/>
            </w:tcBorders>
            <w:shd w:val="clear" w:color="auto" w:fill="auto"/>
            <w:vAlign w:val="bottom"/>
          </w:tcPr>
          <w:p w14:paraId="00000256" w14:textId="77777777" w:rsidR="0039297D" w:rsidRDefault="004273CA" w:rsidP="000F15C3">
            <w:pPr>
              <w:spacing w:before="60" w:after="60"/>
              <w:jc w:val="left"/>
              <w:rPr>
                <w:color w:val="000000"/>
                <w:sz w:val="18"/>
                <w:szCs w:val="18"/>
              </w:rPr>
            </w:pPr>
            <w:r>
              <w:rPr>
                <w:color w:val="000000"/>
                <w:sz w:val="18"/>
                <w:szCs w:val="18"/>
              </w:rPr>
              <w:t>Angola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57" w14:textId="77777777" w:rsidR="0039297D" w:rsidRDefault="004273CA" w:rsidP="000F15C3">
            <w:pPr>
              <w:spacing w:before="60" w:after="60"/>
              <w:jc w:val="right"/>
              <w:rPr>
                <w:color w:val="000000"/>
                <w:sz w:val="18"/>
                <w:szCs w:val="18"/>
              </w:rPr>
            </w:pPr>
            <w:r>
              <w:rPr>
                <w:color w:val="000000"/>
                <w:sz w:val="18"/>
                <w:szCs w:val="18"/>
              </w:rPr>
              <w:t>10.30</w:t>
            </w:r>
          </w:p>
        </w:tc>
        <w:tc>
          <w:tcPr>
            <w:tcW w:w="1247" w:type="dxa"/>
            <w:tcBorders>
              <w:top w:val="nil"/>
              <w:left w:val="nil"/>
              <w:bottom w:val="single" w:sz="4" w:space="0" w:color="000000"/>
              <w:right w:val="single" w:sz="4" w:space="0" w:color="000000"/>
            </w:tcBorders>
            <w:shd w:val="clear" w:color="auto" w:fill="auto"/>
            <w:vAlign w:val="bottom"/>
          </w:tcPr>
          <w:p w14:paraId="00000258" w14:textId="77777777" w:rsidR="0039297D" w:rsidRDefault="004273CA" w:rsidP="000F15C3">
            <w:pPr>
              <w:spacing w:before="60" w:after="60"/>
              <w:jc w:val="left"/>
              <w:rPr>
                <w:color w:val="000000"/>
                <w:sz w:val="18"/>
                <w:szCs w:val="18"/>
              </w:rPr>
            </w:pPr>
            <w:r>
              <w:rPr>
                <w:color w:val="000000"/>
                <w:sz w:val="18"/>
                <w:szCs w:val="18"/>
              </w:rPr>
              <w:t>UK</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59" w14:textId="77777777" w:rsidR="0039297D" w:rsidRDefault="004273CA" w:rsidP="000F15C3">
            <w:pPr>
              <w:spacing w:before="60" w:after="60"/>
              <w:jc w:val="right"/>
              <w:rPr>
                <w:color w:val="000000"/>
                <w:sz w:val="18"/>
                <w:szCs w:val="18"/>
              </w:rPr>
            </w:pPr>
            <w:r>
              <w:rPr>
                <w:color w:val="000000"/>
                <w:sz w:val="18"/>
                <w:szCs w:val="18"/>
              </w:rPr>
              <w:t>5.45</w:t>
            </w:r>
          </w:p>
        </w:tc>
        <w:tc>
          <w:tcPr>
            <w:tcW w:w="1247" w:type="dxa"/>
            <w:tcBorders>
              <w:top w:val="nil"/>
              <w:left w:val="nil"/>
              <w:bottom w:val="single" w:sz="4" w:space="0" w:color="000000"/>
              <w:right w:val="single" w:sz="4" w:space="0" w:color="000000"/>
            </w:tcBorders>
            <w:shd w:val="clear" w:color="auto" w:fill="auto"/>
            <w:vAlign w:val="bottom"/>
          </w:tcPr>
          <w:p w14:paraId="0000025A" w14:textId="77777777" w:rsidR="0039297D" w:rsidRDefault="004273CA" w:rsidP="000F15C3">
            <w:pPr>
              <w:spacing w:before="60" w:after="60"/>
              <w:jc w:val="left"/>
              <w:rPr>
                <w:color w:val="000000"/>
                <w:sz w:val="18"/>
                <w:szCs w:val="18"/>
              </w:rPr>
            </w:pPr>
            <w:r>
              <w:rPr>
                <w:color w:val="000000"/>
                <w:sz w:val="18"/>
                <w:szCs w:val="18"/>
              </w:rPr>
              <w:t>UK</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5B" w14:textId="77777777" w:rsidR="0039297D" w:rsidRDefault="004273CA" w:rsidP="000F15C3">
            <w:pPr>
              <w:spacing w:before="60" w:after="60"/>
              <w:jc w:val="right"/>
              <w:rPr>
                <w:color w:val="000000"/>
                <w:sz w:val="18"/>
                <w:szCs w:val="18"/>
              </w:rPr>
            </w:pPr>
            <w:r>
              <w:rPr>
                <w:color w:val="000000"/>
                <w:sz w:val="18"/>
                <w:szCs w:val="18"/>
              </w:rPr>
              <w:t>8.19</w:t>
            </w:r>
          </w:p>
        </w:tc>
        <w:tc>
          <w:tcPr>
            <w:tcW w:w="1247" w:type="dxa"/>
            <w:tcBorders>
              <w:top w:val="nil"/>
              <w:left w:val="nil"/>
              <w:bottom w:val="single" w:sz="4" w:space="0" w:color="000000"/>
              <w:right w:val="single" w:sz="4" w:space="0" w:color="000000"/>
            </w:tcBorders>
            <w:shd w:val="clear" w:color="auto" w:fill="auto"/>
            <w:vAlign w:val="bottom"/>
          </w:tcPr>
          <w:p w14:paraId="0000025C" w14:textId="77777777" w:rsidR="0039297D" w:rsidRDefault="004273CA" w:rsidP="000F15C3">
            <w:pPr>
              <w:spacing w:before="60" w:after="60"/>
              <w:jc w:val="left"/>
              <w:rPr>
                <w:color w:val="000000"/>
                <w:sz w:val="18"/>
                <w:szCs w:val="18"/>
              </w:rPr>
            </w:pPr>
            <w:r>
              <w:rPr>
                <w:color w:val="000000"/>
                <w:sz w:val="18"/>
                <w:szCs w:val="18"/>
              </w:rPr>
              <w:t>UK</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5D" w14:textId="77777777" w:rsidR="0039297D" w:rsidRDefault="004273CA" w:rsidP="000F15C3">
            <w:pPr>
              <w:spacing w:before="60" w:after="60"/>
              <w:jc w:val="right"/>
              <w:rPr>
                <w:color w:val="000000"/>
                <w:sz w:val="18"/>
                <w:szCs w:val="18"/>
              </w:rPr>
            </w:pPr>
            <w:r>
              <w:rPr>
                <w:color w:val="000000"/>
                <w:sz w:val="18"/>
                <w:szCs w:val="18"/>
              </w:rPr>
              <w:t>7.05</w:t>
            </w:r>
          </w:p>
        </w:tc>
      </w:tr>
      <w:tr w:rsidR="0039297D" w14:paraId="05B0BE4D"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5E" w14:textId="77777777" w:rsidR="0039297D" w:rsidRDefault="004273CA" w:rsidP="000F15C3">
            <w:pPr>
              <w:spacing w:before="60" w:after="60"/>
              <w:jc w:val="left"/>
              <w:rPr>
                <w:color w:val="000000"/>
                <w:sz w:val="18"/>
                <w:szCs w:val="18"/>
              </w:rPr>
            </w:pPr>
            <w:r>
              <w:rPr>
                <w:color w:val="000000"/>
                <w:sz w:val="18"/>
                <w:szCs w:val="18"/>
              </w:rPr>
              <w:t>Zambia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5F" w14:textId="77777777" w:rsidR="0039297D" w:rsidRDefault="004273CA" w:rsidP="000F15C3">
            <w:pPr>
              <w:spacing w:before="60" w:after="60"/>
              <w:jc w:val="right"/>
              <w:rPr>
                <w:color w:val="000000"/>
                <w:sz w:val="18"/>
                <w:szCs w:val="18"/>
              </w:rPr>
            </w:pPr>
            <w:r>
              <w:rPr>
                <w:color w:val="000000"/>
                <w:sz w:val="18"/>
                <w:szCs w:val="18"/>
              </w:rPr>
              <w:t>3.53</w:t>
            </w:r>
          </w:p>
        </w:tc>
        <w:tc>
          <w:tcPr>
            <w:tcW w:w="1247" w:type="dxa"/>
            <w:tcBorders>
              <w:top w:val="nil"/>
              <w:left w:val="nil"/>
              <w:bottom w:val="single" w:sz="4" w:space="0" w:color="000000"/>
              <w:right w:val="single" w:sz="4" w:space="0" w:color="000000"/>
            </w:tcBorders>
            <w:shd w:val="clear" w:color="auto" w:fill="auto"/>
            <w:vAlign w:val="bottom"/>
          </w:tcPr>
          <w:p w14:paraId="00000260" w14:textId="77777777" w:rsidR="0039297D" w:rsidRDefault="004273CA" w:rsidP="000F15C3">
            <w:pPr>
              <w:spacing w:before="60" w:after="60"/>
              <w:jc w:val="left"/>
              <w:rPr>
                <w:color w:val="000000"/>
                <w:sz w:val="18"/>
                <w:szCs w:val="18"/>
              </w:rPr>
            </w:pPr>
            <w:r>
              <w:rPr>
                <w:color w:val="000000"/>
                <w:sz w:val="18"/>
                <w:szCs w:val="18"/>
              </w:rPr>
              <w:t>Botswana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61" w14:textId="77777777" w:rsidR="0039297D" w:rsidRDefault="004273CA" w:rsidP="000F15C3">
            <w:pPr>
              <w:spacing w:before="60" w:after="60"/>
              <w:jc w:val="right"/>
              <w:rPr>
                <w:color w:val="000000"/>
                <w:sz w:val="18"/>
                <w:szCs w:val="18"/>
              </w:rPr>
            </w:pPr>
            <w:r>
              <w:rPr>
                <w:color w:val="000000"/>
                <w:sz w:val="18"/>
                <w:szCs w:val="18"/>
              </w:rPr>
              <w:t>7.15</w:t>
            </w:r>
          </w:p>
        </w:tc>
        <w:tc>
          <w:tcPr>
            <w:tcW w:w="1247" w:type="dxa"/>
            <w:tcBorders>
              <w:top w:val="nil"/>
              <w:left w:val="nil"/>
              <w:bottom w:val="single" w:sz="4" w:space="0" w:color="000000"/>
              <w:right w:val="single" w:sz="4" w:space="0" w:color="000000"/>
            </w:tcBorders>
            <w:shd w:val="clear" w:color="auto" w:fill="auto"/>
            <w:vAlign w:val="bottom"/>
          </w:tcPr>
          <w:p w14:paraId="00000262" w14:textId="77777777" w:rsidR="0039297D" w:rsidRDefault="004273CA" w:rsidP="000F15C3">
            <w:pPr>
              <w:spacing w:before="60" w:after="60"/>
              <w:jc w:val="left"/>
              <w:rPr>
                <w:color w:val="000000"/>
                <w:sz w:val="18"/>
                <w:szCs w:val="18"/>
              </w:rPr>
            </w:pPr>
            <w:r>
              <w:rPr>
                <w:color w:val="000000"/>
                <w:sz w:val="18"/>
                <w:szCs w:val="18"/>
              </w:rPr>
              <w:t>Namibia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63" w14:textId="77777777" w:rsidR="0039297D" w:rsidRDefault="004273CA" w:rsidP="000F15C3">
            <w:pPr>
              <w:spacing w:before="60" w:after="60"/>
              <w:jc w:val="right"/>
              <w:rPr>
                <w:color w:val="000000"/>
                <w:sz w:val="18"/>
                <w:szCs w:val="18"/>
              </w:rPr>
            </w:pPr>
            <w:r>
              <w:rPr>
                <w:color w:val="000000"/>
                <w:sz w:val="18"/>
                <w:szCs w:val="18"/>
              </w:rPr>
              <w:t>4.28</w:t>
            </w:r>
          </w:p>
        </w:tc>
        <w:tc>
          <w:tcPr>
            <w:tcW w:w="1247" w:type="dxa"/>
            <w:tcBorders>
              <w:top w:val="nil"/>
              <w:left w:val="nil"/>
              <w:bottom w:val="single" w:sz="4" w:space="0" w:color="000000"/>
              <w:right w:val="single" w:sz="4" w:space="0" w:color="000000"/>
            </w:tcBorders>
            <w:shd w:val="clear" w:color="auto" w:fill="auto"/>
            <w:vAlign w:val="bottom"/>
          </w:tcPr>
          <w:p w14:paraId="00000264" w14:textId="77777777" w:rsidR="0039297D" w:rsidRDefault="004273CA" w:rsidP="000F15C3">
            <w:pPr>
              <w:spacing w:before="60" w:after="60"/>
              <w:jc w:val="left"/>
              <w:rPr>
                <w:color w:val="000000"/>
                <w:sz w:val="18"/>
                <w:szCs w:val="18"/>
              </w:rPr>
            </w:pPr>
            <w:r>
              <w:rPr>
                <w:color w:val="000000"/>
                <w:sz w:val="18"/>
                <w:szCs w:val="18"/>
              </w:rPr>
              <w:t>Netherlands</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65" w14:textId="77777777" w:rsidR="0039297D" w:rsidRDefault="004273CA" w:rsidP="000F15C3">
            <w:pPr>
              <w:spacing w:before="60" w:after="60"/>
              <w:jc w:val="right"/>
              <w:rPr>
                <w:color w:val="000000"/>
                <w:sz w:val="18"/>
                <w:szCs w:val="18"/>
              </w:rPr>
            </w:pPr>
            <w:r>
              <w:rPr>
                <w:color w:val="000000"/>
                <w:sz w:val="18"/>
                <w:szCs w:val="18"/>
              </w:rPr>
              <w:t>5.15</w:t>
            </w:r>
          </w:p>
        </w:tc>
        <w:tc>
          <w:tcPr>
            <w:tcW w:w="1247" w:type="dxa"/>
            <w:tcBorders>
              <w:top w:val="nil"/>
              <w:left w:val="nil"/>
              <w:bottom w:val="single" w:sz="4" w:space="0" w:color="000000"/>
              <w:right w:val="single" w:sz="4" w:space="0" w:color="000000"/>
            </w:tcBorders>
            <w:shd w:val="clear" w:color="auto" w:fill="auto"/>
            <w:vAlign w:val="bottom"/>
          </w:tcPr>
          <w:p w14:paraId="00000266" w14:textId="77777777" w:rsidR="0039297D" w:rsidRDefault="004273CA" w:rsidP="000F15C3">
            <w:pPr>
              <w:spacing w:before="60" w:after="60"/>
              <w:jc w:val="left"/>
              <w:rPr>
                <w:color w:val="000000"/>
                <w:sz w:val="18"/>
                <w:szCs w:val="18"/>
              </w:rPr>
            </w:pPr>
            <w:r>
              <w:rPr>
                <w:color w:val="000000"/>
                <w:sz w:val="18"/>
                <w:szCs w:val="18"/>
              </w:rPr>
              <w:t>Namibia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67" w14:textId="77777777" w:rsidR="0039297D" w:rsidRDefault="004273CA" w:rsidP="000F15C3">
            <w:pPr>
              <w:spacing w:before="60" w:after="60"/>
              <w:jc w:val="right"/>
              <w:rPr>
                <w:color w:val="000000"/>
                <w:sz w:val="18"/>
                <w:szCs w:val="18"/>
              </w:rPr>
            </w:pPr>
            <w:r>
              <w:rPr>
                <w:color w:val="000000"/>
                <w:sz w:val="18"/>
                <w:szCs w:val="18"/>
              </w:rPr>
              <w:t>3.66</w:t>
            </w:r>
          </w:p>
        </w:tc>
      </w:tr>
      <w:tr w:rsidR="0039297D" w14:paraId="68813BBB"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68" w14:textId="77777777" w:rsidR="0039297D" w:rsidRDefault="004273CA" w:rsidP="000F15C3">
            <w:pPr>
              <w:spacing w:before="60" w:after="60"/>
              <w:jc w:val="left"/>
              <w:rPr>
                <w:color w:val="000000"/>
                <w:sz w:val="18"/>
                <w:szCs w:val="18"/>
              </w:rPr>
            </w:pPr>
            <w:r>
              <w:rPr>
                <w:color w:val="000000"/>
                <w:sz w:val="18"/>
                <w:szCs w:val="18"/>
              </w:rPr>
              <w:t>Australia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69" w14:textId="77777777" w:rsidR="0039297D" w:rsidRDefault="004273CA" w:rsidP="000F15C3">
            <w:pPr>
              <w:spacing w:before="60" w:after="60"/>
              <w:jc w:val="right"/>
              <w:rPr>
                <w:color w:val="000000"/>
                <w:sz w:val="18"/>
                <w:szCs w:val="18"/>
              </w:rPr>
            </w:pPr>
            <w:r>
              <w:rPr>
                <w:color w:val="000000"/>
                <w:sz w:val="18"/>
                <w:szCs w:val="18"/>
              </w:rPr>
              <w:t>3.50</w:t>
            </w:r>
          </w:p>
        </w:tc>
        <w:tc>
          <w:tcPr>
            <w:tcW w:w="1247" w:type="dxa"/>
            <w:tcBorders>
              <w:top w:val="nil"/>
              <w:left w:val="nil"/>
              <w:bottom w:val="single" w:sz="4" w:space="0" w:color="000000"/>
              <w:right w:val="single" w:sz="4" w:space="0" w:color="000000"/>
            </w:tcBorders>
            <w:shd w:val="clear" w:color="auto" w:fill="auto"/>
            <w:vAlign w:val="bottom"/>
          </w:tcPr>
          <w:p w14:paraId="0000026A" w14:textId="77777777" w:rsidR="0039297D" w:rsidRDefault="004273CA" w:rsidP="000F15C3">
            <w:pPr>
              <w:spacing w:before="60" w:after="60"/>
              <w:jc w:val="left"/>
              <w:rPr>
                <w:color w:val="000000"/>
                <w:sz w:val="18"/>
                <w:szCs w:val="18"/>
              </w:rPr>
            </w:pPr>
            <w:r>
              <w:rPr>
                <w:color w:val="000000"/>
                <w:sz w:val="18"/>
                <w:szCs w:val="18"/>
              </w:rPr>
              <w:t>Eswatini</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6B" w14:textId="77777777" w:rsidR="0039297D" w:rsidRDefault="004273CA" w:rsidP="000F15C3">
            <w:pPr>
              <w:spacing w:before="60" w:after="60"/>
              <w:jc w:val="right"/>
              <w:rPr>
                <w:color w:val="000000"/>
                <w:sz w:val="18"/>
                <w:szCs w:val="18"/>
              </w:rPr>
            </w:pPr>
            <w:r>
              <w:rPr>
                <w:color w:val="000000"/>
                <w:sz w:val="18"/>
                <w:szCs w:val="18"/>
              </w:rPr>
              <w:t>6.60</w:t>
            </w:r>
          </w:p>
        </w:tc>
        <w:tc>
          <w:tcPr>
            <w:tcW w:w="1247" w:type="dxa"/>
            <w:tcBorders>
              <w:top w:val="nil"/>
              <w:left w:val="nil"/>
              <w:bottom w:val="single" w:sz="4" w:space="0" w:color="000000"/>
              <w:right w:val="single" w:sz="4" w:space="0" w:color="000000"/>
            </w:tcBorders>
            <w:shd w:val="clear" w:color="auto" w:fill="auto"/>
            <w:vAlign w:val="bottom"/>
          </w:tcPr>
          <w:p w14:paraId="0000026C" w14:textId="77777777" w:rsidR="0039297D" w:rsidRDefault="004273CA" w:rsidP="000F15C3">
            <w:pPr>
              <w:spacing w:before="60" w:after="60"/>
              <w:jc w:val="left"/>
              <w:rPr>
                <w:color w:val="000000"/>
                <w:sz w:val="18"/>
                <w:szCs w:val="18"/>
              </w:rPr>
            </w:pPr>
            <w:r>
              <w:rPr>
                <w:color w:val="000000"/>
                <w:sz w:val="18"/>
                <w:szCs w:val="18"/>
              </w:rPr>
              <w:t>Germany</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6D" w14:textId="77777777" w:rsidR="0039297D" w:rsidRDefault="004273CA" w:rsidP="000F15C3">
            <w:pPr>
              <w:spacing w:before="60" w:after="60"/>
              <w:jc w:val="right"/>
              <w:rPr>
                <w:color w:val="000000"/>
                <w:sz w:val="18"/>
                <w:szCs w:val="18"/>
              </w:rPr>
            </w:pPr>
            <w:r>
              <w:rPr>
                <w:color w:val="000000"/>
                <w:sz w:val="18"/>
                <w:szCs w:val="18"/>
              </w:rPr>
              <w:t>3.79</w:t>
            </w:r>
          </w:p>
        </w:tc>
        <w:tc>
          <w:tcPr>
            <w:tcW w:w="1247" w:type="dxa"/>
            <w:tcBorders>
              <w:top w:val="nil"/>
              <w:left w:val="nil"/>
              <w:bottom w:val="single" w:sz="4" w:space="0" w:color="000000"/>
              <w:right w:val="single" w:sz="4" w:space="0" w:color="000000"/>
            </w:tcBorders>
            <w:shd w:val="clear" w:color="auto" w:fill="auto"/>
            <w:vAlign w:val="bottom"/>
          </w:tcPr>
          <w:p w14:paraId="0000026E" w14:textId="77777777" w:rsidR="0039297D" w:rsidRDefault="004273CA" w:rsidP="000F15C3">
            <w:pPr>
              <w:spacing w:before="60" w:after="60"/>
              <w:jc w:val="left"/>
              <w:rPr>
                <w:color w:val="000000"/>
                <w:sz w:val="18"/>
                <w:szCs w:val="18"/>
              </w:rPr>
            </w:pPr>
            <w:r>
              <w:rPr>
                <w:color w:val="000000"/>
                <w:sz w:val="18"/>
                <w:szCs w:val="18"/>
              </w:rPr>
              <w:t>Namibia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6F" w14:textId="77777777" w:rsidR="0039297D" w:rsidRDefault="004273CA" w:rsidP="000F15C3">
            <w:pPr>
              <w:spacing w:before="60" w:after="60"/>
              <w:jc w:val="right"/>
              <w:rPr>
                <w:color w:val="000000"/>
                <w:sz w:val="18"/>
                <w:szCs w:val="18"/>
              </w:rPr>
            </w:pPr>
            <w:r>
              <w:rPr>
                <w:color w:val="000000"/>
                <w:sz w:val="18"/>
                <w:szCs w:val="18"/>
              </w:rPr>
              <w:t>4.16</w:t>
            </w:r>
          </w:p>
        </w:tc>
        <w:tc>
          <w:tcPr>
            <w:tcW w:w="1247" w:type="dxa"/>
            <w:tcBorders>
              <w:top w:val="nil"/>
              <w:left w:val="nil"/>
              <w:bottom w:val="single" w:sz="4" w:space="0" w:color="000000"/>
              <w:right w:val="single" w:sz="4" w:space="0" w:color="000000"/>
            </w:tcBorders>
            <w:shd w:val="clear" w:color="auto" w:fill="auto"/>
            <w:vAlign w:val="bottom"/>
          </w:tcPr>
          <w:p w14:paraId="00000270" w14:textId="77777777" w:rsidR="0039297D" w:rsidRDefault="004273CA" w:rsidP="000F15C3">
            <w:pPr>
              <w:spacing w:before="60" w:after="60"/>
              <w:jc w:val="left"/>
              <w:rPr>
                <w:color w:val="000000"/>
                <w:sz w:val="18"/>
                <w:szCs w:val="18"/>
              </w:rPr>
            </w:pPr>
            <w:r>
              <w:rPr>
                <w:color w:val="000000"/>
                <w:sz w:val="18"/>
                <w:szCs w:val="18"/>
              </w:rPr>
              <w:t>Botswana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71" w14:textId="77777777" w:rsidR="0039297D" w:rsidRDefault="004273CA" w:rsidP="000F15C3">
            <w:pPr>
              <w:spacing w:before="60" w:after="60"/>
              <w:jc w:val="right"/>
              <w:rPr>
                <w:color w:val="000000"/>
                <w:sz w:val="18"/>
                <w:szCs w:val="18"/>
              </w:rPr>
            </w:pPr>
            <w:r>
              <w:rPr>
                <w:color w:val="000000"/>
                <w:sz w:val="18"/>
                <w:szCs w:val="18"/>
              </w:rPr>
              <w:t>3.27</w:t>
            </w:r>
          </w:p>
        </w:tc>
      </w:tr>
      <w:tr w:rsidR="0039297D" w14:paraId="40DD51C5"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72" w14:textId="77777777" w:rsidR="0039297D" w:rsidRDefault="004273CA" w:rsidP="000F15C3">
            <w:pPr>
              <w:spacing w:before="60" w:after="60"/>
              <w:jc w:val="left"/>
              <w:rPr>
                <w:color w:val="000000"/>
                <w:sz w:val="18"/>
                <w:szCs w:val="18"/>
              </w:rPr>
            </w:pPr>
            <w:r>
              <w:rPr>
                <w:color w:val="000000"/>
                <w:sz w:val="18"/>
                <w:szCs w:val="18"/>
              </w:rPr>
              <w:t>Netherlands</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73" w14:textId="77777777" w:rsidR="0039297D" w:rsidRDefault="004273CA" w:rsidP="000F15C3">
            <w:pPr>
              <w:spacing w:before="60" w:after="60"/>
              <w:jc w:val="right"/>
              <w:rPr>
                <w:color w:val="000000"/>
                <w:sz w:val="18"/>
                <w:szCs w:val="18"/>
              </w:rPr>
            </w:pPr>
            <w:r>
              <w:rPr>
                <w:color w:val="000000"/>
                <w:sz w:val="18"/>
                <w:szCs w:val="18"/>
              </w:rPr>
              <w:t>2.30</w:t>
            </w:r>
          </w:p>
        </w:tc>
        <w:tc>
          <w:tcPr>
            <w:tcW w:w="1247" w:type="dxa"/>
            <w:tcBorders>
              <w:top w:val="nil"/>
              <w:left w:val="nil"/>
              <w:bottom w:val="single" w:sz="4" w:space="0" w:color="000000"/>
              <w:right w:val="single" w:sz="4" w:space="0" w:color="000000"/>
            </w:tcBorders>
            <w:shd w:val="clear" w:color="auto" w:fill="auto"/>
            <w:vAlign w:val="bottom"/>
          </w:tcPr>
          <w:p w14:paraId="00000274" w14:textId="77777777" w:rsidR="0039297D" w:rsidRDefault="004273CA" w:rsidP="000F15C3">
            <w:pPr>
              <w:spacing w:before="60" w:after="60"/>
              <w:jc w:val="left"/>
              <w:rPr>
                <w:color w:val="000000"/>
                <w:sz w:val="18"/>
                <w:szCs w:val="18"/>
              </w:rPr>
            </w:pPr>
            <w:r>
              <w:rPr>
                <w:color w:val="000000"/>
                <w:sz w:val="18"/>
                <w:szCs w:val="18"/>
              </w:rPr>
              <w:t>Zimbabwe</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75" w14:textId="77777777" w:rsidR="0039297D" w:rsidRDefault="004273CA" w:rsidP="000F15C3">
            <w:pPr>
              <w:spacing w:before="60" w:after="60"/>
              <w:jc w:val="right"/>
              <w:rPr>
                <w:color w:val="000000"/>
                <w:sz w:val="18"/>
                <w:szCs w:val="18"/>
              </w:rPr>
            </w:pPr>
            <w:r>
              <w:rPr>
                <w:color w:val="000000"/>
                <w:sz w:val="18"/>
                <w:szCs w:val="18"/>
              </w:rPr>
              <w:t>6.34</w:t>
            </w:r>
          </w:p>
        </w:tc>
        <w:tc>
          <w:tcPr>
            <w:tcW w:w="1247" w:type="dxa"/>
            <w:tcBorders>
              <w:top w:val="nil"/>
              <w:left w:val="nil"/>
              <w:bottom w:val="single" w:sz="4" w:space="0" w:color="000000"/>
              <w:right w:val="single" w:sz="4" w:space="0" w:color="000000"/>
            </w:tcBorders>
            <w:shd w:val="clear" w:color="auto" w:fill="auto"/>
            <w:vAlign w:val="bottom"/>
          </w:tcPr>
          <w:p w14:paraId="00000276" w14:textId="77777777" w:rsidR="0039297D" w:rsidRDefault="004273CA" w:rsidP="000F15C3">
            <w:pPr>
              <w:spacing w:before="60" w:after="60"/>
              <w:jc w:val="left"/>
              <w:rPr>
                <w:color w:val="000000"/>
                <w:sz w:val="18"/>
                <w:szCs w:val="18"/>
              </w:rPr>
            </w:pPr>
            <w:r>
              <w:rPr>
                <w:color w:val="000000"/>
                <w:sz w:val="18"/>
                <w:szCs w:val="18"/>
              </w:rPr>
              <w:t>Zimbabwe</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77" w14:textId="77777777" w:rsidR="0039297D" w:rsidRDefault="004273CA" w:rsidP="000F15C3">
            <w:pPr>
              <w:spacing w:before="60" w:after="60"/>
              <w:jc w:val="right"/>
              <w:rPr>
                <w:color w:val="000000"/>
                <w:sz w:val="18"/>
                <w:szCs w:val="18"/>
              </w:rPr>
            </w:pPr>
            <w:r>
              <w:rPr>
                <w:color w:val="000000"/>
                <w:sz w:val="18"/>
                <w:szCs w:val="18"/>
              </w:rPr>
              <w:t>3.08</w:t>
            </w:r>
          </w:p>
        </w:tc>
        <w:tc>
          <w:tcPr>
            <w:tcW w:w="1247" w:type="dxa"/>
            <w:tcBorders>
              <w:top w:val="nil"/>
              <w:left w:val="nil"/>
              <w:bottom w:val="single" w:sz="4" w:space="0" w:color="000000"/>
              <w:right w:val="single" w:sz="4" w:space="0" w:color="000000"/>
            </w:tcBorders>
            <w:shd w:val="clear" w:color="auto" w:fill="auto"/>
            <w:vAlign w:val="bottom"/>
          </w:tcPr>
          <w:p w14:paraId="00000278" w14:textId="77777777" w:rsidR="0039297D" w:rsidRDefault="004273CA" w:rsidP="000F15C3">
            <w:pPr>
              <w:spacing w:before="60" w:after="60"/>
              <w:jc w:val="left"/>
              <w:rPr>
                <w:color w:val="000000"/>
                <w:sz w:val="18"/>
                <w:szCs w:val="18"/>
              </w:rPr>
            </w:pPr>
            <w:r>
              <w:rPr>
                <w:color w:val="000000"/>
                <w:sz w:val="18"/>
                <w:szCs w:val="18"/>
              </w:rPr>
              <w:t>Germany</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79" w14:textId="77777777" w:rsidR="0039297D" w:rsidRDefault="004273CA" w:rsidP="000F15C3">
            <w:pPr>
              <w:spacing w:before="60" w:after="60"/>
              <w:jc w:val="right"/>
              <w:rPr>
                <w:color w:val="000000"/>
                <w:sz w:val="18"/>
                <w:szCs w:val="18"/>
              </w:rPr>
            </w:pPr>
            <w:r>
              <w:rPr>
                <w:color w:val="000000"/>
                <w:sz w:val="18"/>
                <w:szCs w:val="18"/>
              </w:rPr>
              <w:t>3.95</w:t>
            </w:r>
          </w:p>
        </w:tc>
        <w:tc>
          <w:tcPr>
            <w:tcW w:w="1247" w:type="dxa"/>
            <w:tcBorders>
              <w:top w:val="nil"/>
              <w:left w:val="nil"/>
              <w:bottom w:val="single" w:sz="4" w:space="0" w:color="000000"/>
              <w:right w:val="single" w:sz="4" w:space="0" w:color="000000"/>
            </w:tcBorders>
            <w:shd w:val="clear" w:color="auto" w:fill="auto"/>
            <w:vAlign w:val="bottom"/>
          </w:tcPr>
          <w:p w14:paraId="0000027A" w14:textId="77777777" w:rsidR="0039297D" w:rsidRDefault="004273CA" w:rsidP="000F15C3">
            <w:pPr>
              <w:spacing w:before="60" w:after="60"/>
              <w:jc w:val="left"/>
              <w:rPr>
                <w:color w:val="000000"/>
                <w:sz w:val="18"/>
                <w:szCs w:val="18"/>
              </w:rPr>
            </w:pPr>
            <w:r>
              <w:rPr>
                <w:color w:val="000000"/>
                <w:sz w:val="18"/>
                <w:szCs w:val="18"/>
              </w:rPr>
              <w:t>Eswatini</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7B" w14:textId="77777777" w:rsidR="0039297D" w:rsidRDefault="004273CA" w:rsidP="000F15C3">
            <w:pPr>
              <w:spacing w:before="60" w:after="60"/>
              <w:jc w:val="right"/>
              <w:rPr>
                <w:color w:val="000000"/>
                <w:sz w:val="18"/>
                <w:szCs w:val="18"/>
              </w:rPr>
            </w:pPr>
            <w:r>
              <w:rPr>
                <w:color w:val="000000"/>
                <w:sz w:val="18"/>
                <w:szCs w:val="18"/>
              </w:rPr>
              <w:t>2.60</w:t>
            </w:r>
          </w:p>
        </w:tc>
      </w:tr>
      <w:tr w:rsidR="0039297D" w14:paraId="0596CE6F"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7C" w14:textId="77777777" w:rsidR="0039297D" w:rsidRDefault="004273CA" w:rsidP="000F15C3">
            <w:pPr>
              <w:spacing w:before="60" w:after="60"/>
              <w:jc w:val="left"/>
              <w:rPr>
                <w:color w:val="000000"/>
                <w:sz w:val="18"/>
                <w:szCs w:val="18"/>
              </w:rPr>
            </w:pPr>
            <w:r>
              <w:rPr>
                <w:color w:val="000000"/>
                <w:sz w:val="18"/>
                <w:szCs w:val="18"/>
              </w:rPr>
              <w:t>Germany</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7D" w14:textId="77777777" w:rsidR="0039297D" w:rsidRDefault="004273CA" w:rsidP="000F15C3">
            <w:pPr>
              <w:spacing w:before="60" w:after="60"/>
              <w:jc w:val="right"/>
              <w:rPr>
                <w:color w:val="000000"/>
                <w:sz w:val="18"/>
                <w:szCs w:val="18"/>
              </w:rPr>
            </w:pPr>
            <w:r>
              <w:rPr>
                <w:color w:val="000000"/>
                <w:sz w:val="18"/>
                <w:szCs w:val="18"/>
              </w:rPr>
              <w:t>2.25</w:t>
            </w:r>
          </w:p>
        </w:tc>
        <w:tc>
          <w:tcPr>
            <w:tcW w:w="1247" w:type="dxa"/>
            <w:tcBorders>
              <w:top w:val="nil"/>
              <w:left w:val="nil"/>
              <w:bottom w:val="single" w:sz="4" w:space="0" w:color="000000"/>
              <w:right w:val="single" w:sz="4" w:space="0" w:color="000000"/>
            </w:tcBorders>
            <w:shd w:val="clear" w:color="auto" w:fill="auto"/>
            <w:vAlign w:val="bottom"/>
          </w:tcPr>
          <w:p w14:paraId="0000027E" w14:textId="77777777" w:rsidR="0039297D" w:rsidRDefault="004273CA" w:rsidP="000F15C3">
            <w:pPr>
              <w:spacing w:before="60" w:after="60"/>
              <w:jc w:val="left"/>
              <w:rPr>
                <w:color w:val="000000"/>
                <w:sz w:val="18"/>
                <w:szCs w:val="18"/>
              </w:rPr>
            </w:pPr>
            <w:r>
              <w:rPr>
                <w:color w:val="000000"/>
                <w:sz w:val="18"/>
                <w:szCs w:val="18"/>
              </w:rPr>
              <w:t>UK</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7F" w14:textId="77777777" w:rsidR="0039297D" w:rsidRDefault="004273CA" w:rsidP="000F15C3">
            <w:pPr>
              <w:spacing w:before="60" w:after="60"/>
              <w:jc w:val="right"/>
              <w:rPr>
                <w:color w:val="000000"/>
                <w:sz w:val="18"/>
                <w:szCs w:val="18"/>
              </w:rPr>
            </w:pPr>
            <w:r>
              <w:rPr>
                <w:color w:val="000000"/>
                <w:sz w:val="18"/>
                <w:szCs w:val="18"/>
              </w:rPr>
              <w:t>5.27</w:t>
            </w:r>
          </w:p>
        </w:tc>
        <w:tc>
          <w:tcPr>
            <w:tcW w:w="1247" w:type="dxa"/>
            <w:tcBorders>
              <w:top w:val="nil"/>
              <w:left w:val="nil"/>
              <w:bottom w:val="single" w:sz="4" w:space="0" w:color="000000"/>
              <w:right w:val="single" w:sz="4" w:space="0" w:color="000000"/>
            </w:tcBorders>
            <w:shd w:val="clear" w:color="auto" w:fill="auto"/>
            <w:vAlign w:val="bottom"/>
          </w:tcPr>
          <w:p w14:paraId="00000280" w14:textId="77777777" w:rsidR="0039297D" w:rsidRDefault="004273CA" w:rsidP="000F15C3">
            <w:pPr>
              <w:spacing w:before="60" w:after="60"/>
              <w:jc w:val="left"/>
              <w:rPr>
                <w:color w:val="000000"/>
                <w:sz w:val="18"/>
                <w:szCs w:val="18"/>
              </w:rPr>
            </w:pPr>
            <w:r>
              <w:rPr>
                <w:color w:val="000000"/>
                <w:sz w:val="18"/>
                <w:szCs w:val="18"/>
              </w:rPr>
              <w:t>Eswatini</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81" w14:textId="77777777" w:rsidR="0039297D" w:rsidRDefault="004273CA" w:rsidP="000F15C3">
            <w:pPr>
              <w:spacing w:before="60" w:after="60"/>
              <w:jc w:val="right"/>
              <w:rPr>
                <w:color w:val="000000"/>
                <w:sz w:val="18"/>
                <w:szCs w:val="18"/>
              </w:rPr>
            </w:pPr>
            <w:r>
              <w:rPr>
                <w:color w:val="000000"/>
                <w:sz w:val="18"/>
                <w:szCs w:val="18"/>
              </w:rPr>
              <w:t>2.65</w:t>
            </w:r>
          </w:p>
        </w:tc>
        <w:tc>
          <w:tcPr>
            <w:tcW w:w="1247" w:type="dxa"/>
            <w:tcBorders>
              <w:top w:val="nil"/>
              <w:left w:val="nil"/>
              <w:bottom w:val="single" w:sz="4" w:space="0" w:color="000000"/>
              <w:right w:val="single" w:sz="4" w:space="0" w:color="000000"/>
            </w:tcBorders>
            <w:shd w:val="clear" w:color="auto" w:fill="auto"/>
            <w:vAlign w:val="bottom"/>
          </w:tcPr>
          <w:p w14:paraId="00000282" w14:textId="77777777" w:rsidR="0039297D" w:rsidRDefault="004273CA" w:rsidP="000F15C3">
            <w:pPr>
              <w:spacing w:before="60" w:after="60"/>
              <w:jc w:val="left"/>
              <w:rPr>
                <w:color w:val="000000"/>
                <w:sz w:val="18"/>
                <w:szCs w:val="18"/>
              </w:rPr>
            </w:pPr>
            <w:r>
              <w:rPr>
                <w:color w:val="000000"/>
                <w:sz w:val="18"/>
                <w:szCs w:val="18"/>
              </w:rPr>
              <w:t>Botswana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83" w14:textId="77777777" w:rsidR="0039297D" w:rsidRDefault="004273CA" w:rsidP="000F15C3">
            <w:pPr>
              <w:spacing w:before="60" w:after="60"/>
              <w:jc w:val="right"/>
              <w:rPr>
                <w:color w:val="000000"/>
                <w:sz w:val="18"/>
                <w:szCs w:val="18"/>
              </w:rPr>
            </w:pPr>
            <w:r>
              <w:rPr>
                <w:color w:val="000000"/>
                <w:sz w:val="18"/>
                <w:szCs w:val="18"/>
              </w:rPr>
              <w:t>3.00</w:t>
            </w:r>
          </w:p>
        </w:tc>
        <w:tc>
          <w:tcPr>
            <w:tcW w:w="1247" w:type="dxa"/>
            <w:tcBorders>
              <w:top w:val="nil"/>
              <w:left w:val="nil"/>
              <w:bottom w:val="single" w:sz="4" w:space="0" w:color="000000"/>
              <w:right w:val="single" w:sz="4" w:space="0" w:color="000000"/>
            </w:tcBorders>
            <w:shd w:val="clear" w:color="auto" w:fill="auto"/>
            <w:vAlign w:val="bottom"/>
          </w:tcPr>
          <w:p w14:paraId="00000284" w14:textId="77777777" w:rsidR="0039297D" w:rsidRDefault="004273CA" w:rsidP="000F15C3">
            <w:pPr>
              <w:spacing w:before="60" w:after="60"/>
              <w:jc w:val="left"/>
              <w:rPr>
                <w:color w:val="000000"/>
                <w:sz w:val="18"/>
                <w:szCs w:val="18"/>
              </w:rPr>
            </w:pPr>
            <w:r>
              <w:rPr>
                <w:color w:val="000000"/>
                <w:sz w:val="18"/>
                <w:szCs w:val="18"/>
              </w:rPr>
              <w:t>Germany</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85" w14:textId="77777777" w:rsidR="0039297D" w:rsidRDefault="004273CA" w:rsidP="000F15C3">
            <w:pPr>
              <w:spacing w:before="60" w:after="60"/>
              <w:jc w:val="right"/>
              <w:rPr>
                <w:color w:val="000000"/>
                <w:sz w:val="18"/>
                <w:szCs w:val="18"/>
              </w:rPr>
            </w:pPr>
            <w:r>
              <w:rPr>
                <w:color w:val="000000"/>
                <w:sz w:val="18"/>
                <w:szCs w:val="18"/>
              </w:rPr>
              <w:t>2.40</w:t>
            </w:r>
          </w:p>
        </w:tc>
      </w:tr>
      <w:tr w:rsidR="0039297D" w14:paraId="057A1FF7"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86" w14:textId="77777777" w:rsidR="0039297D" w:rsidRDefault="004273CA" w:rsidP="000F15C3">
            <w:pPr>
              <w:spacing w:before="60" w:after="60"/>
              <w:jc w:val="left"/>
              <w:rPr>
                <w:color w:val="000000"/>
                <w:sz w:val="18"/>
                <w:szCs w:val="18"/>
              </w:rPr>
            </w:pPr>
            <w:r>
              <w:rPr>
                <w:color w:val="000000"/>
                <w:sz w:val="18"/>
                <w:szCs w:val="18"/>
              </w:rPr>
              <w:t>Malawi</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87" w14:textId="77777777" w:rsidR="0039297D" w:rsidRDefault="004273CA" w:rsidP="000F15C3">
            <w:pPr>
              <w:spacing w:before="60" w:after="60"/>
              <w:jc w:val="right"/>
              <w:rPr>
                <w:color w:val="000000"/>
                <w:sz w:val="18"/>
                <w:szCs w:val="18"/>
              </w:rPr>
            </w:pPr>
            <w:r>
              <w:rPr>
                <w:color w:val="000000"/>
                <w:sz w:val="18"/>
                <w:szCs w:val="18"/>
              </w:rPr>
              <w:t>2.02</w:t>
            </w:r>
          </w:p>
        </w:tc>
        <w:tc>
          <w:tcPr>
            <w:tcW w:w="1247" w:type="dxa"/>
            <w:tcBorders>
              <w:top w:val="nil"/>
              <w:left w:val="nil"/>
              <w:bottom w:val="single" w:sz="4" w:space="0" w:color="000000"/>
              <w:right w:val="single" w:sz="4" w:space="0" w:color="000000"/>
            </w:tcBorders>
            <w:shd w:val="clear" w:color="auto" w:fill="auto"/>
            <w:vAlign w:val="bottom"/>
          </w:tcPr>
          <w:p w14:paraId="00000288" w14:textId="77777777" w:rsidR="0039297D" w:rsidRDefault="004273CA" w:rsidP="000F15C3">
            <w:pPr>
              <w:spacing w:before="60" w:after="60"/>
              <w:jc w:val="left"/>
              <w:rPr>
                <w:color w:val="000000"/>
                <w:sz w:val="18"/>
                <w:szCs w:val="18"/>
              </w:rPr>
            </w:pPr>
            <w:r>
              <w:rPr>
                <w:color w:val="000000"/>
                <w:sz w:val="18"/>
                <w:szCs w:val="18"/>
              </w:rPr>
              <w:t>Lesotho</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89" w14:textId="77777777" w:rsidR="0039297D" w:rsidRDefault="004273CA" w:rsidP="000F15C3">
            <w:pPr>
              <w:spacing w:before="60" w:after="60"/>
              <w:jc w:val="right"/>
              <w:rPr>
                <w:color w:val="000000"/>
                <w:sz w:val="18"/>
                <w:szCs w:val="18"/>
              </w:rPr>
            </w:pPr>
            <w:r>
              <w:rPr>
                <w:color w:val="000000"/>
                <w:sz w:val="18"/>
                <w:szCs w:val="18"/>
              </w:rPr>
              <w:t>4.16</w:t>
            </w:r>
          </w:p>
        </w:tc>
        <w:tc>
          <w:tcPr>
            <w:tcW w:w="1247" w:type="dxa"/>
            <w:tcBorders>
              <w:top w:val="nil"/>
              <w:left w:val="nil"/>
              <w:bottom w:val="single" w:sz="4" w:space="0" w:color="000000"/>
              <w:right w:val="single" w:sz="4" w:space="0" w:color="000000"/>
            </w:tcBorders>
            <w:shd w:val="clear" w:color="auto" w:fill="auto"/>
            <w:vAlign w:val="bottom"/>
          </w:tcPr>
          <w:p w14:paraId="0000028A" w14:textId="77777777" w:rsidR="0039297D" w:rsidRDefault="004273CA" w:rsidP="000F15C3">
            <w:pPr>
              <w:spacing w:before="60" w:after="60"/>
              <w:jc w:val="left"/>
              <w:rPr>
                <w:color w:val="000000"/>
                <w:sz w:val="18"/>
                <w:szCs w:val="18"/>
              </w:rPr>
            </w:pPr>
            <w:r>
              <w:rPr>
                <w:color w:val="000000"/>
                <w:sz w:val="18"/>
                <w:szCs w:val="18"/>
              </w:rPr>
              <w:t>Botswana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8B" w14:textId="77777777" w:rsidR="0039297D" w:rsidRDefault="004273CA" w:rsidP="000F15C3">
            <w:pPr>
              <w:spacing w:before="60" w:after="60"/>
              <w:jc w:val="right"/>
              <w:rPr>
                <w:color w:val="000000"/>
                <w:sz w:val="18"/>
                <w:szCs w:val="18"/>
              </w:rPr>
            </w:pPr>
            <w:r>
              <w:rPr>
                <w:color w:val="000000"/>
                <w:sz w:val="18"/>
                <w:szCs w:val="18"/>
              </w:rPr>
              <w:t>2.62</w:t>
            </w:r>
          </w:p>
        </w:tc>
        <w:tc>
          <w:tcPr>
            <w:tcW w:w="1247" w:type="dxa"/>
            <w:tcBorders>
              <w:top w:val="nil"/>
              <w:left w:val="nil"/>
              <w:bottom w:val="single" w:sz="4" w:space="0" w:color="000000"/>
              <w:right w:val="single" w:sz="4" w:space="0" w:color="000000"/>
            </w:tcBorders>
            <w:shd w:val="clear" w:color="auto" w:fill="auto"/>
            <w:vAlign w:val="bottom"/>
          </w:tcPr>
          <w:p w14:paraId="0000028C" w14:textId="77777777" w:rsidR="0039297D" w:rsidRDefault="004273CA" w:rsidP="000F15C3">
            <w:pPr>
              <w:spacing w:before="60" w:after="60"/>
              <w:jc w:val="left"/>
              <w:rPr>
                <w:color w:val="000000"/>
                <w:sz w:val="18"/>
                <w:szCs w:val="18"/>
              </w:rPr>
            </w:pPr>
            <w:r>
              <w:rPr>
                <w:color w:val="000000"/>
                <w:sz w:val="18"/>
                <w:szCs w:val="18"/>
              </w:rPr>
              <w:t>Eswatini</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8D" w14:textId="77777777" w:rsidR="0039297D" w:rsidRDefault="004273CA" w:rsidP="000F15C3">
            <w:pPr>
              <w:spacing w:before="60" w:after="60"/>
              <w:jc w:val="right"/>
              <w:rPr>
                <w:color w:val="000000"/>
                <w:sz w:val="18"/>
                <w:szCs w:val="18"/>
              </w:rPr>
            </w:pPr>
            <w:r>
              <w:rPr>
                <w:color w:val="000000"/>
                <w:sz w:val="18"/>
                <w:szCs w:val="18"/>
              </w:rPr>
              <w:t>2.73</w:t>
            </w:r>
          </w:p>
        </w:tc>
        <w:tc>
          <w:tcPr>
            <w:tcW w:w="1247" w:type="dxa"/>
            <w:tcBorders>
              <w:top w:val="nil"/>
              <w:left w:val="nil"/>
              <w:bottom w:val="single" w:sz="4" w:space="0" w:color="000000"/>
              <w:right w:val="single" w:sz="4" w:space="0" w:color="000000"/>
            </w:tcBorders>
            <w:shd w:val="clear" w:color="auto" w:fill="auto"/>
            <w:vAlign w:val="bottom"/>
          </w:tcPr>
          <w:p w14:paraId="0000028E" w14:textId="77777777" w:rsidR="0039297D" w:rsidRDefault="004273CA" w:rsidP="000F15C3">
            <w:pPr>
              <w:spacing w:before="60" w:after="60"/>
              <w:jc w:val="left"/>
              <w:rPr>
                <w:color w:val="000000"/>
                <w:sz w:val="18"/>
                <w:szCs w:val="18"/>
              </w:rPr>
            </w:pPr>
            <w:r>
              <w:rPr>
                <w:color w:val="000000"/>
                <w:sz w:val="18"/>
                <w:szCs w:val="18"/>
              </w:rPr>
              <w:t>Lesotho</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8F" w14:textId="77777777" w:rsidR="0039297D" w:rsidRDefault="004273CA" w:rsidP="000F15C3">
            <w:pPr>
              <w:spacing w:before="60" w:after="60"/>
              <w:jc w:val="right"/>
              <w:rPr>
                <w:color w:val="000000"/>
                <w:sz w:val="18"/>
                <w:szCs w:val="18"/>
              </w:rPr>
            </w:pPr>
            <w:r>
              <w:rPr>
                <w:color w:val="000000"/>
                <w:sz w:val="18"/>
                <w:szCs w:val="18"/>
              </w:rPr>
              <w:t>2.02</w:t>
            </w:r>
          </w:p>
        </w:tc>
      </w:tr>
      <w:tr w:rsidR="0039297D" w14:paraId="3928FD94"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90" w14:textId="77777777" w:rsidR="0039297D" w:rsidRDefault="004273CA" w:rsidP="000F15C3">
            <w:pPr>
              <w:spacing w:before="60" w:after="60"/>
              <w:jc w:val="left"/>
              <w:rPr>
                <w:color w:val="000000"/>
                <w:sz w:val="18"/>
                <w:szCs w:val="18"/>
              </w:rPr>
            </w:pPr>
            <w:r>
              <w:rPr>
                <w:color w:val="000000"/>
                <w:sz w:val="18"/>
                <w:szCs w:val="18"/>
              </w:rPr>
              <w:t>Nigeria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91" w14:textId="77777777" w:rsidR="0039297D" w:rsidRDefault="004273CA" w:rsidP="000F15C3">
            <w:pPr>
              <w:spacing w:before="60" w:after="60"/>
              <w:jc w:val="right"/>
              <w:rPr>
                <w:color w:val="000000"/>
                <w:sz w:val="18"/>
                <w:szCs w:val="18"/>
              </w:rPr>
            </w:pPr>
            <w:r>
              <w:rPr>
                <w:color w:val="000000"/>
                <w:sz w:val="18"/>
                <w:szCs w:val="18"/>
              </w:rPr>
              <w:t>1.95</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2" w14:textId="77777777" w:rsidR="0039297D" w:rsidRDefault="004273CA" w:rsidP="000F15C3">
            <w:pPr>
              <w:spacing w:before="60" w:after="60"/>
              <w:jc w:val="left"/>
              <w:rPr>
                <w:color w:val="000000"/>
                <w:sz w:val="18"/>
                <w:szCs w:val="18"/>
              </w:rPr>
            </w:pPr>
            <w:r>
              <w:rPr>
                <w:color w:val="000000"/>
                <w:sz w:val="18"/>
                <w:szCs w:val="18"/>
              </w:rPr>
              <w:t>Mozambique</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93" w14:textId="77777777" w:rsidR="0039297D" w:rsidRDefault="004273CA" w:rsidP="000F15C3">
            <w:pPr>
              <w:spacing w:before="60" w:after="60"/>
              <w:jc w:val="right"/>
              <w:rPr>
                <w:color w:val="000000"/>
                <w:sz w:val="18"/>
                <w:szCs w:val="18"/>
              </w:rPr>
            </w:pPr>
            <w:r>
              <w:rPr>
                <w:color w:val="000000"/>
                <w:sz w:val="18"/>
                <w:szCs w:val="18"/>
              </w:rPr>
              <w:t>3.31</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4" w14:textId="77777777" w:rsidR="0039297D" w:rsidRDefault="004273CA" w:rsidP="000F15C3">
            <w:pPr>
              <w:spacing w:before="60" w:after="60"/>
              <w:jc w:val="left"/>
              <w:rPr>
                <w:color w:val="000000"/>
                <w:sz w:val="18"/>
                <w:szCs w:val="18"/>
              </w:rPr>
            </w:pPr>
            <w:r>
              <w:rPr>
                <w:color w:val="000000"/>
                <w:sz w:val="18"/>
                <w:szCs w:val="18"/>
              </w:rPr>
              <w:t>Switzerland</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95" w14:textId="77777777" w:rsidR="0039297D" w:rsidRDefault="004273CA" w:rsidP="000F15C3">
            <w:pPr>
              <w:spacing w:before="60" w:after="60"/>
              <w:jc w:val="right"/>
              <w:rPr>
                <w:color w:val="000000"/>
                <w:sz w:val="18"/>
                <w:szCs w:val="18"/>
              </w:rPr>
            </w:pPr>
            <w:r>
              <w:rPr>
                <w:color w:val="000000"/>
                <w:sz w:val="18"/>
                <w:szCs w:val="18"/>
              </w:rPr>
              <w:t>2.10</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6" w14:textId="77777777" w:rsidR="0039297D" w:rsidRDefault="004273CA" w:rsidP="000F15C3">
            <w:pPr>
              <w:spacing w:before="60" w:after="60"/>
              <w:jc w:val="left"/>
              <w:rPr>
                <w:color w:val="000000"/>
                <w:sz w:val="18"/>
                <w:szCs w:val="18"/>
              </w:rPr>
            </w:pPr>
            <w:r>
              <w:rPr>
                <w:color w:val="000000"/>
                <w:sz w:val="18"/>
                <w:szCs w:val="18"/>
              </w:rPr>
              <w:t>Zimbabwe</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97" w14:textId="77777777" w:rsidR="0039297D" w:rsidRDefault="004273CA" w:rsidP="000F15C3">
            <w:pPr>
              <w:spacing w:before="60" w:after="60"/>
              <w:jc w:val="right"/>
              <w:rPr>
                <w:color w:val="000000"/>
                <w:sz w:val="18"/>
                <w:szCs w:val="18"/>
              </w:rPr>
            </w:pPr>
            <w:r>
              <w:rPr>
                <w:color w:val="000000"/>
                <w:sz w:val="18"/>
                <w:szCs w:val="18"/>
              </w:rPr>
              <w:t>2.33</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8" w14:textId="77777777" w:rsidR="0039297D" w:rsidRDefault="004273CA" w:rsidP="000F15C3">
            <w:pPr>
              <w:spacing w:before="60" w:after="60"/>
              <w:jc w:val="left"/>
              <w:rPr>
                <w:color w:val="000000"/>
                <w:sz w:val="18"/>
                <w:szCs w:val="18"/>
              </w:rPr>
            </w:pPr>
            <w:r>
              <w:rPr>
                <w:color w:val="000000"/>
                <w:sz w:val="18"/>
                <w:szCs w:val="18"/>
              </w:rPr>
              <w:t>Zimbabwe</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99" w14:textId="77777777" w:rsidR="0039297D" w:rsidRDefault="004273CA" w:rsidP="000F15C3">
            <w:pPr>
              <w:spacing w:before="60" w:after="60"/>
              <w:jc w:val="right"/>
              <w:rPr>
                <w:color w:val="000000"/>
                <w:sz w:val="18"/>
                <w:szCs w:val="18"/>
              </w:rPr>
            </w:pPr>
            <w:r>
              <w:rPr>
                <w:color w:val="000000"/>
                <w:sz w:val="18"/>
                <w:szCs w:val="18"/>
              </w:rPr>
              <w:t>1.70</w:t>
            </w:r>
          </w:p>
        </w:tc>
      </w:tr>
      <w:tr w:rsidR="0039297D" w14:paraId="7494EF1A"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9A" w14:textId="77777777" w:rsidR="0039297D" w:rsidRDefault="004273CA" w:rsidP="000F15C3">
            <w:pPr>
              <w:spacing w:before="60" w:after="60"/>
              <w:jc w:val="left"/>
              <w:rPr>
                <w:color w:val="000000"/>
                <w:sz w:val="18"/>
                <w:szCs w:val="18"/>
              </w:rPr>
            </w:pPr>
            <w:r>
              <w:rPr>
                <w:color w:val="000000"/>
                <w:sz w:val="18"/>
                <w:szCs w:val="18"/>
              </w:rPr>
              <w:t>Zimbabwe</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9B" w14:textId="77777777" w:rsidR="0039297D" w:rsidRDefault="004273CA" w:rsidP="000F15C3">
            <w:pPr>
              <w:spacing w:before="60" w:after="60"/>
              <w:jc w:val="right"/>
              <w:rPr>
                <w:color w:val="000000"/>
                <w:sz w:val="18"/>
                <w:szCs w:val="18"/>
              </w:rPr>
            </w:pPr>
            <w:r>
              <w:rPr>
                <w:color w:val="000000"/>
                <w:sz w:val="18"/>
                <w:szCs w:val="18"/>
              </w:rPr>
              <w:t>1.88</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C" w14:textId="77777777" w:rsidR="0039297D" w:rsidRDefault="004273CA" w:rsidP="000F15C3">
            <w:pPr>
              <w:spacing w:before="60" w:after="60"/>
              <w:jc w:val="left"/>
              <w:rPr>
                <w:color w:val="000000"/>
                <w:sz w:val="18"/>
                <w:szCs w:val="18"/>
              </w:rPr>
            </w:pPr>
            <w:r>
              <w:rPr>
                <w:color w:val="000000"/>
                <w:sz w:val="18"/>
                <w:szCs w:val="18"/>
              </w:rPr>
              <w:t>Zambia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9D" w14:textId="77777777" w:rsidR="0039297D" w:rsidRDefault="004273CA" w:rsidP="000F15C3">
            <w:pPr>
              <w:spacing w:before="60" w:after="60"/>
              <w:jc w:val="right"/>
              <w:rPr>
                <w:color w:val="000000"/>
                <w:sz w:val="18"/>
                <w:szCs w:val="18"/>
              </w:rPr>
            </w:pPr>
            <w:r>
              <w:rPr>
                <w:color w:val="000000"/>
                <w:sz w:val="18"/>
                <w:szCs w:val="18"/>
              </w:rPr>
              <w:t>2.64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9E" w14:textId="77777777" w:rsidR="0039297D" w:rsidRDefault="004273CA" w:rsidP="000F15C3">
            <w:pPr>
              <w:spacing w:before="60" w:after="60"/>
              <w:jc w:val="left"/>
              <w:rPr>
                <w:color w:val="000000"/>
                <w:sz w:val="18"/>
                <w:szCs w:val="18"/>
              </w:rPr>
            </w:pPr>
            <w:r>
              <w:rPr>
                <w:color w:val="000000"/>
                <w:sz w:val="18"/>
                <w:szCs w:val="18"/>
              </w:rPr>
              <w:t>DRC</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9F" w14:textId="77777777" w:rsidR="0039297D" w:rsidRDefault="004273CA" w:rsidP="000F15C3">
            <w:pPr>
              <w:spacing w:before="60" w:after="60"/>
              <w:jc w:val="right"/>
              <w:rPr>
                <w:color w:val="000000"/>
                <w:sz w:val="18"/>
                <w:szCs w:val="18"/>
              </w:rPr>
            </w:pPr>
            <w:r>
              <w:rPr>
                <w:color w:val="000000"/>
                <w:sz w:val="18"/>
                <w:szCs w:val="18"/>
              </w:rPr>
              <w:t>1.64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0" w14:textId="77777777" w:rsidR="0039297D" w:rsidRDefault="004273CA" w:rsidP="000F15C3">
            <w:pPr>
              <w:spacing w:before="60" w:after="60"/>
              <w:jc w:val="left"/>
              <w:rPr>
                <w:color w:val="000000"/>
                <w:sz w:val="18"/>
                <w:szCs w:val="18"/>
              </w:rPr>
            </w:pPr>
            <w:r>
              <w:rPr>
                <w:color w:val="000000"/>
                <w:sz w:val="18"/>
                <w:szCs w:val="18"/>
              </w:rPr>
              <w:t>France</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A1" w14:textId="77777777" w:rsidR="0039297D" w:rsidRDefault="004273CA" w:rsidP="000F15C3">
            <w:pPr>
              <w:spacing w:before="60" w:after="60"/>
              <w:jc w:val="right"/>
              <w:rPr>
                <w:color w:val="000000"/>
                <w:sz w:val="18"/>
                <w:szCs w:val="18"/>
              </w:rPr>
            </w:pPr>
            <w:r>
              <w:rPr>
                <w:color w:val="000000"/>
                <w:sz w:val="18"/>
                <w:szCs w:val="18"/>
              </w:rPr>
              <w:t>1.87</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2" w14:textId="77777777" w:rsidR="0039297D" w:rsidRDefault="004273CA" w:rsidP="000F15C3">
            <w:pPr>
              <w:spacing w:before="60" w:after="60"/>
              <w:jc w:val="left"/>
              <w:rPr>
                <w:color w:val="000000"/>
                <w:sz w:val="18"/>
                <w:szCs w:val="18"/>
              </w:rPr>
            </w:pPr>
            <w:r>
              <w:rPr>
                <w:color w:val="000000"/>
                <w:sz w:val="18"/>
                <w:szCs w:val="18"/>
              </w:rPr>
              <w:t>Switzerland</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A3" w14:textId="77777777" w:rsidR="0039297D" w:rsidRDefault="004273CA" w:rsidP="000F15C3">
            <w:pPr>
              <w:spacing w:before="60" w:after="60"/>
              <w:jc w:val="right"/>
              <w:rPr>
                <w:color w:val="000000"/>
                <w:sz w:val="18"/>
                <w:szCs w:val="18"/>
              </w:rPr>
            </w:pPr>
            <w:r>
              <w:rPr>
                <w:color w:val="000000"/>
                <w:sz w:val="18"/>
                <w:szCs w:val="18"/>
              </w:rPr>
              <w:t>1.68</w:t>
            </w:r>
          </w:p>
        </w:tc>
      </w:tr>
      <w:tr w:rsidR="0039297D" w14:paraId="10A5BE92"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A4" w14:textId="77777777" w:rsidR="0039297D" w:rsidRDefault="004273CA" w:rsidP="000F15C3">
            <w:pPr>
              <w:spacing w:before="60" w:after="60"/>
              <w:jc w:val="left"/>
              <w:rPr>
                <w:color w:val="000000"/>
                <w:sz w:val="18"/>
                <w:szCs w:val="18"/>
              </w:rPr>
            </w:pPr>
            <w:r>
              <w:rPr>
                <w:color w:val="000000"/>
                <w:sz w:val="18"/>
                <w:szCs w:val="18"/>
              </w:rPr>
              <w:t>Mauritius</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A5" w14:textId="77777777" w:rsidR="0039297D" w:rsidRDefault="004273CA" w:rsidP="000F15C3">
            <w:pPr>
              <w:spacing w:before="60" w:after="60"/>
              <w:jc w:val="right"/>
              <w:rPr>
                <w:color w:val="000000"/>
                <w:sz w:val="18"/>
                <w:szCs w:val="18"/>
              </w:rPr>
            </w:pPr>
            <w:r>
              <w:rPr>
                <w:color w:val="000000"/>
                <w:sz w:val="18"/>
                <w:szCs w:val="18"/>
              </w:rPr>
              <w:t>1.67</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6" w14:textId="77777777" w:rsidR="0039297D" w:rsidRDefault="004273CA" w:rsidP="000F15C3">
            <w:pPr>
              <w:spacing w:before="60" w:after="60"/>
              <w:jc w:val="left"/>
              <w:rPr>
                <w:color w:val="000000"/>
                <w:sz w:val="18"/>
                <w:szCs w:val="18"/>
              </w:rPr>
            </w:pPr>
            <w:r>
              <w:rPr>
                <w:color w:val="000000"/>
                <w:sz w:val="18"/>
                <w:szCs w:val="18"/>
              </w:rPr>
              <w:t>Germany</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A7" w14:textId="77777777" w:rsidR="0039297D" w:rsidRDefault="004273CA" w:rsidP="000F15C3">
            <w:pPr>
              <w:spacing w:before="60" w:after="60"/>
              <w:jc w:val="right"/>
              <w:rPr>
                <w:color w:val="000000"/>
                <w:sz w:val="18"/>
                <w:szCs w:val="18"/>
              </w:rPr>
            </w:pPr>
            <w:r>
              <w:rPr>
                <w:color w:val="000000"/>
                <w:sz w:val="18"/>
                <w:szCs w:val="18"/>
              </w:rPr>
              <w:t>2.40</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8" w14:textId="77777777" w:rsidR="0039297D" w:rsidRDefault="004273CA" w:rsidP="000F15C3">
            <w:pPr>
              <w:spacing w:before="60" w:after="60"/>
              <w:jc w:val="left"/>
              <w:rPr>
                <w:color w:val="000000"/>
                <w:sz w:val="18"/>
                <w:szCs w:val="18"/>
              </w:rPr>
            </w:pPr>
            <w:r>
              <w:rPr>
                <w:color w:val="000000"/>
                <w:sz w:val="18"/>
                <w:szCs w:val="18"/>
              </w:rPr>
              <w:t>Zambia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A9" w14:textId="77777777" w:rsidR="0039297D" w:rsidRDefault="004273CA" w:rsidP="000F15C3">
            <w:pPr>
              <w:spacing w:before="60" w:after="60"/>
              <w:jc w:val="right"/>
              <w:rPr>
                <w:color w:val="000000"/>
                <w:sz w:val="18"/>
                <w:szCs w:val="18"/>
              </w:rPr>
            </w:pPr>
            <w:r>
              <w:rPr>
                <w:color w:val="000000"/>
                <w:sz w:val="18"/>
                <w:szCs w:val="18"/>
              </w:rPr>
              <w:t>1.61</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A" w14:textId="77777777" w:rsidR="0039297D" w:rsidRDefault="004273CA" w:rsidP="000F15C3">
            <w:pPr>
              <w:spacing w:before="60" w:after="60"/>
              <w:jc w:val="left"/>
              <w:rPr>
                <w:color w:val="000000"/>
                <w:sz w:val="18"/>
                <w:szCs w:val="18"/>
              </w:rPr>
            </w:pPr>
            <w:r>
              <w:rPr>
                <w:color w:val="000000"/>
                <w:sz w:val="18"/>
                <w:szCs w:val="18"/>
              </w:rPr>
              <w:t>Lesotho</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AB" w14:textId="77777777" w:rsidR="0039297D" w:rsidRDefault="004273CA" w:rsidP="000F15C3">
            <w:pPr>
              <w:spacing w:before="60" w:after="60"/>
              <w:jc w:val="right"/>
              <w:rPr>
                <w:color w:val="000000"/>
                <w:sz w:val="18"/>
                <w:szCs w:val="18"/>
              </w:rPr>
            </w:pPr>
            <w:r>
              <w:rPr>
                <w:color w:val="000000"/>
                <w:sz w:val="18"/>
                <w:szCs w:val="18"/>
              </w:rPr>
              <w:t>1.84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AC" w14:textId="77777777" w:rsidR="0039297D" w:rsidRDefault="004273CA" w:rsidP="000F15C3">
            <w:pPr>
              <w:spacing w:before="60" w:after="60"/>
              <w:jc w:val="left"/>
              <w:rPr>
                <w:color w:val="000000"/>
                <w:sz w:val="18"/>
                <w:szCs w:val="18"/>
              </w:rPr>
            </w:pPr>
            <w:r>
              <w:rPr>
                <w:color w:val="000000"/>
                <w:sz w:val="18"/>
                <w:szCs w:val="18"/>
              </w:rPr>
              <w:t>Zambia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AD" w14:textId="77777777" w:rsidR="0039297D" w:rsidRDefault="004273CA" w:rsidP="000F15C3">
            <w:pPr>
              <w:spacing w:before="60" w:after="60"/>
              <w:jc w:val="right"/>
              <w:rPr>
                <w:color w:val="000000"/>
                <w:sz w:val="18"/>
                <w:szCs w:val="18"/>
              </w:rPr>
            </w:pPr>
            <w:r>
              <w:rPr>
                <w:color w:val="000000"/>
                <w:sz w:val="18"/>
                <w:szCs w:val="18"/>
              </w:rPr>
              <w:t>1.49</w:t>
            </w:r>
          </w:p>
        </w:tc>
      </w:tr>
      <w:tr w:rsidR="0039297D" w14:paraId="418C9FE9"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AE" w14:textId="77777777" w:rsidR="0039297D" w:rsidRDefault="004273CA" w:rsidP="000F15C3">
            <w:pPr>
              <w:spacing w:before="60" w:after="60"/>
              <w:jc w:val="left"/>
              <w:rPr>
                <w:color w:val="000000"/>
                <w:sz w:val="18"/>
                <w:szCs w:val="18"/>
              </w:rPr>
            </w:pPr>
            <w:r>
              <w:rPr>
                <w:color w:val="000000"/>
                <w:sz w:val="18"/>
                <w:szCs w:val="18"/>
              </w:rPr>
              <w:t>Canada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AF" w14:textId="77777777" w:rsidR="0039297D" w:rsidRDefault="004273CA" w:rsidP="000F15C3">
            <w:pPr>
              <w:spacing w:before="60" w:after="60"/>
              <w:jc w:val="right"/>
              <w:rPr>
                <w:color w:val="000000"/>
                <w:sz w:val="18"/>
                <w:szCs w:val="18"/>
              </w:rPr>
            </w:pPr>
            <w:r>
              <w:rPr>
                <w:color w:val="000000"/>
                <w:sz w:val="18"/>
                <w:szCs w:val="18"/>
              </w:rPr>
              <w:t>1.67</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0" w14:textId="77777777" w:rsidR="0039297D" w:rsidRDefault="004273CA" w:rsidP="000F15C3">
            <w:pPr>
              <w:spacing w:before="60" w:after="60"/>
              <w:jc w:val="left"/>
              <w:rPr>
                <w:color w:val="000000"/>
                <w:sz w:val="18"/>
                <w:szCs w:val="18"/>
              </w:rPr>
            </w:pPr>
            <w:r>
              <w:rPr>
                <w:color w:val="000000"/>
                <w:sz w:val="18"/>
                <w:szCs w:val="18"/>
              </w:rPr>
              <w:t>Malawi</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B1" w14:textId="77777777" w:rsidR="0039297D" w:rsidRDefault="004273CA" w:rsidP="000F15C3">
            <w:pPr>
              <w:spacing w:before="60" w:after="60"/>
              <w:jc w:val="right"/>
              <w:rPr>
                <w:color w:val="000000"/>
                <w:sz w:val="18"/>
                <w:szCs w:val="18"/>
              </w:rPr>
            </w:pPr>
            <w:r>
              <w:rPr>
                <w:color w:val="000000"/>
                <w:sz w:val="18"/>
                <w:szCs w:val="18"/>
              </w:rPr>
              <w:t>1.61</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2" w14:textId="77777777" w:rsidR="0039297D" w:rsidRDefault="004273CA" w:rsidP="000F15C3">
            <w:pPr>
              <w:spacing w:before="60" w:after="60"/>
              <w:jc w:val="left"/>
              <w:rPr>
                <w:color w:val="000000"/>
                <w:sz w:val="18"/>
                <w:szCs w:val="18"/>
              </w:rPr>
            </w:pPr>
            <w:r>
              <w:rPr>
                <w:color w:val="000000"/>
                <w:sz w:val="18"/>
                <w:szCs w:val="18"/>
              </w:rPr>
              <w:t>Italy</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B3" w14:textId="77777777" w:rsidR="0039297D" w:rsidRDefault="004273CA" w:rsidP="000F15C3">
            <w:pPr>
              <w:spacing w:before="60" w:after="60"/>
              <w:jc w:val="right"/>
              <w:rPr>
                <w:color w:val="000000"/>
                <w:sz w:val="18"/>
                <w:szCs w:val="18"/>
              </w:rPr>
            </w:pPr>
            <w:r>
              <w:rPr>
                <w:color w:val="000000"/>
                <w:sz w:val="18"/>
                <w:szCs w:val="18"/>
              </w:rPr>
              <w:t>1.43</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4" w14:textId="77777777" w:rsidR="0039297D" w:rsidRDefault="004273CA" w:rsidP="000F15C3">
            <w:pPr>
              <w:spacing w:before="60" w:after="60"/>
              <w:jc w:val="left"/>
              <w:rPr>
                <w:color w:val="000000"/>
                <w:sz w:val="18"/>
                <w:szCs w:val="18"/>
              </w:rPr>
            </w:pPr>
            <w:r>
              <w:rPr>
                <w:color w:val="000000"/>
                <w:sz w:val="18"/>
                <w:szCs w:val="18"/>
              </w:rPr>
              <w:t>Zambia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B5" w14:textId="77777777" w:rsidR="0039297D" w:rsidRDefault="004273CA" w:rsidP="000F15C3">
            <w:pPr>
              <w:spacing w:before="60" w:after="60"/>
              <w:jc w:val="right"/>
              <w:rPr>
                <w:color w:val="000000"/>
                <w:sz w:val="18"/>
                <w:szCs w:val="18"/>
              </w:rPr>
            </w:pPr>
            <w:r>
              <w:rPr>
                <w:color w:val="000000"/>
                <w:sz w:val="18"/>
                <w:szCs w:val="18"/>
              </w:rPr>
              <w:t>1.52</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6" w14:textId="77777777" w:rsidR="0039297D" w:rsidRDefault="004273CA" w:rsidP="000F15C3">
            <w:pPr>
              <w:spacing w:before="60" w:after="60"/>
              <w:jc w:val="left"/>
              <w:rPr>
                <w:color w:val="000000"/>
                <w:sz w:val="18"/>
                <w:szCs w:val="18"/>
              </w:rPr>
            </w:pPr>
            <w:r>
              <w:rPr>
                <w:color w:val="000000"/>
                <w:sz w:val="18"/>
                <w:szCs w:val="18"/>
              </w:rPr>
              <w:t>France</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B7" w14:textId="77777777" w:rsidR="0039297D" w:rsidRDefault="004273CA" w:rsidP="000F15C3">
            <w:pPr>
              <w:spacing w:before="60" w:after="60"/>
              <w:jc w:val="right"/>
              <w:rPr>
                <w:color w:val="000000"/>
                <w:sz w:val="18"/>
                <w:szCs w:val="18"/>
              </w:rPr>
            </w:pPr>
            <w:r>
              <w:rPr>
                <w:color w:val="000000"/>
                <w:sz w:val="18"/>
                <w:szCs w:val="18"/>
              </w:rPr>
              <w:t>1.43</w:t>
            </w:r>
          </w:p>
        </w:tc>
      </w:tr>
      <w:tr w:rsidR="0039297D" w14:paraId="4ADF8250"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B8" w14:textId="77777777" w:rsidR="0039297D" w:rsidRDefault="004273CA" w:rsidP="000F15C3">
            <w:pPr>
              <w:spacing w:before="60" w:after="60"/>
              <w:jc w:val="left"/>
              <w:rPr>
                <w:color w:val="000000"/>
                <w:sz w:val="18"/>
                <w:szCs w:val="18"/>
              </w:rPr>
            </w:pPr>
            <w:r>
              <w:rPr>
                <w:color w:val="000000"/>
                <w:sz w:val="18"/>
                <w:szCs w:val="18"/>
              </w:rPr>
              <w:t>France</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B9" w14:textId="77777777" w:rsidR="0039297D" w:rsidRDefault="004273CA" w:rsidP="000F15C3">
            <w:pPr>
              <w:spacing w:before="60" w:after="60"/>
              <w:jc w:val="right"/>
              <w:rPr>
                <w:color w:val="000000"/>
                <w:sz w:val="18"/>
                <w:szCs w:val="18"/>
              </w:rPr>
            </w:pPr>
            <w:r>
              <w:rPr>
                <w:color w:val="000000"/>
                <w:sz w:val="18"/>
                <w:szCs w:val="18"/>
              </w:rPr>
              <w:t>1.37</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A" w14:textId="77777777" w:rsidR="0039297D" w:rsidRDefault="004273CA" w:rsidP="000F15C3">
            <w:pPr>
              <w:spacing w:before="60" w:after="60"/>
              <w:jc w:val="left"/>
              <w:rPr>
                <w:color w:val="000000"/>
                <w:sz w:val="18"/>
                <w:szCs w:val="18"/>
              </w:rPr>
            </w:pPr>
            <w:r>
              <w:rPr>
                <w:color w:val="000000"/>
                <w:sz w:val="18"/>
                <w:szCs w:val="18"/>
              </w:rPr>
              <w:t>Kenya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BB" w14:textId="77777777" w:rsidR="0039297D" w:rsidRDefault="004273CA" w:rsidP="000F15C3">
            <w:pPr>
              <w:spacing w:before="60" w:after="60"/>
              <w:jc w:val="right"/>
              <w:rPr>
                <w:color w:val="000000"/>
                <w:sz w:val="18"/>
                <w:szCs w:val="18"/>
              </w:rPr>
            </w:pPr>
            <w:r>
              <w:rPr>
                <w:color w:val="000000"/>
                <w:sz w:val="18"/>
                <w:szCs w:val="18"/>
              </w:rPr>
              <w:t>1.44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C" w14:textId="77777777" w:rsidR="0039297D" w:rsidRDefault="004273CA" w:rsidP="000F15C3">
            <w:pPr>
              <w:spacing w:before="60" w:after="60"/>
              <w:jc w:val="left"/>
              <w:rPr>
                <w:color w:val="000000"/>
                <w:sz w:val="18"/>
                <w:szCs w:val="18"/>
              </w:rPr>
            </w:pPr>
            <w:r>
              <w:rPr>
                <w:color w:val="000000"/>
                <w:sz w:val="18"/>
                <w:szCs w:val="18"/>
              </w:rPr>
              <w:t>Australia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BD" w14:textId="77777777" w:rsidR="0039297D" w:rsidRDefault="004273CA" w:rsidP="000F15C3">
            <w:pPr>
              <w:spacing w:before="60" w:after="60"/>
              <w:jc w:val="right"/>
              <w:rPr>
                <w:color w:val="000000"/>
                <w:sz w:val="18"/>
                <w:szCs w:val="18"/>
              </w:rPr>
            </w:pPr>
            <w:r>
              <w:rPr>
                <w:color w:val="000000"/>
                <w:sz w:val="18"/>
                <w:szCs w:val="18"/>
              </w:rPr>
              <w:t>1.34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BE" w14:textId="77777777" w:rsidR="0039297D" w:rsidRDefault="004273CA" w:rsidP="000F15C3">
            <w:pPr>
              <w:spacing w:before="60" w:after="60"/>
              <w:jc w:val="left"/>
              <w:rPr>
                <w:color w:val="000000"/>
                <w:sz w:val="18"/>
                <w:szCs w:val="18"/>
              </w:rPr>
            </w:pPr>
            <w:r>
              <w:rPr>
                <w:color w:val="000000"/>
                <w:sz w:val="18"/>
                <w:szCs w:val="18"/>
              </w:rPr>
              <w:t>Mozambique</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BF" w14:textId="77777777" w:rsidR="0039297D" w:rsidRDefault="004273CA" w:rsidP="000F15C3">
            <w:pPr>
              <w:spacing w:before="60" w:after="60"/>
              <w:jc w:val="right"/>
              <w:rPr>
                <w:color w:val="000000"/>
                <w:sz w:val="18"/>
                <w:szCs w:val="18"/>
              </w:rPr>
            </w:pPr>
            <w:r>
              <w:rPr>
                <w:color w:val="000000"/>
                <w:sz w:val="18"/>
                <w:szCs w:val="18"/>
              </w:rPr>
              <w:t>1.09</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C0" w14:textId="77777777" w:rsidR="0039297D" w:rsidRDefault="004273CA" w:rsidP="000F15C3">
            <w:pPr>
              <w:spacing w:before="60" w:after="60"/>
              <w:jc w:val="left"/>
              <w:rPr>
                <w:color w:val="000000"/>
                <w:sz w:val="18"/>
                <w:szCs w:val="18"/>
              </w:rPr>
            </w:pPr>
            <w:r>
              <w:rPr>
                <w:color w:val="000000"/>
                <w:sz w:val="18"/>
                <w:szCs w:val="18"/>
              </w:rPr>
              <w:t>Mozambique</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C1" w14:textId="77777777" w:rsidR="0039297D" w:rsidRDefault="004273CA" w:rsidP="000F15C3">
            <w:pPr>
              <w:spacing w:before="60" w:after="60"/>
              <w:jc w:val="right"/>
              <w:rPr>
                <w:color w:val="000000"/>
                <w:sz w:val="18"/>
                <w:szCs w:val="18"/>
              </w:rPr>
            </w:pPr>
            <w:r>
              <w:rPr>
                <w:color w:val="000000"/>
                <w:sz w:val="18"/>
                <w:szCs w:val="18"/>
              </w:rPr>
              <w:t>1.39</w:t>
            </w:r>
          </w:p>
        </w:tc>
      </w:tr>
      <w:tr w:rsidR="0039297D" w14:paraId="7B971AA4"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tcMar>
              <w:right w:w="28" w:type="dxa"/>
            </w:tcMar>
            <w:vAlign w:val="bottom"/>
          </w:tcPr>
          <w:p w14:paraId="000002C2" w14:textId="77777777" w:rsidR="0039297D" w:rsidRDefault="004273CA" w:rsidP="000F15C3">
            <w:pPr>
              <w:spacing w:before="60" w:after="60"/>
              <w:jc w:val="left"/>
              <w:rPr>
                <w:color w:val="000000"/>
                <w:sz w:val="18"/>
                <w:szCs w:val="18"/>
              </w:rPr>
            </w:pPr>
            <w:r>
              <w:rPr>
                <w:color w:val="000000"/>
                <w:sz w:val="18"/>
                <w:szCs w:val="18"/>
              </w:rPr>
              <w:t>Mozambique</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C3" w14:textId="77777777" w:rsidR="0039297D" w:rsidRDefault="004273CA" w:rsidP="000F15C3">
            <w:pPr>
              <w:spacing w:before="60" w:after="60"/>
              <w:jc w:val="right"/>
              <w:rPr>
                <w:color w:val="000000"/>
                <w:sz w:val="18"/>
                <w:szCs w:val="18"/>
              </w:rPr>
            </w:pPr>
            <w:r>
              <w:rPr>
                <w:color w:val="000000"/>
                <w:sz w:val="18"/>
                <w:szCs w:val="18"/>
              </w:rPr>
              <w:t>1.29</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C4" w14:textId="77777777" w:rsidR="0039297D" w:rsidRDefault="004273CA" w:rsidP="000F15C3">
            <w:pPr>
              <w:spacing w:before="60" w:after="60"/>
              <w:jc w:val="left"/>
              <w:rPr>
                <w:color w:val="000000"/>
                <w:sz w:val="18"/>
                <w:szCs w:val="18"/>
              </w:rPr>
            </w:pPr>
            <w:r>
              <w:rPr>
                <w:color w:val="000000"/>
                <w:sz w:val="18"/>
                <w:szCs w:val="18"/>
              </w:rPr>
              <w:t>Australia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C5" w14:textId="77777777" w:rsidR="0039297D" w:rsidRDefault="004273CA" w:rsidP="000F15C3">
            <w:pPr>
              <w:spacing w:before="60" w:after="60"/>
              <w:jc w:val="right"/>
              <w:rPr>
                <w:color w:val="000000"/>
                <w:sz w:val="18"/>
                <w:szCs w:val="18"/>
              </w:rPr>
            </w:pPr>
            <w:r>
              <w:rPr>
                <w:color w:val="000000"/>
                <w:sz w:val="18"/>
                <w:szCs w:val="18"/>
              </w:rPr>
              <w:t>1.28</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C6" w14:textId="77777777" w:rsidR="0039297D" w:rsidRDefault="004273CA" w:rsidP="000F15C3">
            <w:pPr>
              <w:spacing w:before="60" w:after="60"/>
              <w:jc w:val="left"/>
              <w:rPr>
                <w:color w:val="000000"/>
                <w:sz w:val="18"/>
                <w:szCs w:val="18"/>
              </w:rPr>
            </w:pPr>
            <w:r>
              <w:rPr>
                <w:color w:val="000000"/>
                <w:sz w:val="18"/>
                <w:szCs w:val="18"/>
              </w:rPr>
              <w:t>Mozambique</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C7" w14:textId="77777777" w:rsidR="0039297D" w:rsidRDefault="004273CA" w:rsidP="000F15C3">
            <w:pPr>
              <w:spacing w:before="60" w:after="60"/>
              <w:jc w:val="right"/>
              <w:rPr>
                <w:color w:val="000000"/>
                <w:sz w:val="18"/>
                <w:szCs w:val="18"/>
              </w:rPr>
            </w:pPr>
            <w:r>
              <w:rPr>
                <w:color w:val="000000"/>
                <w:sz w:val="18"/>
                <w:szCs w:val="18"/>
              </w:rPr>
              <w:t>1.34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C8" w14:textId="77777777" w:rsidR="0039297D" w:rsidRDefault="004273CA" w:rsidP="000F15C3">
            <w:pPr>
              <w:spacing w:before="60" w:after="60"/>
              <w:jc w:val="left"/>
              <w:rPr>
                <w:color w:val="000000"/>
                <w:sz w:val="18"/>
                <w:szCs w:val="18"/>
              </w:rPr>
            </w:pPr>
            <w:r>
              <w:rPr>
                <w:color w:val="000000"/>
                <w:sz w:val="18"/>
                <w:szCs w:val="18"/>
              </w:rPr>
              <w:t>Australia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C9" w14:textId="77777777" w:rsidR="0039297D" w:rsidRDefault="004273CA" w:rsidP="000F15C3">
            <w:pPr>
              <w:spacing w:before="60" w:after="60"/>
              <w:jc w:val="right"/>
              <w:rPr>
                <w:color w:val="000000"/>
                <w:sz w:val="18"/>
                <w:szCs w:val="18"/>
              </w:rPr>
            </w:pPr>
            <w:r>
              <w:rPr>
                <w:color w:val="000000"/>
                <w:sz w:val="18"/>
                <w:szCs w:val="18"/>
              </w:rPr>
              <w:t>1.04</w:t>
            </w:r>
          </w:p>
        </w:tc>
        <w:tc>
          <w:tcPr>
            <w:tcW w:w="1247" w:type="dxa"/>
            <w:tcBorders>
              <w:top w:val="nil"/>
              <w:left w:val="nil"/>
              <w:bottom w:val="single" w:sz="4" w:space="0" w:color="000000"/>
              <w:right w:val="single" w:sz="4" w:space="0" w:color="000000"/>
            </w:tcBorders>
            <w:shd w:val="clear" w:color="auto" w:fill="auto"/>
            <w:tcMar>
              <w:right w:w="28" w:type="dxa"/>
            </w:tcMar>
            <w:vAlign w:val="bottom"/>
          </w:tcPr>
          <w:p w14:paraId="000002CA" w14:textId="77777777" w:rsidR="0039297D" w:rsidRDefault="004273CA" w:rsidP="000F15C3">
            <w:pPr>
              <w:spacing w:before="60" w:after="60"/>
              <w:jc w:val="left"/>
              <w:rPr>
                <w:color w:val="000000"/>
                <w:sz w:val="18"/>
                <w:szCs w:val="18"/>
              </w:rPr>
            </w:pPr>
            <w:r>
              <w:rPr>
                <w:color w:val="000000"/>
                <w:sz w:val="18"/>
                <w:szCs w:val="18"/>
              </w:rPr>
              <w:t>UAE</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CB" w14:textId="77777777" w:rsidR="0039297D" w:rsidRDefault="004273CA" w:rsidP="000F15C3">
            <w:pPr>
              <w:spacing w:before="60" w:after="60"/>
              <w:jc w:val="right"/>
              <w:rPr>
                <w:color w:val="000000"/>
                <w:sz w:val="18"/>
                <w:szCs w:val="18"/>
              </w:rPr>
            </w:pPr>
            <w:r>
              <w:rPr>
                <w:color w:val="000000"/>
                <w:sz w:val="18"/>
                <w:szCs w:val="18"/>
              </w:rPr>
              <w:t>1.22</w:t>
            </w:r>
          </w:p>
        </w:tc>
      </w:tr>
      <w:tr w:rsidR="0039297D" w14:paraId="6EE5EEC6"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CC" w14:textId="77777777" w:rsidR="0039297D" w:rsidRDefault="004273CA" w:rsidP="000F15C3">
            <w:pPr>
              <w:spacing w:before="60" w:after="60"/>
              <w:jc w:val="left"/>
              <w:rPr>
                <w:color w:val="000000"/>
                <w:sz w:val="18"/>
                <w:szCs w:val="18"/>
              </w:rPr>
            </w:pPr>
            <w:r>
              <w:rPr>
                <w:color w:val="000000"/>
                <w:sz w:val="18"/>
                <w:szCs w:val="18"/>
              </w:rPr>
              <w:t>Uganda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CD" w14:textId="77777777" w:rsidR="0039297D" w:rsidRDefault="004273CA" w:rsidP="000F15C3">
            <w:pPr>
              <w:spacing w:before="60" w:after="60"/>
              <w:jc w:val="right"/>
              <w:rPr>
                <w:color w:val="000000"/>
                <w:sz w:val="18"/>
                <w:szCs w:val="18"/>
              </w:rPr>
            </w:pPr>
            <w:r>
              <w:rPr>
                <w:color w:val="000000"/>
                <w:sz w:val="18"/>
                <w:szCs w:val="18"/>
              </w:rPr>
              <w:t>1.11</w:t>
            </w:r>
          </w:p>
        </w:tc>
        <w:tc>
          <w:tcPr>
            <w:tcW w:w="1247" w:type="dxa"/>
            <w:tcBorders>
              <w:top w:val="nil"/>
              <w:left w:val="nil"/>
              <w:bottom w:val="single" w:sz="4" w:space="0" w:color="000000"/>
              <w:right w:val="single" w:sz="4" w:space="0" w:color="000000"/>
            </w:tcBorders>
            <w:shd w:val="clear" w:color="auto" w:fill="auto"/>
            <w:vAlign w:val="bottom"/>
          </w:tcPr>
          <w:p w14:paraId="000002CE" w14:textId="77777777" w:rsidR="0039297D" w:rsidRDefault="004273CA" w:rsidP="000F15C3">
            <w:pPr>
              <w:spacing w:before="60" w:after="60"/>
              <w:jc w:val="left"/>
              <w:rPr>
                <w:color w:val="000000"/>
                <w:sz w:val="18"/>
                <w:szCs w:val="18"/>
              </w:rPr>
            </w:pPr>
            <w:r>
              <w:rPr>
                <w:color w:val="000000"/>
                <w:sz w:val="18"/>
                <w:szCs w:val="18"/>
              </w:rPr>
              <w:t>UAE</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CF" w14:textId="77777777" w:rsidR="0039297D" w:rsidRDefault="004273CA" w:rsidP="000F15C3">
            <w:pPr>
              <w:spacing w:before="60" w:after="60"/>
              <w:jc w:val="right"/>
              <w:rPr>
                <w:color w:val="000000"/>
                <w:sz w:val="18"/>
                <w:szCs w:val="18"/>
              </w:rPr>
            </w:pPr>
            <w:r>
              <w:rPr>
                <w:color w:val="000000"/>
                <w:sz w:val="18"/>
                <w:szCs w:val="18"/>
              </w:rPr>
              <w:t>1.27</w:t>
            </w:r>
          </w:p>
        </w:tc>
        <w:tc>
          <w:tcPr>
            <w:tcW w:w="1247" w:type="dxa"/>
            <w:tcBorders>
              <w:top w:val="nil"/>
              <w:left w:val="nil"/>
              <w:bottom w:val="single" w:sz="4" w:space="0" w:color="000000"/>
              <w:right w:val="single" w:sz="4" w:space="0" w:color="000000"/>
            </w:tcBorders>
            <w:shd w:val="clear" w:color="auto" w:fill="auto"/>
            <w:vAlign w:val="bottom"/>
          </w:tcPr>
          <w:p w14:paraId="000002D0" w14:textId="77777777" w:rsidR="0039297D" w:rsidRDefault="004273CA" w:rsidP="000F15C3">
            <w:pPr>
              <w:spacing w:before="60" w:after="60"/>
              <w:jc w:val="left"/>
              <w:rPr>
                <w:color w:val="000000"/>
                <w:sz w:val="18"/>
                <w:szCs w:val="18"/>
              </w:rPr>
            </w:pPr>
            <w:r>
              <w:rPr>
                <w:color w:val="000000"/>
                <w:sz w:val="18"/>
                <w:szCs w:val="18"/>
              </w:rPr>
              <w:t>France</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D1" w14:textId="77777777" w:rsidR="0039297D" w:rsidRDefault="004273CA" w:rsidP="000F15C3">
            <w:pPr>
              <w:spacing w:before="60" w:after="60"/>
              <w:jc w:val="right"/>
              <w:rPr>
                <w:color w:val="000000"/>
                <w:sz w:val="18"/>
                <w:szCs w:val="18"/>
              </w:rPr>
            </w:pPr>
            <w:r>
              <w:rPr>
                <w:color w:val="000000"/>
                <w:sz w:val="18"/>
                <w:szCs w:val="18"/>
              </w:rPr>
              <w:t>1.29</w:t>
            </w:r>
          </w:p>
        </w:tc>
        <w:tc>
          <w:tcPr>
            <w:tcW w:w="1247" w:type="dxa"/>
            <w:tcBorders>
              <w:top w:val="nil"/>
              <w:left w:val="nil"/>
              <w:bottom w:val="single" w:sz="4" w:space="0" w:color="000000"/>
              <w:right w:val="single" w:sz="4" w:space="0" w:color="000000"/>
            </w:tcBorders>
            <w:shd w:val="clear" w:color="auto" w:fill="auto"/>
            <w:vAlign w:val="bottom"/>
          </w:tcPr>
          <w:p w14:paraId="000002D2" w14:textId="77777777" w:rsidR="0039297D" w:rsidRDefault="004273CA" w:rsidP="000F15C3">
            <w:pPr>
              <w:spacing w:before="60" w:after="60"/>
              <w:jc w:val="left"/>
              <w:rPr>
                <w:color w:val="000000"/>
                <w:sz w:val="18"/>
                <w:szCs w:val="18"/>
              </w:rPr>
            </w:pPr>
            <w:r>
              <w:rPr>
                <w:color w:val="000000"/>
                <w:sz w:val="18"/>
                <w:szCs w:val="18"/>
              </w:rPr>
              <w:t>Nigeria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D3" w14:textId="77777777" w:rsidR="0039297D" w:rsidRDefault="004273CA" w:rsidP="000F15C3">
            <w:pPr>
              <w:spacing w:before="60" w:after="60"/>
              <w:jc w:val="right"/>
              <w:rPr>
                <w:color w:val="000000"/>
                <w:sz w:val="18"/>
                <w:szCs w:val="18"/>
              </w:rPr>
            </w:pPr>
            <w:r>
              <w:rPr>
                <w:color w:val="000000"/>
                <w:sz w:val="18"/>
                <w:szCs w:val="18"/>
              </w:rPr>
              <w:t>1.04</w:t>
            </w:r>
          </w:p>
        </w:tc>
        <w:tc>
          <w:tcPr>
            <w:tcW w:w="1247" w:type="dxa"/>
            <w:tcBorders>
              <w:top w:val="nil"/>
              <w:left w:val="nil"/>
              <w:bottom w:val="single" w:sz="4" w:space="0" w:color="000000"/>
              <w:right w:val="single" w:sz="4" w:space="0" w:color="000000"/>
            </w:tcBorders>
            <w:shd w:val="clear" w:color="auto" w:fill="auto"/>
            <w:vAlign w:val="bottom"/>
          </w:tcPr>
          <w:p w14:paraId="000002D4" w14:textId="77777777" w:rsidR="0039297D" w:rsidRDefault="004273CA" w:rsidP="000F15C3">
            <w:pPr>
              <w:spacing w:before="60" w:after="60"/>
              <w:jc w:val="left"/>
              <w:rPr>
                <w:color w:val="000000"/>
                <w:sz w:val="18"/>
                <w:szCs w:val="18"/>
              </w:rPr>
            </w:pPr>
            <w:r>
              <w:rPr>
                <w:color w:val="000000"/>
                <w:sz w:val="18"/>
                <w:szCs w:val="18"/>
              </w:rPr>
              <w:t>Uganda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D5" w14:textId="77777777" w:rsidR="0039297D" w:rsidRDefault="004273CA" w:rsidP="000F15C3">
            <w:pPr>
              <w:spacing w:before="60" w:after="60"/>
              <w:jc w:val="right"/>
              <w:rPr>
                <w:color w:val="000000"/>
                <w:sz w:val="18"/>
                <w:szCs w:val="18"/>
              </w:rPr>
            </w:pPr>
            <w:r>
              <w:rPr>
                <w:color w:val="000000"/>
                <w:sz w:val="18"/>
                <w:szCs w:val="18"/>
              </w:rPr>
              <w:t>1.04</w:t>
            </w:r>
          </w:p>
        </w:tc>
      </w:tr>
      <w:tr w:rsidR="0039297D" w14:paraId="06062309"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D6" w14:textId="77777777" w:rsidR="0039297D" w:rsidRDefault="004273CA" w:rsidP="000F15C3">
            <w:pPr>
              <w:spacing w:before="60" w:after="60"/>
              <w:jc w:val="left"/>
              <w:rPr>
                <w:color w:val="000000"/>
                <w:sz w:val="18"/>
                <w:szCs w:val="18"/>
              </w:rPr>
            </w:pPr>
            <w:r>
              <w:rPr>
                <w:color w:val="000000"/>
                <w:sz w:val="18"/>
                <w:szCs w:val="18"/>
              </w:rPr>
              <w:t>Italy</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D7" w14:textId="77777777" w:rsidR="0039297D" w:rsidRDefault="004273CA" w:rsidP="000F15C3">
            <w:pPr>
              <w:spacing w:before="60" w:after="60"/>
              <w:jc w:val="right"/>
              <w:rPr>
                <w:color w:val="000000"/>
                <w:sz w:val="18"/>
                <w:szCs w:val="18"/>
              </w:rPr>
            </w:pPr>
            <w:r>
              <w:rPr>
                <w:color w:val="000000"/>
                <w:sz w:val="18"/>
                <w:szCs w:val="18"/>
              </w:rPr>
              <w:t>0.82</w:t>
            </w:r>
          </w:p>
        </w:tc>
        <w:tc>
          <w:tcPr>
            <w:tcW w:w="1247" w:type="dxa"/>
            <w:tcBorders>
              <w:top w:val="nil"/>
              <w:left w:val="nil"/>
              <w:bottom w:val="single" w:sz="4" w:space="0" w:color="000000"/>
              <w:right w:val="single" w:sz="4" w:space="0" w:color="000000"/>
            </w:tcBorders>
            <w:shd w:val="clear" w:color="auto" w:fill="auto"/>
            <w:vAlign w:val="bottom"/>
          </w:tcPr>
          <w:p w14:paraId="000002D8" w14:textId="77777777" w:rsidR="0039297D" w:rsidRDefault="004273CA" w:rsidP="000F15C3">
            <w:pPr>
              <w:spacing w:before="60" w:after="60"/>
              <w:jc w:val="left"/>
              <w:rPr>
                <w:color w:val="000000"/>
                <w:sz w:val="18"/>
                <w:szCs w:val="18"/>
              </w:rPr>
            </w:pPr>
            <w:r>
              <w:rPr>
                <w:color w:val="000000"/>
                <w:sz w:val="18"/>
                <w:szCs w:val="18"/>
              </w:rPr>
              <w:t>Switzerland</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D9" w14:textId="77777777" w:rsidR="0039297D" w:rsidRDefault="004273CA" w:rsidP="000F15C3">
            <w:pPr>
              <w:spacing w:before="60" w:after="60"/>
              <w:jc w:val="right"/>
              <w:rPr>
                <w:color w:val="000000"/>
                <w:sz w:val="18"/>
                <w:szCs w:val="18"/>
              </w:rPr>
            </w:pPr>
            <w:r>
              <w:rPr>
                <w:color w:val="000000"/>
                <w:sz w:val="18"/>
                <w:szCs w:val="18"/>
              </w:rPr>
              <w:t>1.25</w:t>
            </w:r>
          </w:p>
        </w:tc>
        <w:tc>
          <w:tcPr>
            <w:tcW w:w="1247" w:type="dxa"/>
            <w:tcBorders>
              <w:top w:val="nil"/>
              <w:left w:val="nil"/>
              <w:bottom w:val="single" w:sz="4" w:space="0" w:color="000000"/>
              <w:right w:val="single" w:sz="4" w:space="0" w:color="000000"/>
            </w:tcBorders>
            <w:shd w:val="clear" w:color="auto" w:fill="auto"/>
            <w:vAlign w:val="bottom"/>
          </w:tcPr>
          <w:p w14:paraId="000002DA" w14:textId="77777777" w:rsidR="0039297D" w:rsidRDefault="004273CA" w:rsidP="000F15C3">
            <w:pPr>
              <w:spacing w:before="60" w:after="60"/>
              <w:jc w:val="left"/>
              <w:rPr>
                <w:color w:val="000000"/>
                <w:sz w:val="18"/>
                <w:szCs w:val="18"/>
              </w:rPr>
            </w:pPr>
            <w:r>
              <w:rPr>
                <w:color w:val="000000"/>
                <w:sz w:val="18"/>
                <w:szCs w:val="18"/>
              </w:rPr>
              <w:t>Lesotho</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DB" w14:textId="77777777" w:rsidR="0039297D" w:rsidRDefault="004273CA" w:rsidP="000F15C3">
            <w:pPr>
              <w:spacing w:before="60" w:after="60"/>
              <w:jc w:val="right"/>
              <w:rPr>
                <w:color w:val="000000"/>
                <w:sz w:val="18"/>
                <w:szCs w:val="18"/>
              </w:rPr>
            </w:pPr>
            <w:r>
              <w:rPr>
                <w:color w:val="000000"/>
                <w:sz w:val="18"/>
                <w:szCs w:val="18"/>
              </w:rPr>
              <w:t>1.24</w:t>
            </w:r>
          </w:p>
        </w:tc>
        <w:tc>
          <w:tcPr>
            <w:tcW w:w="1247" w:type="dxa"/>
            <w:tcBorders>
              <w:top w:val="nil"/>
              <w:left w:val="nil"/>
              <w:bottom w:val="single" w:sz="4" w:space="0" w:color="000000"/>
              <w:right w:val="single" w:sz="4" w:space="0" w:color="000000"/>
            </w:tcBorders>
            <w:shd w:val="clear" w:color="auto" w:fill="auto"/>
            <w:vAlign w:val="bottom"/>
          </w:tcPr>
          <w:p w14:paraId="000002DC" w14:textId="77777777" w:rsidR="0039297D" w:rsidRDefault="004273CA" w:rsidP="000F15C3">
            <w:pPr>
              <w:spacing w:before="60" w:after="60"/>
              <w:jc w:val="left"/>
              <w:rPr>
                <w:color w:val="000000"/>
                <w:sz w:val="18"/>
                <w:szCs w:val="18"/>
              </w:rPr>
            </w:pPr>
            <w:r>
              <w:rPr>
                <w:color w:val="000000"/>
                <w:sz w:val="18"/>
                <w:szCs w:val="18"/>
              </w:rPr>
              <w:t>UAE</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DD" w14:textId="77777777" w:rsidR="0039297D" w:rsidRDefault="004273CA" w:rsidP="000F15C3">
            <w:pPr>
              <w:spacing w:before="60" w:after="60"/>
              <w:jc w:val="right"/>
              <w:rPr>
                <w:color w:val="000000"/>
                <w:sz w:val="18"/>
                <w:szCs w:val="18"/>
              </w:rPr>
            </w:pPr>
            <w:r>
              <w:rPr>
                <w:color w:val="000000"/>
                <w:sz w:val="18"/>
                <w:szCs w:val="18"/>
              </w:rPr>
              <w:t>1.03</w:t>
            </w:r>
          </w:p>
        </w:tc>
        <w:tc>
          <w:tcPr>
            <w:tcW w:w="1247" w:type="dxa"/>
            <w:tcBorders>
              <w:top w:val="nil"/>
              <w:left w:val="nil"/>
              <w:bottom w:val="single" w:sz="4" w:space="0" w:color="000000"/>
              <w:right w:val="single" w:sz="4" w:space="0" w:color="000000"/>
            </w:tcBorders>
            <w:shd w:val="clear" w:color="auto" w:fill="auto"/>
            <w:vAlign w:val="bottom"/>
          </w:tcPr>
          <w:p w14:paraId="000002DE" w14:textId="77777777" w:rsidR="0039297D" w:rsidRDefault="004273CA" w:rsidP="000F15C3">
            <w:pPr>
              <w:spacing w:before="60" w:after="60"/>
              <w:jc w:val="left"/>
              <w:rPr>
                <w:color w:val="000000"/>
                <w:sz w:val="18"/>
                <w:szCs w:val="18"/>
              </w:rPr>
            </w:pPr>
            <w:r>
              <w:rPr>
                <w:color w:val="000000"/>
                <w:sz w:val="18"/>
                <w:szCs w:val="18"/>
              </w:rPr>
              <w:t>Australia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DF" w14:textId="77777777" w:rsidR="0039297D" w:rsidRDefault="004273CA" w:rsidP="000F15C3">
            <w:pPr>
              <w:spacing w:before="60" w:after="60"/>
              <w:jc w:val="right"/>
              <w:rPr>
                <w:color w:val="000000"/>
                <w:sz w:val="18"/>
                <w:szCs w:val="18"/>
              </w:rPr>
            </w:pPr>
            <w:r>
              <w:rPr>
                <w:color w:val="000000"/>
                <w:sz w:val="18"/>
                <w:szCs w:val="18"/>
              </w:rPr>
              <w:t>0.95</w:t>
            </w:r>
          </w:p>
        </w:tc>
      </w:tr>
      <w:tr w:rsidR="0039297D" w14:paraId="347AC28C"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E0" w14:textId="77777777" w:rsidR="0039297D" w:rsidRDefault="004273CA" w:rsidP="000F15C3">
            <w:pPr>
              <w:spacing w:before="60" w:after="60"/>
              <w:jc w:val="left"/>
              <w:rPr>
                <w:color w:val="000000"/>
                <w:sz w:val="18"/>
                <w:szCs w:val="18"/>
              </w:rPr>
            </w:pPr>
            <w:r>
              <w:rPr>
                <w:color w:val="000000"/>
                <w:sz w:val="18"/>
                <w:szCs w:val="18"/>
              </w:rPr>
              <w:t>Bahamas</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E1" w14:textId="77777777" w:rsidR="0039297D" w:rsidRDefault="004273CA" w:rsidP="000F15C3">
            <w:pPr>
              <w:spacing w:before="60" w:after="60"/>
              <w:jc w:val="right"/>
              <w:rPr>
                <w:color w:val="000000"/>
                <w:sz w:val="18"/>
                <w:szCs w:val="18"/>
              </w:rPr>
            </w:pPr>
            <w:r>
              <w:rPr>
                <w:color w:val="000000"/>
                <w:sz w:val="18"/>
                <w:szCs w:val="18"/>
              </w:rPr>
              <w:t>0.79</w:t>
            </w:r>
          </w:p>
        </w:tc>
        <w:tc>
          <w:tcPr>
            <w:tcW w:w="1247" w:type="dxa"/>
            <w:tcBorders>
              <w:top w:val="nil"/>
              <w:left w:val="nil"/>
              <w:bottom w:val="single" w:sz="4" w:space="0" w:color="000000"/>
              <w:right w:val="single" w:sz="4" w:space="0" w:color="000000"/>
            </w:tcBorders>
            <w:shd w:val="clear" w:color="auto" w:fill="auto"/>
            <w:vAlign w:val="bottom"/>
          </w:tcPr>
          <w:p w14:paraId="000002E2" w14:textId="77777777" w:rsidR="0039297D" w:rsidRDefault="004273CA" w:rsidP="000F15C3">
            <w:pPr>
              <w:spacing w:before="60" w:after="60"/>
              <w:jc w:val="left"/>
              <w:rPr>
                <w:color w:val="000000"/>
                <w:sz w:val="18"/>
                <w:szCs w:val="18"/>
              </w:rPr>
            </w:pPr>
            <w:r>
              <w:rPr>
                <w:color w:val="000000"/>
                <w:sz w:val="18"/>
                <w:szCs w:val="18"/>
              </w:rPr>
              <w:t>France</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E3" w14:textId="77777777" w:rsidR="0039297D" w:rsidRDefault="004273CA" w:rsidP="000F15C3">
            <w:pPr>
              <w:spacing w:before="60" w:after="60"/>
              <w:jc w:val="right"/>
              <w:rPr>
                <w:color w:val="000000"/>
                <w:sz w:val="18"/>
                <w:szCs w:val="18"/>
              </w:rPr>
            </w:pPr>
            <w:r>
              <w:rPr>
                <w:color w:val="000000"/>
                <w:sz w:val="18"/>
                <w:szCs w:val="18"/>
              </w:rPr>
              <w:t>0.96</w:t>
            </w:r>
          </w:p>
        </w:tc>
        <w:tc>
          <w:tcPr>
            <w:tcW w:w="1247" w:type="dxa"/>
            <w:tcBorders>
              <w:top w:val="nil"/>
              <w:left w:val="nil"/>
              <w:bottom w:val="single" w:sz="4" w:space="0" w:color="000000"/>
              <w:right w:val="single" w:sz="4" w:space="0" w:color="000000"/>
            </w:tcBorders>
            <w:shd w:val="clear" w:color="auto" w:fill="auto"/>
            <w:vAlign w:val="bottom"/>
          </w:tcPr>
          <w:p w14:paraId="000002E4" w14:textId="77777777" w:rsidR="0039297D" w:rsidRDefault="004273CA" w:rsidP="000F15C3">
            <w:pPr>
              <w:spacing w:before="60" w:after="60"/>
              <w:jc w:val="left"/>
              <w:rPr>
                <w:color w:val="000000"/>
                <w:sz w:val="18"/>
                <w:szCs w:val="18"/>
              </w:rPr>
            </w:pPr>
            <w:r>
              <w:rPr>
                <w:color w:val="000000"/>
                <w:sz w:val="18"/>
                <w:szCs w:val="18"/>
              </w:rPr>
              <w:t>Canada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E5" w14:textId="77777777" w:rsidR="0039297D" w:rsidRDefault="004273CA" w:rsidP="000F15C3">
            <w:pPr>
              <w:spacing w:before="60" w:after="60"/>
              <w:jc w:val="right"/>
              <w:rPr>
                <w:color w:val="000000"/>
                <w:sz w:val="18"/>
                <w:szCs w:val="18"/>
              </w:rPr>
            </w:pPr>
            <w:r>
              <w:rPr>
                <w:color w:val="000000"/>
                <w:sz w:val="18"/>
                <w:szCs w:val="18"/>
              </w:rPr>
              <w:t>0.99</w:t>
            </w:r>
          </w:p>
        </w:tc>
        <w:tc>
          <w:tcPr>
            <w:tcW w:w="1247" w:type="dxa"/>
            <w:tcBorders>
              <w:top w:val="nil"/>
              <w:left w:val="nil"/>
              <w:bottom w:val="single" w:sz="4" w:space="0" w:color="000000"/>
              <w:right w:val="single" w:sz="4" w:space="0" w:color="000000"/>
            </w:tcBorders>
            <w:shd w:val="clear" w:color="auto" w:fill="auto"/>
            <w:vAlign w:val="bottom"/>
          </w:tcPr>
          <w:p w14:paraId="000002E6" w14:textId="77777777" w:rsidR="0039297D" w:rsidRDefault="004273CA" w:rsidP="000F15C3">
            <w:pPr>
              <w:spacing w:before="60" w:after="60"/>
              <w:jc w:val="left"/>
              <w:rPr>
                <w:color w:val="000000"/>
                <w:sz w:val="18"/>
                <w:szCs w:val="18"/>
              </w:rPr>
            </w:pPr>
            <w:r>
              <w:rPr>
                <w:color w:val="000000"/>
                <w:sz w:val="18"/>
                <w:szCs w:val="18"/>
              </w:rPr>
              <w:t>Canada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E7" w14:textId="77777777" w:rsidR="0039297D" w:rsidRDefault="004273CA" w:rsidP="000F15C3">
            <w:pPr>
              <w:spacing w:before="60" w:after="60"/>
              <w:jc w:val="right"/>
              <w:rPr>
                <w:color w:val="000000"/>
                <w:sz w:val="18"/>
                <w:szCs w:val="18"/>
              </w:rPr>
            </w:pPr>
            <w:r>
              <w:rPr>
                <w:color w:val="000000"/>
                <w:sz w:val="18"/>
                <w:szCs w:val="18"/>
              </w:rPr>
              <w:t>1.02</w:t>
            </w:r>
          </w:p>
        </w:tc>
        <w:tc>
          <w:tcPr>
            <w:tcW w:w="1247" w:type="dxa"/>
            <w:tcBorders>
              <w:top w:val="nil"/>
              <w:left w:val="nil"/>
              <w:bottom w:val="single" w:sz="4" w:space="0" w:color="000000"/>
              <w:right w:val="single" w:sz="4" w:space="0" w:color="000000"/>
            </w:tcBorders>
            <w:shd w:val="clear" w:color="auto" w:fill="auto"/>
            <w:vAlign w:val="bottom"/>
          </w:tcPr>
          <w:p w14:paraId="000002E8" w14:textId="77777777" w:rsidR="0039297D" w:rsidRDefault="004273CA" w:rsidP="000F15C3">
            <w:pPr>
              <w:spacing w:before="60" w:after="60"/>
              <w:jc w:val="left"/>
              <w:rPr>
                <w:color w:val="000000"/>
                <w:sz w:val="18"/>
                <w:szCs w:val="18"/>
              </w:rPr>
            </w:pPr>
            <w:r>
              <w:rPr>
                <w:color w:val="000000"/>
                <w:sz w:val="18"/>
                <w:szCs w:val="18"/>
              </w:rPr>
              <w:t>Tanzania</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E9" w14:textId="77777777" w:rsidR="0039297D" w:rsidRDefault="004273CA" w:rsidP="000F15C3">
            <w:pPr>
              <w:spacing w:before="60" w:after="60"/>
              <w:jc w:val="right"/>
              <w:rPr>
                <w:color w:val="000000"/>
                <w:sz w:val="18"/>
                <w:szCs w:val="18"/>
              </w:rPr>
            </w:pPr>
            <w:r>
              <w:rPr>
                <w:color w:val="000000"/>
                <w:sz w:val="18"/>
                <w:szCs w:val="18"/>
              </w:rPr>
              <w:t>0.91</w:t>
            </w:r>
          </w:p>
        </w:tc>
      </w:tr>
      <w:tr w:rsidR="0039297D" w14:paraId="64864A20"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EA" w14:textId="77777777" w:rsidR="0039297D" w:rsidRDefault="004273CA" w:rsidP="000F15C3">
            <w:pPr>
              <w:spacing w:before="60" w:after="60"/>
              <w:jc w:val="left"/>
              <w:rPr>
                <w:color w:val="000000"/>
                <w:sz w:val="18"/>
                <w:szCs w:val="18"/>
              </w:rPr>
            </w:pPr>
            <w:r>
              <w:rPr>
                <w:color w:val="000000"/>
                <w:sz w:val="18"/>
                <w:szCs w:val="18"/>
              </w:rPr>
              <w:t>Angola</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EB" w14:textId="77777777" w:rsidR="0039297D" w:rsidRDefault="004273CA" w:rsidP="000F15C3">
            <w:pPr>
              <w:spacing w:before="60" w:after="60"/>
              <w:jc w:val="right"/>
              <w:rPr>
                <w:color w:val="000000"/>
                <w:sz w:val="18"/>
                <w:szCs w:val="18"/>
              </w:rPr>
            </w:pPr>
            <w:r>
              <w:rPr>
                <w:color w:val="000000"/>
                <w:sz w:val="18"/>
                <w:szCs w:val="18"/>
              </w:rPr>
              <w:t>0.73</w:t>
            </w:r>
          </w:p>
        </w:tc>
        <w:tc>
          <w:tcPr>
            <w:tcW w:w="1247" w:type="dxa"/>
            <w:tcBorders>
              <w:top w:val="nil"/>
              <w:left w:val="nil"/>
              <w:bottom w:val="single" w:sz="4" w:space="0" w:color="000000"/>
              <w:right w:val="single" w:sz="4" w:space="0" w:color="000000"/>
            </w:tcBorders>
            <w:shd w:val="clear" w:color="auto" w:fill="auto"/>
            <w:vAlign w:val="bottom"/>
          </w:tcPr>
          <w:p w14:paraId="000002EC" w14:textId="77777777" w:rsidR="0039297D" w:rsidRDefault="004273CA" w:rsidP="000F15C3">
            <w:pPr>
              <w:spacing w:before="60" w:after="60"/>
              <w:jc w:val="left"/>
              <w:rPr>
                <w:color w:val="000000"/>
                <w:sz w:val="18"/>
                <w:szCs w:val="18"/>
              </w:rPr>
            </w:pPr>
            <w:r>
              <w:rPr>
                <w:color w:val="000000"/>
                <w:sz w:val="18"/>
                <w:szCs w:val="18"/>
              </w:rPr>
              <w:t>Congo</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ED" w14:textId="77777777" w:rsidR="0039297D" w:rsidRDefault="004273CA" w:rsidP="000F15C3">
            <w:pPr>
              <w:spacing w:before="60" w:after="60"/>
              <w:jc w:val="right"/>
              <w:rPr>
                <w:color w:val="000000"/>
                <w:sz w:val="18"/>
                <w:szCs w:val="18"/>
              </w:rPr>
            </w:pPr>
            <w:r>
              <w:rPr>
                <w:color w:val="000000"/>
                <w:sz w:val="18"/>
                <w:szCs w:val="18"/>
              </w:rPr>
              <w:t>0.95</w:t>
            </w:r>
          </w:p>
        </w:tc>
        <w:tc>
          <w:tcPr>
            <w:tcW w:w="1247" w:type="dxa"/>
            <w:tcBorders>
              <w:top w:val="nil"/>
              <w:left w:val="nil"/>
              <w:bottom w:val="single" w:sz="4" w:space="0" w:color="000000"/>
              <w:right w:val="single" w:sz="4" w:space="0" w:color="000000"/>
            </w:tcBorders>
            <w:shd w:val="clear" w:color="auto" w:fill="auto"/>
            <w:vAlign w:val="bottom"/>
          </w:tcPr>
          <w:p w14:paraId="000002EE" w14:textId="77777777" w:rsidR="0039297D" w:rsidRDefault="004273CA" w:rsidP="000F15C3">
            <w:pPr>
              <w:spacing w:before="60" w:after="60"/>
              <w:jc w:val="left"/>
              <w:rPr>
                <w:color w:val="000000"/>
                <w:sz w:val="18"/>
                <w:szCs w:val="18"/>
              </w:rPr>
            </w:pPr>
            <w:r>
              <w:rPr>
                <w:color w:val="000000"/>
                <w:sz w:val="18"/>
                <w:szCs w:val="18"/>
              </w:rPr>
              <w:t>UAE</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EF" w14:textId="77777777" w:rsidR="0039297D" w:rsidRDefault="004273CA" w:rsidP="000F15C3">
            <w:pPr>
              <w:spacing w:before="60" w:after="60"/>
              <w:jc w:val="right"/>
              <w:rPr>
                <w:color w:val="000000"/>
                <w:sz w:val="18"/>
                <w:szCs w:val="18"/>
              </w:rPr>
            </w:pPr>
            <w:r>
              <w:rPr>
                <w:color w:val="000000"/>
                <w:sz w:val="18"/>
                <w:szCs w:val="18"/>
              </w:rPr>
              <w:t>0.90</w:t>
            </w:r>
          </w:p>
        </w:tc>
        <w:tc>
          <w:tcPr>
            <w:tcW w:w="1247" w:type="dxa"/>
            <w:tcBorders>
              <w:top w:val="nil"/>
              <w:left w:val="nil"/>
              <w:bottom w:val="single" w:sz="4" w:space="0" w:color="000000"/>
              <w:right w:val="single" w:sz="4" w:space="0" w:color="000000"/>
            </w:tcBorders>
            <w:shd w:val="clear" w:color="auto" w:fill="auto"/>
            <w:vAlign w:val="bottom"/>
          </w:tcPr>
          <w:p w14:paraId="000002F0" w14:textId="77777777" w:rsidR="0039297D" w:rsidRDefault="004273CA" w:rsidP="000F15C3">
            <w:pPr>
              <w:spacing w:before="60" w:after="60"/>
              <w:jc w:val="left"/>
              <w:rPr>
                <w:color w:val="000000"/>
                <w:sz w:val="18"/>
                <w:szCs w:val="18"/>
              </w:rPr>
            </w:pPr>
            <w:r>
              <w:rPr>
                <w:color w:val="000000"/>
                <w:sz w:val="18"/>
                <w:szCs w:val="18"/>
              </w:rPr>
              <w:t>Angola</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F1" w14:textId="77777777" w:rsidR="0039297D" w:rsidRDefault="004273CA" w:rsidP="000F15C3">
            <w:pPr>
              <w:spacing w:before="60" w:after="60"/>
              <w:jc w:val="right"/>
              <w:rPr>
                <w:color w:val="000000"/>
                <w:sz w:val="18"/>
                <w:szCs w:val="18"/>
              </w:rPr>
            </w:pPr>
            <w:r>
              <w:rPr>
                <w:color w:val="000000"/>
                <w:sz w:val="18"/>
                <w:szCs w:val="18"/>
              </w:rPr>
              <w:t>0.97</w:t>
            </w:r>
          </w:p>
        </w:tc>
        <w:tc>
          <w:tcPr>
            <w:tcW w:w="1247" w:type="dxa"/>
            <w:tcBorders>
              <w:top w:val="nil"/>
              <w:left w:val="nil"/>
              <w:bottom w:val="single" w:sz="4" w:space="0" w:color="000000"/>
              <w:right w:val="single" w:sz="4" w:space="0" w:color="000000"/>
            </w:tcBorders>
            <w:shd w:val="clear" w:color="auto" w:fill="auto"/>
            <w:vAlign w:val="bottom"/>
          </w:tcPr>
          <w:p w14:paraId="000002F2" w14:textId="77777777" w:rsidR="0039297D" w:rsidRDefault="004273CA" w:rsidP="000F15C3">
            <w:pPr>
              <w:spacing w:before="60" w:after="60"/>
              <w:jc w:val="left"/>
              <w:rPr>
                <w:color w:val="000000"/>
                <w:sz w:val="18"/>
                <w:szCs w:val="18"/>
              </w:rPr>
            </w:pPr>
            <w:r>
              <w:rPr>
                <w:color w:val="000000"/>
                <w:sz w:val="18"/>
                <w:szCs w:val="18"/>
              </w:rPr>
              <w:t>Netherlands</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F3" w14:textId="77777777" w:rsidR="0039297D" w:rsidRDefault="004273CA" w:rsidP="000F15C3">
            <w:pPr>
              <w:spacing w:before="60" w:after="60"/>
              <w:jc w:val="right"/>
              <w:rPr>
                <w:color w:val="000000"/>
                <w:sz w:val="18"/>
                <w:szCs w:val="18"/>
              </w:rPr>
            </w:pPr>
            <w:r>
              <w:rPr>
                <w:color w:val="000000"/>
                <w:sz w:val="18"/>
                <w:szCs w:val="18"/>
              </w:rPr>
              <w:t>0.84</w:t>
            </w:r>
          </w:p>
        </w:tc>
      </w:tr>
      <w:tr w:rsidR="0039297D" w14:paraId="0ED6A297" w14:textId="77777777" w:rsidTr="000F15C3">
        <w:trPr>
          <w:trHeight w:val="290"/>
          <w:jc w:val="center"/>
        </w:trPr>
        <w:tc>
          <w:tcPr>
            <w:tcW w:w="1247" w:type="dxa"/>
            <w:tcBorders>
              <w:top w:val="nil"/>
              <w:left w:val="single" w:sz="8" w:space="0" w:color="000000"/>
              <w:bottom w:val="single" w:sz="4" w:space="0" w:color="000000"/>
              <w:right w:val="single" w:sz="4" w:space="0" w:color="000000"/>
            </w:tcBorders>
            <w:shd w:val="clear" w:color="auto" w:fill="auto"/>
            <w:vAlign w:val="bottom"/>
          </w:tcPr>
          <w:p w14:paraId="000002F4" w14:textId="77777777" w:rsidR="0039297D" w:rsidRDefault="004273CA" w:rsidP="000F15C3">
            <w:pPr>
              <w:spacing w:before="60" w:after="60"/>
              <w:jc w:val="left"/>
              <w:rPr>
                <w:color w:val="000000"/>
                <w:sz w:val="18"/>
                <w:szCs w:val="18"/>
              </w:rPr>
            </w:pPr>
            <w:r>
              <w:rPr>
                <w:color w:val="000000"/>
                <w:sz w:val="18"/>
                <w:szCs w:val="18"/>
              </w:rPr>
              <w:t>UAE</w:t>
            </w:r>
          </w:p>
        </w:tc>
        <w:tc>
          <w:tcPr>
            <w:tcW w:w="820" w:type="dxa"/>
            <w:tcBorders>
              <w:top w:val="nil"/>
              <w:left w:val="nil"/>
              <w:bottom w:val="single" w:sz="4" w:space="0" w:color="000000"/>
              <w:right w:val="single" w:sz="8" w:space="0" w:color="000000"/>
            </w:tcBorders>
            <w:shd w:val="clear" w:color="auto" w:fill="auto"/>
            <w:tcMar>
              <w:right w:w="113" w:type="dxa"/>
            </w:tcMar>
            <w:vAlign w:val="bottom"/>
          </w:tcPr>
          <w:p w14:paraId="000002F5" w14:textId="77777777" w:rsidR="0039297D" w:rsidRDefault="004273CA" w:rsidP="000F15C3">
            <w:pPr>
              <w:spacing w:before="60" w:after="60"/>
              <w:jc w:val="right"/>
              <w:rPr>
                <w:color w:val="000000"/>
                <w:sz w:val="18"/>
                <w:szCs w:val="18"/>
              </w:rPr>
            </w:pPr>
            <w:r>
              <w:rPr>
                <w:color w:val="000000"/>
                <w:sz w:val="18"/>
                <w:szCs w:val="18"/>
              </w:rPr>
              <w:t>0.62</w:t>
            </w:r>
          </w:p>
        </w:tc>
        <w:tc>
          <w:tcPr>
            <w:tcW w:w="1247" w:type="dxa"/>
            <w:tcBorders>
              <w:top w:val="nil"/>
              <w:left w:val="nil"/>
              <w:bottom w:val="single" w:sz="4" w:space="0" w:color="000000"/>
              <w:right w:val="single" w:sz="4" w:space="0" w:color="000000"/>
            </w:tcBorders>
            <w:shd w:val="clear" w:color="auto" w:fill="auto"/>
            <w:vAlign w:val="bottom"/>
          </w:tcPr>
          <w:p w14:paraId="000002F6" w14:textId="77777777" w:rsidR="0039297D" w:rsidRDefault="004273CA" w:rsidP="000F15C3">
            <w:pPr>
              <w:spacing w:before="60" w:after="60"/>
              <w:jc w:val="left"/>
              <w:rPr>
                <w:color w:val="000000"/>
                <w:sz w:val="18"/>
                <w:szCs w:val="18"/>
              </w:rPr>
            </w:pPr>
            <w:r>
              <w:rPr>
                <w:color w:val="000000"/>
                <w:sz w:val="18"/>
                <w:szCs w:val="18"/>
              </w:rPr>
              <w:t>Tanzania</w:t>
            </w:r>
          </w:p>
        </w:tc>
        <w:tc>
          <w:tcPr>
            <w:tcW w:w="800" w:type="dxa"/>
            <w:tcBorders>
              <w:top w:val="nil"/>
              <w:left w:val="nil"/>
              <w:bottom w:val="single" w:sz="4" w:space="0" w:color="000000"/>
              <w:right w:val="single" w:sz="8" w:space="0" w:color="000000"/>
            </w:tcBorders>
            <w:shd w:val="clear" w:color="auto" w:fill="auto"/>
            <w:tcMar>
              <w:right w:w="113" w:type="dxa"/>
            </w:tcMar>
            <w:vAlign w:val="bottom"/>
          </w:tcPr>
          <w:p w14:paraId="000002F7" w14:textId="77777777" w:rsidR="0039297D" w:rsidRDefault="004273CA" w:rsidP="000F15C3">
            <w:pPr>
              <w:spacing w:before="60" w:after="60"/>
              <w:jc w:val="right"/>
              <w:rPr>
                <w:color w:val="000000"/>
                <w:sz w:val="18"/>
                <w:szCs w:val="18"/>
              </w:rPr>
            </w:pPr>
            <w:r>
              <w:rPr>
                <w:color w:val="000000"/>
                <w:sz w:val="18"/>
                <w:szCs w:val="18"/>
              </w:rPr>
              <w:t>0.93</w:t>
            </w:r>
          </w:p>
        </w:tc>
        <w:tc>
          <w:tcPr>
            <w:tcW w:w="1247" w:type="dxa"/>
            <w:tcBorders>
              <w:top w:val="nil"/>
              <w:left w:val="nil"/>
              <w:bottom w:val="single" w:sz="4" w:space="0" w:color="000000"/>
              <w:right w:val="single" w:sz="4" w:space="0" w:color="000000"/>
            </w:tcBorders>
            <w:shd w:val="clear" w:color="auto" w:fill="auto"/>
            <w:vAlign w:val="bottom"/>
          </w:tcPr>
          <w:p w14:paraId="000002F8" w14:textId="77777777" w:rsidR="0039297D" w:rsidRDefault="004273CA" w:rsidP="000F15C3">
            <w:pPr>
              <w:spacing w:before="60" w:after="60"/>
              <w:jc w:val="left"/>
              <w:rPr>
                <w:color w:val="000000"/>
                <w:sz w:val="18"/>
                <w:szCs w:val="18"/>
              </w:rPr>
            </w:pPr>
            <w:r>
              <w:rPr>
                <w:color w:val="000000"/>
                <w:sz w:val="18"/>
                <w:szCs w:val="18"/>
              </w:rPr>
              <w:t>Angola</w:t>
            </w:r>
          </w:p>
        </w:tc>
        <w:tc>
          <w:tcPr>
            <w:tcW w:w="860" w:type="dxa"/>
            <w:tcBorders>
              <w:top w:val="nil"/>
              <w:left w:val="nil"/>
              <w:bottom w:val="single" w:sz="4" w:space="0" w:color="000000"/>
              <w:right w:val="single" w:sz="8" w:space="0" w:color="000000"/>
            </w:tcBorders>
            <w:shd w:val="clear" w:color="auto" w:fill="auto"/>
            <w:tcMar>
              <w:right w:w="113" w:type="dxa"/>
            </w:tcMar>
            <w:vAlign w:val="bottom"/>
          </w:tcPr>
          <w:p w14:paraId="000002F9" w14:textId="77777777" w:rsidR="0039297D" w:rsidRDefault="004273CA" w:rsidP="000F15C3">
            <w:pPr>
              <w:spacing w:before="60" w:after="60"/>
              <w:jc w:val="right"/>
              <w:rPr>
                <w:color w:val="000000"/>
                <w:sz w:val="18"/>
                <w:szCs w:val="18"/>
              </w:rPr>
            </w:pPr>
            <w:r>
              <w:rPr>
                <w:color w:val="000000"/>
                <w:sz w:val="18"/>
                <w:szCs w:val="18"/>
              </w:rPr>
              <w:t>0.89</w:t>
            </w:r>
          </w:p>
        </w:tc>
        <w:tc>
          <w:tcPr>
            <w:tcW w:w="1247" w:type="dxa"/>
            <w:tcBorders>
              <w:top w:val="nil"/>
              <w:left w:val="nil"/>
              <w:bottom w:val="single" w:sz="4" w:space="0" w:color="000000"/>
              <w:right w:val="single" w:sz="4" w:space="0" w:color="000000"/>
            </w:tcBorders>
            <w:shd w:val="clear" w:color="auto" w:fill="auto"/>
            <w:vAlign w:val="bottom"/>
          </w:tcPr>
          <w:p w14:paraId="000002FA" w14:textId="77777777" w:rsidR="0039297D" w:rsidRDefault="004273CA" w:rsidP="000F15C3">
            <w:pPr>
              <w:spacing w:before="60" w:after="60"/>
              <w:jc w:val="left"/>
              <w:rPr>
                <w:color w:val="000000"/>
                <w:sz w:val="18"/>
                <w:szCs w:val="18"/>
              </w:rPr>
            </w:pPr>
            <w:r>
              <w:rPr>
                <w:color w:val="000000"/>
                <w:sz w:val="18"/>
                <w:szCs w:val="18"/>
              </w:rPr>
              <w:t>DRC</w:t>
            </w:r>
          </w:p>
        </w:tc>
        <w:tc>
          <w:tcPr>
            <w:tcW w:w="860" w:type="dxa"/>
            <w:tcBorders>
              <w:top w:val="nil"/>
              <w:left w:val="nil"/>
              <w:bottom w:val="single" w:sz="4" w:space="0" w:color="000000"/>
              <w:right w:val="single" w:sz="8" w:space="0" w:color="000000"/>
            </w:tcBorders>
            <w:shd w:val="clear" w:color="auto" w:fill="auto"/>
            <w:tcMar>
              <w:left w:w="108" w:type="dxa"/>
              <w:right w:w="113" w:type="dxa"/>
            </w:tcMar>
            <w:vAlign w:val="bottom"/>
          </w:tcPr>
          <w:p w14:paraId="000002FB" w14:textId="77777777" w:rsidR="0039297D" w:rsidRDefault="004273CA" w:rsidP="000F15C3">
            <w:pPr>
              <w:spacing w:before="60" w:after="60"/>
              <w:jc w:val="right"/>
              <w:rPr>
                <w:color w:val="000000"/>
                <w:sz w:val="18"/>
                <w:szCs w:val="18"/>
              </w:rPr>
            </w:pPr>
            <w:r>
              <w:rPr>
                <w:color w:val="000000"/>
                <w:sz w:val="18"/>
                <w:szCs w:val="18"/>
              </w:rPr>
              <w:t>0.96</w:t>
            </w:r>
          </w:p>
        </w:tc>
        <w:tc>
          <w:tcPr>
            <w:tcW w:w="1247" w:type="dxa"/>
            <w:tcBorders>
              <w:top w:val="nil"/>
              <w:left w:val="nil"/>
              <w:bottom w:val="single" w:sz="4" w:space="0" w:color="000000"/>
              <w:right w:val="single" w:sz="4" w:space="0" w:color="000000"/>
            </w:tcBorders>
            <w:shd w:val="clear" w:color="auto" w:fill="auto"/>
            <w:vAlign w:val="bottom"/>
          </w:tcPr>
          <w:p w14:paraId="000002FC" w14:textId="77777777" w:rsidR="0039297D" w:rsidRDefault="004273CA" w:rsidP="000F15C3">
            <w:pPr>
              <w:spacing w:before="60" w:after="60"/>
              <w:jc w:val="left"/>
              <w:rPr>
                <w:color w:val="000000"/>
                <w:sz w:val="18"/>
                <w:szCs w:val="18"/>
              </w:rPr>
            </w:pPr>
            <w:r>
              <w:rPr>
                <w:color w:val="000000"/>
                <w:sz w:val="18"/>
                <w:szCs w:val="18"/>
              </w:rPr>
              <w:t>Belgium</w:t>
            </w:r>
          </w:p>
        </w:tc>
        <w:tc>
          <w:tcPr>
            <w:tcW w:w="840" w:type="dxa"/>
            <w:tcBorders>
              <w:top w:val="nil"/>
              <w:left w:val="nil"/>
              <w:bottom w:val="single" w:sz="4" w:space="0" w:color="000000"/>
              <w:right w:val="single" w:sz="8" w:space="0" w:color="000000"/>
            </w:tcBorders>
            <w:shd w:val="clear" w:color="auto" w:fill="auto"/>
            <w:tcMar>
              <w:right w:w="113" w:type="dxa"/>
            </w:tcMar>
            <w:vAlign w:val="bottom"/>
          </w:tcPr>
          <w:p w14:paraId="000002FD" w14:textId="77777777" w:rsidR="0039297D" w:rsidRDefault="004273CA" w:rsidP="000F15C3">
            <w:pPr>
              <w:spacing w:before="60" w:after="60"/>
              <w:jc w:val="right"/>
              <w:rPr>
                <w:color w:val="000000"/>
                <w:sz w:val="18"/>
                <w:szCs w:val="18"/>
              </w:rPr>
            </w:pPr>
            <w:r>
              <w:rPr>
                <w:color w:val="000000"/>
                <w:sz w:val="18"/>
                <w:szCs w:val="18"/>
              </w:rPr>
              <w:t>0.79</w:t>
            </w:r>
          </w:p>
        </w:tc>
      </w:tr>
      <w:tr w:rsidR="0039297D" w14:paraId="5B284316" w14:textId="77777777" w:rsidTr="000F15C3">
        <w:trPr>
          <w:trHeight w:val="300"/>
          <w:jc w:val="center"/>
        </w:trPr>
        <w:tc>
          <w:tcPr>
            <w:tcW w:w="1247" w:type="dxa"/>
            <w:tcBorders>
              <w:top w:val="nil"/>
              <w:left w:val="single" w:sz="8" w:space="0" w:color="000000"/>
              <w:bottom w:val="single" w:sz="8" w:space="0" w:color="000000"/>
              <w:right w:val="single" w:sz="4" w:space="0" w:color="000000"/>
            </w:tcBorders>
            <w:shd w:val="clear" w:color="auto" w:fill="auto"/>
            <w:vAlign w:val="bottom"/>
          </w:tcPr>
          <w:p w14:paraId="000002FE" w14:textId="77777777" w:rsidR="0039297D" w:rsidRDefault="004273CA" w:rsidP="000F15C3">
            <w:pPr>
              <w:spacing w:before="60" w:after="60"/>
              <w:jc w:val="left"/>
              <w:rPr>
                <w:color w:val="000000"/>
                <w:sz w:val="18"/>
                <w:szCs w:val="18"/>
              </w:rPr>
            </w:pPr>
            <w:r>
              <w:rPr>
                <w:color w:val="000000"/>
                <w:sz w:val="18"/>
                <w:szCs w:val="18"/>
              </w:rPr>
              <w:t>Kenya</w:t>
            </w:r>
          </w:p>
        </w:tc>
        <w:tc>
          <w:tcPr>
            <w:tcW w:w="820" w:type="dxa"/>
            <w:tcBorders>
              <w:top w:val="nil"/>
              <w:left w:val="nil"/>
              <w:bottom w:val="single" w:sz="8" w:space="0" w:color="000000"/>
              <w:right w:val="single" w:sz="8" w:space="0" w:color="000000"/>
            </w:tcBorders>
            <w:shd w:val="clear" w:color="auto" w:fill="auto"/>
            <w:tcMar>
              <w:right w:w="113" w:type="dxa"/>
            </w:tcMar>
            <w:vAlign w:val="bottom"/>
          </w:tcPr>
          <w:p w14:paraId="000002FF" w14:textId="77777777" w:rsidR="0039297D" w:rsidRDefault="004273CA" w:rsidP="000F15C3">
            <w:pPr>
              <w:spacing w:before="60" w:after="60"/>
              <w:jc w:val="right"/>
              <w:rPr>
                <w:color w:val="000000"/>
                <w:sz w:val="18"/>
                <w:szCs w:val="18"/>
              </w:rPr>
            </w:pPr>
            <w:r>
              <w:rPr>
                <w:color w:val="000000"/>
                <w:sz w:val="18"/>
                <w:szCs w:val="18"/>
              </w:rPr>
              <w:t>0.59</w:t>
            </w:r>
          </w:p>
        </w:tc>
        <w:tc>
          <w:tcPr>
            <w:tcW w:w="1247" w:type="dxa"/>
            <w:tcBorders>
              <w:top w:val="nil"/>
              <w:left w:val="nil"/>
              <w:bottom w:val="single" w:sz="8" w:space="0" w:color="000000"/>
              <w:right w:val="single" w:sz="4" w:space="0" w:color="000000"/>
            </w:tcBorders>
            <w:shd w:val="clear" w:color="auto" w:fill="auto"/>
            <w:vAlign w:val="bottom"/>
          </w:tcPr>
          <w:p w14:paraId="00000300" w14:textId="77777777" w:rsidR="0039297D" w:rsidRDefault="004273CA" w:rsidP="000F15C3">
            <w:pPr>
              <w:spacing w:before="60" w:after="60"/>
              <w:jc w:val="left"/>
              <w:rPr>
                <w:color w:val="000000"/>
                <w:sz w:val="18"/>
                <w:szCs w:val="18"/>
              </w:rPr>
            </w:pPr>
            <w:r>
              <w:rPr>
                <w:color w:val="000000"/>
                <w:sz w:val="18"/>
                <w:szCs w:val="18"/>
              </w:rPr>
              <w:t>Netherlands</w:t>
            </w:r>
          </w:p>
        </w:tc>
        <w:tc>
          <w:tcPr>
            <w:tcW w:w="800" w:type="dxa"/>
            <w:tcBorders>
              <w:top w:val="nil"/>
              <w:left w:val="nil"/>
              <w:bottom w:val="single" w:sz="8" w:space="0" w:color="000000"/>
              <w:right w:val="single" w:sz="8" w:space="0" w:color="000000"/>
            </w:tcBorders>
            <w:shd w:val="clear" w:color="auto" w:fill="auto"/>
            <w:tcMar>
              <w:right w:w="113" w:type="dxa"/>
            </w:tcMar>
            <w:vAlign w:val="bottom"/>
          </w:tcPr>
          <w:p w14:paraId="00000301" w14:textId="77777777" w:rsidR="0039297D" w:rsidRDefault="004273CA" w:rsidP="000F15C3">
            <w:pPr>
              <w:spacing w:before="60" w:after="60"/>
              <w:jc w:val="right"/>
              <w:rPr>
                <w:color w:val="000000"/>
                <w:sz w:val="18"/>
                <w:szCs w:val="18"/>
              </w:rPr>
            </w:pPr>
            <w:r>
              <w:rPr>
                <w:color w:val="000000"/>
                <w:sz w:val="18"/>
                <w:szCs w:val="18"/>
              </w:rPr>
              <w:t>0.87</w:t>
            </w:r>
          </w:p>
        </w:tc>
        <w:tc>
          <w:tcPr>
            <w:tcW w:w="1247" w:type="dxa"/>
            <w:tcBorders>
              <w:top w:val="nil"/>
              <w:left w:val="nil"/>
              <w:bottom w:val="single" w:sz="8" w:space="0" w:color="000000"/>
              <w:right w:val="single" w:sz="4" w:space="0" w:color="000000"/>
            </w:tcBorders>
            <w:shd w:val="clear" w:color="auto" w:fill="auto"/>
            <w:vAlign w:val="bottom"/>
          </w:tcPr>
          <w:p w14:paraId="00000302" w14:textId="77777777" w:rsidR="0039297D" w:rsidRDefault="004273CA" w:rsidP="000F15C3">
            <w:pPr>
              <w:spacing w:before="60" w:after="60"/>
              <w:jc w:val="left"/>
              <w:rPr>
                <w:color w:val="000000"/>
                <w:sz w:val="18"/>
                <w:szCs w:val="18"/>
              </w:rPr>
            </w:pPr>
            <w:r>
              <w:rPr>
                <w:color w:val="000000"/>
                <w:sz w:val="18"/>
                <w:szCs w:val="18"/>
              </w:rPr>
              <w:t>Malawi</w:t>
            </w:r>
          </w:p>
        </w:tc>
        <w:tc>
          <w:tcPr>
            <w:tcW w:w="860" w:type="dxa"/>
            <w:tcBorders>
              <w:top w:val="nil"/>
              <w:left w:val="nil"/>
              <w:bottom w:val="single" w:sz="8" w:space="0" w:color="000000"/>
              <w:right w:val="single" w:sz="8" w:space="0" w:color="000000"/>
            </w:tcBorders>
            <w:shd w:val="clear" w:color="auto" w:fill="auto"/>
            <w:tcMar>
              <w:right w:w="113" w:type="dxa"/>
            </w:tcMar>
            <w:vAlign w:val="bottom"/>
          </w:tcPr>
          <w:p w14:paraId="00000303" w14:textId="77777777" w:rsidR="0039297D" w:rsidRDefault="004273CA" w:rsidP="000F15C3">
            <w:pPr>
              <w:spacing w:before="60" w:after="60"/>
              <w:jc w:val="right"/>
              <w:rPr>
                <w:color w:val="000000"/>
                <w:sz w:val="18"/>
                <w:szCs w:val="18"/>
              </w:rPr>
            </w:pPr>
            <w:r>
              <w:rPr>
                <w:color w:val="000000"/>
                <w:sz w:val="18"/>
                <w:szCs w:val="18"/>
              </w:rPr>
              <w:t>0.80</w:t>
            </w:r>
          </w:p>
        </w:tc>
        <w:tc>
          <w:tcPr>
            <w:tcW w:w="1247" w:type="dxa"/>
            <w:tcBorders>
              <w:top w:val="nil"/>
              <w:left w:val="nil"/>
              <w:bottom w:val="single" w:sz="8" w:space="0" w:color="000000"/>
              <w:right w:val="single" w:sz="4" w:space="0" w:color="000000"/>
            </w:tcBorders>
            <w:shd w:val="clear" w:color="auto" w:fill="auto"/>
            <w:vAlign w:val="bottom"/>
          </w:tcPr>
          <w:p w14:paraId="00000304" w14:textId="77777777" w:rsidR="0039297D" w:rsidRDefault="004273CA" w:rsidP="000F15C3">
            <w:pPr>
              <w:spacing w:before="60" w:after="60"/>
              <w:jc w:val="left"/>
              <w:rPr>
                <w:color w:val="000000"/>
                <w:sz w:val="18"/>
                <w:szCs w:val="18"/>
              </w:rPr>
            </w:pPr>
            <w:r>
              <w:rPr>
                <w:color w:val="000000"/>
                <w:sz w:val="18"/>
                <w:szCs w:val="18"/>
              </w:rPr>
              <w:t>Switzerland</w:t>
            </w:r>
          </w:p>
        </w:tc>
        <w:tc>
          <w:tcPr>
            <w:tcW w:w="860" w:type="dxa"/>
            <w:tcBorders>
              <w:top w:val="nil"/>
              <w:left w:val="nil"/>
              <w:bottom w:val="single" w:sz="8" w:space="0" w:color="000000"/>
              <w:right w:val="single" w:sz="8" w:space="0" w:color="000000"/>
            </w:tcBorders>
            <w:shd w:val="clear" w:color="auto" w:fill="auto"/>
            <w:tcMar>
              <w:left w:w="108" w:type="dxa"/>
              <w:right w:w="113" w:type="dxa"/>
            </w:tcMar>
            <w:vAlign w:val="bottom"/>
          </w:tcPr>
          <w:p w14:paraId="00000305" w14:textId="77777777" w:rsidR="0039297D" w:rsidRDefault="004273CA" w:rsidP="000F15C3">
            <w:pPr>
              <w:spacing w:before="60" w:after="60"/>
              <w:jc w:val="right"/>
              <w:rPr>
                <w:color w:val="000000"/>
                <w:sz w:val="18"/>
                <w:szCs w:val="18"/>
              </w:rPr>
            </w:pPr>
            <w:r>
              <w:rPr>
                <w:color w:val="000000"/>
                <w:sz w:val="18"/>
                <w:szCs w:val="18"/>
              </w:rPr>
              <w:t>0.93</w:t>
            </w:r>
          </w:p>
        </w:tc>
        <w:tc>
          <w:tcPr>
            <w:tcW w:w="1247" w:type="dxa"/>
            <w:tcBorders>
              <w:top w:val="nil"/>
              <w:left w:val="nil"/>
              <w:bottom w:val="single" w:sz="8" w:space="0" w:color="000000"/>
              <w:right w:val="single" w:sz="4" w:space="0" w:color="000000"/>
            </w:tcBorders>
            <w:shd w:val="clear" w:color="auto" w:fill="auto"/>
            <w:vAlign w:val="bottom"/>
          </w:tcPr>
          <w:p w14:paraId="00000306" w14:textId="77777777" w:rsidR="0039297D" w:rsidRDefault="004273CA" w:rsidP="000F15C3">
            <w:pPr>
              <w:spacing w:before="60" w:after="60"/>
              <w:jc w:val="left"/>
              <w:rPr>
                <w:color w:val="000000"/>
                <w:sz w:val="18"/>
                <w:szCs w:val="18"/>
              </w:rPr>
            </w:pPr>
            <w:r>
              <w:rPr>
                <w:color w:val="000000"/>
                <w:sz w:val="18"/>
                <w:szCs w:val="18"/>
              </w:rPr>
              <w:t>Denmark</w:t>
            </w:r>
          </w:p>
        </w:tc>
        <w:tc>
          <w:tcPr>
            <w:tcW w:w="840" w:type="dxa"/>
            <w:tcBorders>
              <w:top w:val="nil"/>
              <w:left w:val="nil"/>
              <w:bottom w:val="single" w:sz="8" w:space="0" w:color="000000"/>
              <w:right w:val="single" w:sz="8" w:space="0" w:color="000000"/>
            </w:tcBorders>
            <w:shd w:val="clear" w:color="auto" w:fill="auto"/>
            <w:tcMar>
              <w:right w:w="113" w:type="dxa"/>
            </w:tcMar>
            <w:vAlign w:val="bottom"/>
          </w:tcPr>
          <w:p w14:paraId="00000307" w14:textId="77777777" w:rsidR="0039297D" w:rsidRDefault="004273CA" w:rsidP="000F15C3">
            <w:pPr>
              <w:spacing w:before="60" w:after="60"/>
              <w:jc w:val="right"/>
              <w:rPr>
                <w:color w:val="000000"/>
                <w:sz w:val="18"/>
                <w:szCs w:val="18"/>
              </w:rPr>
            </w:pPr>
            <w:r>
              <w:rPr>
                <w:color w:val="000000"/>
                <w:sz w:val="18"/>
                <w:szCs w:val="18"/>
              </w:rPr>
              <w:t>0.74</w:t>
            </w:r>
          </w:p>
        </w:tc>
      </w:tr>
      <w:tr w:rsidR="0039297D" w14:paraId="32A280BB" w14:textId="77777777" w:rsidTr="000F15C3">
        <w:trPr>
          <w:trHeight w:val="300"/>
          <w:jc w:val="center"/>
        </w:trPr>
        <w:tc>
          <w:tcPr>
            <w:tcW w:w="6221" w:type="dxa"/>
            <w:gridSpan w:val="6"/>
            <w:tcBorders>
              <w:top w:val="nil"/>
              <w:left w:val="single" w:sz="8" w:space="0" w:color="000000"/>
              <w:bottom w:val="nil"/>
              <w:right w:val="nil"/>
            </w:tcBorders>
            <w:shd w:val="clear" w:color="auto" w:fill="auto"/>
            <w:tcMar>
              <w:right w:w="113" w:type="dxa"/>
            </w:tcMar>
            <w:vAlign w:val="bottom"/>
          </w:tcPr>
          <w:p w14:paraId="00000308" w14:textId="5B9B6B3E" w:rsidR="0039297D" w:rsidRDefault="004273CA" w:rsidP="000F15C3">
            <w:pPr>
              <w:spacing w:before="60" w:after="60"/>
              <w:jc w:val="right"/>
              <w:rPr>
                <w:b/>
                <w:color w:val="000000"/>
                <w:sz w:val="18"/>
                <w:szCs w:val="18"/>
              </w:rPr>
            </w:pPr>
            <w:r>
              <w:rPr>
                <w:b/>
                <w:color w:val="000000"/>
                <w:sz w:val="18"/>
                <w:szCs w:val="18"/>
              </w:rPr>
              <w:t>South Africa</w:t>
            </w:r>
            <w:r w:rsidR="00792E6B">
              <w:rPr>
                <w:b/>
                <w:color w:val="000000"/>
                <w:sz w:val="18"/>
                <w:szCs w:val="18"/>
              </w:rPr>
              <w:t>’</w:t>
            </w:r>
            <w:r>
              <w:rPr>
                <w:b/>
                <w:color w:val="000000"/>
                <w:sz w:val="18"/>
                <w:szCs w:val="18"/>
              </w:rPr>
              <w:t>s total cultural goods exports in US$ millions</w:t>
            </w:r>
          </w:p>
        </w:tc>
        <w:tc>
          <w:tcPr>
            <w:tcW w:w="1247" w:type="dxa"/>
            <w:tcBorders>
              <w:top w:val="nil"/>
              <w:left w:val="nil"/>
              <w:bottom w:val="nil"/>
              <w:right w:val="nil"/>
            </w:tcBorders>
            <w:shd w:val="clear" w:color="auto" w:fill="auto"/>
            <w:vAlign w:val="bottom"/>
          </w:tcPr>
          <w:p w14:paraId="0000030E" w14:textId="77777777" w:rsidR="0039297D" w:rsidRDefault="0039297D" w:rsidP="000F15C3">
            <w:pPr>
              <w:spacing w:before="60" w:after="60"/>
              <w:jc w:val="left"/>
              <w:rPr>
                <w:b/>
                <w:color w:val="000000"/>
                <w:sz w:val="18"/>
                <w:szCs w:val="18"/>
              </w:rPr>
            </w:pPr>
          </w:p>
        </w:tc>
        <w:tc>
          <w:tcPr>
            <w:tcW w:w="860" w:type="dxa"/>
            <w:tcBorders>
              <w:top w:val="nil"/>
              <w:left w:val="nil"/>
              <w:bottom w:val="nil"/>
              <w:right w:val="nil"/>
            </w:tcBorders>
            <w:shd w:val="clear" w:color="auto" w:fill="auto"/>
            <w:tcMar>
              <w:left w:w="108" w:type="dxa"/>
              <w:right w:w="113" w:type="dxa"/>
            </w:tcMar>
            <w:vAlign w:val="bottom"/>
          </w:tcPr>
          <w:p w14:paraId="0000030F" w14:textId="77777777" w:rsidR="0039297D" w:rsidRDefault="0039297D" w:rsidP="000F15C3">
            <w:pPr>
              <w:spacing w:before="60" w:after="60"/>
              <w:jc w:val="right"/>
              <w:rPr>
                <w:rFonts w:ascii="Times New Roman" w:eastAsia="Times New Roman" w:hAnsi="Times New Roman" w:cs="Times New Roman"/>
              </w:rPr>
            </w:pPr>
          </w:p>
        </w:tc>
        <w:tc>
          <w:tcPr>
            <w:tcW w:w="1247" w:type="dxa"/>
            <w:tcBorders>
              <w:top w:val="nil"/>
              <w:left w:val="nil"/>
              <w:bottom w:val="nil"/>
              <w:right w:val="nil"/>
            </w:tcBorders>
            <w:shd w:val="clear" w:color="auto" w:fill="auto"/>
            <w:vAlign w:val="bottom"/>
          </w:tcPr>
          <w:p w14:paraId="00000310" w14:textId="77777777" w:rsidR="0039297D" w:rsidRDefault="0039297D" w:rsidP="000F15C3">
            <w:pPr>
              <w:spacing w:before="60" w:after="60"/>
              <w:jc w:val="center"/>
              <w:rPr>
                <w:rFonts w:ascii="Times New Roman" w:eastAsia="Times New Roman" w:hAnsi="Times New Roman" w:cs="Times New Roman"/>
              </w:rPr>
            </w:pPr>
          </w:p>
        </w:tc>
        <w:tc>
          <w:tcPr>
            <w:tcW w:w="840" w:type="dxa"/>
            <w:tcBorders>
              <w:top w:val="nil"/>
              <w:left w:val="nil"/>
              <w:bottom w:val="nil"/>
              <w:right w:val="single" w:sz="8" w:space="0" w:color="000000"/>
            </w:tcBorders>
            <w:shd w:val="clear" w:color="auto" w:fill="auto"/>
            <w:tcMar>
              <w:right w:w="113" w:type="dxa"/>
            </w:tcMar>
            <w:vAlign w:val="bottom"/>
          </w:tcPr>
          <w:p w14:paraId="00000311" w14:textId="77777777" w:rsidR="0039297D" w:rsidRDefault="004273CA" w:rsidP="000F15C3">
            <w:pPr>
              <w:spacing w:before="60" w:after="60"/>
              <w:jc w:val="right"/>
              <w:rPr>
                <w:color w:val="000000"/>
                <w:sz w:val="18"/>
                <w:szCs w:val="18"/>
              </w:rPr>
            </w:pPr>
            <w:r>
              <w:rPr>
                <w:color w:val="000000"/>
                <w:sz w:val="18"/>
                <w:szCs w:val="18"/>
              </w:rPr>
              <w:t> </w:t>
            </w:r>
          </w:p>
        </w:tc>
      </w:tr>
      <w:tr w:rsidR="0039297D" w14:paraId="1F314254" w14:textId="77777777" w:rsidTr="000F15C3">
        <w:trPr>
          <w:trHeight w:val="300"/>
          <w:jc w:val="center"/>
        </w:trPr>
        <w:tc>
          <w:tcPr>
            <w:tcW w:w="1247" w:type="dxa"/>
            <w:tcBorders>
              <w:top w:val="single" w:sz="8" w:space="0" w:color="000000"/>
              <w:left w:val="single" w:sz="8" w:space="0" w:color="000000"/>
              <w:bottom w:val="single" w:sz="8" w:space="0" w:color="000000"/>
              <w:right w:val="single" w:sz="4" w:space="0" w:color="000000"/>
            </w:tcBorders>
            <w:shd w:val="clear" w:color="auto" w:fill="auto"/>
            <w:vAlign w:val="bottom"/>
          </w:tcPr>
          <w:p w14:paraId="00000312" w14:textId="77777777" w:rsidR="0039297D" w:rsidRDefault="004273CA" w:rsidP="000F15C3">
            <w:pPr>
              <w:spacing w:before="60" w:after="60"/>
              <w:jc w:val="left"/>
              <w:rPr>
                <w:color w:val="000000"/>
                <w:sz w:val="18"/>
                <w:szCs w:val="18"/>
              </w:rPr>
            </w:pPr>
            <w:r>
              <w:rPr>
                <w:color w:val="000000"/>
                <w:sz w:val="18"/>
                <w:szCs w:val="18"/>
              </w:rPr>
              <w:t>World</w:t>
            </w:r>
          </w:p>
        </w:tc>
        <w:tc>
          <w:tcPr>
            <w:tcW w:w="820" w:type="dxa"/>
            <w:tcBorders>
              <w:top w:val="single" w:sz="8" w:space="0" w:color="000000"/>
              <w:left w:val="nil"/>
              <w:bottom w:val="single" w:sz="8" w:space="0" w:color="000000"/>
              <w:right w:val="single" w:sz="8" w:space="0" w:color="000000"/>
            </w:tcBorders>
            <w:shd w:val="clear" w:color="auto" w:fill="auto"/>
            <w:tcMar>
              <w:right w:w="113" w:type="dxa"/>
            </w:tcMar>
            <w:vAlign w:val="bottom"/>
          </w:tcPr>
          <w:p w14:paraId="00000313" w14:textId="77777777" w:rsidR="0039297D" w:rsidRDefault="004273CA" w:rsidP="000F15C3">
            <w:pPr>
              <w:spacing w:before="60" w:after="60"/>
              <w:jc w:val="right"/>
              <w:rPr>
                <w:color w:val="000000"/>
                <w:sz w:val="18"/>
                <w:szCs w:val="18"/>
              </w:rPr>
            </w:pPr>
            <w:r>
              <w:rPr>
                <w:color w:val="000000"/>
                <w:sz w:val="18"/>
                <w:szCs w:val="18"/>
              </w:rPr>
              <w:t>112.59</w:t>
            </w:r>
          </w:p>
        </w:tc>
        <w:tc>
          <w:tcPr>
            <w:tcW w:w="1247" w:type="dxa"/>
            <w:tcBorders>
              <w:top w:val="single" w:sz="8" w:space="0" w:color="000000"/>
              <w:left w:val="nil"/>
              <w:bottom w:val="single" w:sz="8" w:space="0" w:color="000000"/>
              <w:right w:val="single" w:sz="4" w:space="0" w:color="000000"/>
            </w:tcBorders>
            <w:shd w:val="clear" w:color="auto" w:fill="auto"/>
            <w:vAlign w:val="bottom"/>
          </w:tcPr>
          <w:p w14:paraId="00000314" w14:textId="77777777" w:rsidR="0039297D" w:rsidRDefault="004273CA" w:rsidP="000F15C3">
            <w:pPr>
              <w:spacing w:before="60" w:after="60"/>
              <w:jc w:val="left"/>
              <w:rPr>
                <w:color w:val="000000"/>
                <w:sz w:val="18"/>
                <w:szCs w:val="18"/>
              </w:rPr>
            </w:pPr>
            <w:r>
              <w:rPr>
                <w:color w:val="000000"/>
                <w:sz w:val="18"/>
                <w:szCs w:val="18"/>
              </w:rPr>
              <w:t> World</w:t>
            </w:r>
          </w:p>
        </w:tc>
        <w:tc>
          <w:tcPr>
            <w:tcW w:w="800" w:type="dxa"/>
            <w:tcBorders>
              <w:top w:val="single" w:sz="8" w:space="0" w:color="000000"/>
              <w:left w:val="nil"/>
              <w:bottom w:val="single" w:sz="8" w:space="0" w:color="000000"/>
              <w:right w:val="single" w:sz="8" w:space="0" w:color="000000"/>
            </w:tcBorders>
            <w:shd w:val="clear" w:color="auto" w:fill="auto"/>
            <w:tcMar>
              <w:right w:w="113" w:type="dxa"/>
            </w:tcMar>
            <w:vAlign w:val="bottom"/>
          </w:tcPr>
          <w:p w14:paraId="00000315" w14:textId="77777777" w:rsidR="0039297D" w:rsidRDefault="004273CA" w:rsidP="000F15C3">
            <w:pPr>
              <w:spacing w:before="60" w:after="60"/>
              <w:jc w:val="right"/>
              <w:rPr>
                <w:color w:val="000000"/>
                <w:sz w:val="18"/>
                <w:szCs w:val="18"/>
              </w:rPr>
            </w:pPr>
            <w:r>
              <w:rPr>
                <w:color w:val="000000"/>
                <w:sz w:val="18"/>
                <w:szCs w:val="18"/>
              </w:rPr>
              <w:t>248.41</w:t>
            </w:r>
          </w:p>
        </w:tc>
        <w:tc>
          <w:tcPr>
            <w:tcW w:w="1247" w:type="dxa"/>
            <w:tcBorders>
              <w:top w:val="single" w:sz="8" w:space="0" w:color="000000"/>
              <w:left w:val="nil"/>
              <w:bottom w:val="single" w:sz="8" w:space="0" w:color="000000"/>
              <w:right w:val="single" w:sz="4" w:space="0" w:color="000000"/>
            </w:tcBorders>
            <w:shd w:val="clear" w:color="auto" w:fill="auto"/>
            <w:vAlign w:val="bottom"/>
          </w:tcPr>
          <w:p w14:paraId="00000316" w14:textId="77777777" w:rsidR="0039297D" w:rsidRDefault="004273CA" w:rsidP="000F15C3">
            <w:pPr>
              <w:spacing w:before="60" w:after="60"/>
              <w:jc w:val="left"/>
              <w:rPr>
                <w:color w:val="000000"/>
                <w:sz w:val="18"/>
                <w:szCs w:val="18"/>
              </w:rPr>
            </w:pPr>
            <w:r>
              <w:rPr>
                <w:color w:val="000000"/>
                <w:sz w:val="18"/>
                <w:szCs w:val="18"/>
              </w:rPr>
              <w:t>World</w:t>
            </w:r>
          </w:p>
        </w:tc>
        <w:tc>
          <w:tcPr>
            <w:tcW w:w="860" w:type="dxa"/>
            <w:tcBorders>
              <w:top w:val="single" w:sz="8" w:space="0" w:color="000000"/>
              <w:left w:val="nil"/>
              <w:bottom w:val="single" w:sz="8" w:space="0" w:color="000000"/>
              <w:right w:val="single" w:sz="8" w:space="0" w:color="000000"/>
            </w:tcBorders>
            <w:shd w:val="clear" w:color="auto" w:fill="auto"/>
            <w:tcMar>
              <w:right w:w="113" w:type="dxa"/>
            </w:tcMar>
            <w:vAlign w:val="bottom"/>
          </w:tcPr>
          <w:p w14:paraId="00000317" w14:textId="77777777" w:rsidR="0039297D" w:rsidRDefault="004273CA" w:rsidP="000F15C3">
            <w:pPr>
              <w:spacing w:before="60" w:after="60"/>
              <w:jc w:val="right"/>
              <w:rPr>
                <w:color w:val="000000"/>
                <w:sz w:val="18"/>
                <w:szCs w:val="18"/>
              </w:rPr>
            </w:pPr>
            <w:r>
              <w:rPr>
                <w:color w:val="000000"/>
                <w:sz w:val="18"/>
                <w:szCs w:val="18"/>
              </w:rPr>
              <w:t>448.86</w:t>
            </w:r>
          </w:p>
        </w:tc>
        <w:tc>
          <w:tcPr>
            <w:tcW w:w="1247" w:type="dxa"/>
            <w:tcBorders>
              <w:top w:val="single" w:sz="8" w:space="0" w:color="000000"/>
              <w:left w:val="nil"/>
              <w:bottom w:val="single" w:sz="8" w:space="0" w:color="000000"/>
              <w:right w:val="single" w:sz="4" w:space="0" w:color="000000"/>
            </w:tcBorders>
            <w:shd w:val="clear" w:color="auto" w:fill="auto"/>
            <w:vAlign w:val="bottom"/>
          </w:tcPr>
          <w:p w14:paraId="00000318" w14:textId="77777777" w:rsidR="0039297D" w:rsidRDefault="004273CA" w:rsidP="000F15C3">
            <w:pPr>
              <w:spacing w:before="60" w:after="60"/>
              <w:jc w:val="left"/>
              <w:rPr>
                <w:color w:val="000000"/>
                <w:sz w:val="18"/>
                <w:szCs w:val="18"/>
              </w:rPr>
            </w:pPr>
            <w:r>
              <w:rPr>
                <w:color w:val="000000"/>
                <w:sz w:val="18"/>
                <w:szCs w:val="18"/>
              </w:rPr>
              <w:t>World</w:t>
            </w:r>
          </w:p>
        </w:tc>
        <w:tc>
          <w:tcPr>
            <w:tcW w:w="860" w:type="dxa"/>
            <w:tcBorders>
              <w:top w:val="single" w:sz="8" w:space="0" w:color="000000"/>
              <w:left w:val="nil"/>
              <w:bottom w:val="single" w:sz="8" w:space="0" w:color="000000"/>
              <w:right w:val="single" w:sz="8" w:space="0" w:color="000000"/>
            </w:tcBorders>
            <w:shd w:val="clear" w:color="auto" w:fill="auto"/>
            <w:tcMar>
              <w:left w:w="108" w:type="dxa"/>
              <w:right w:w="113" w:type="dxa"/>
            </w:tcMar>
            <w:vAlign w:val="bottom"/>
          </w:tcPr>
          <w:p w14:paraId="00000319" w14:textId="77777777" w:rsidR="0039297D" w:rsidRDefault="004273CA" w:rsidP="000F15C3">
            <w:pPr>
              <w:spacing w:before="60" w:after="60"/>
              <w:jc w:val="right"/>
              <w:rPr>
                <w:color w:val="000000"/>
                <w:sz w:val="18"/>
                <w:szCs w:val="18"/>
              </w:rPr>
            </w:pPr>
            <w:r>
              <w:rPr>
                <w:color w:val="000000"/>
                <w:sz w:val="18"/>
                <w:szCs w:val="18"/>
              </w:rPr>
              <w:t>381.96</w:t>
            </w:r>
          </w:p>
        </w:tc>
        <w:tc>
          <w:tcPr>
            <w:tcW w:w="1247" w:type="dxa"/>
            <w:tcBorders>
              <w:top w:val="single" w:sz="8" w:space="0" w:color="000000"/>
              <w:left w:val="nil"/>
              <w:bottom w:val="single" w:sz="8" w:space="0" w:color="000000"/>
              <w:right w:val="single" w:sz="4" w:space="0" w:color="000000"/>
            </w:tcBorders>
            <w:shd w:val="clear" w:color="auto" w:fill="auto"/>
            <w:vAlign w:val="bottom"/>
          </w:tcPr>
          <w:p w14:paraId="0000031A" w14:textId="77777777" w:rsidR="0039297D" w:rsidRDefault="004273CA" w:rsidP="000F15C3">
            <w:pPr>
              <w:spacing w:before="60" w:after="60"/>
              <w:jc w:val="left"/>
              <w:rPr>
                <w:color w:val="000000"/>
                <w:sz w:val="18"/>
                <w:szCs w:val="18"/>
              </w:rPr>
            </w:pPr>
            <w:r>
              <w:rPr>
                <w:color w:val="000000"/>
                <w:sz w:val="18"/>
                <w:szCs w:val="18"/>
              </w:rPr>
              <w:t>World</w:t>
            </w:r>
          </w:p>
        </w:tc>
        <w:tc>
          <w:tcPr>
            <w:tcW w:w="840" w:type="dxa"/>
            <w:tcBorders>
              <w:top w:val="single" w:sz="8" w:space="0" w:color="000000"/>
              <w:left w:val="nil"/>
              <w:bottom w:val="single" w:sz="8" w:space="0" w:color="000000"/>
              <w:right w:val="single" w:sz="8" w:space="0" w:color="000000"/>
            </w:tcBorders>
            <w:shd w:val="clear" w:color="auto" w:fill="auto"/>
            <w:tcMar>
              <w:right w:w="113" w:type="dxa"/>
            </w:tcMar>
            <w:vAlign w:val="bottom"/>
          </w:tcPr>
          <w:p w14:paraId="0000031B" w14:textId="77777777" w:rsidR="0039297D" w:rsidRDefault="004273CA" w:rsidP="000F15C3">
            <w:pPr>
              <w:spacing w:before="60" w:after="60"/>
              <w:jc w:val="right"/>
              <w:rPr>
                <w:color w:val="000000"/>
                <w:sz w:val="18"/>
                <w:szCs w:val="18"/>
              </w:rPr>
            </w:pPr>
            <w:r>
              <w:rPr>
                <w:color w:val="000000"/>
                <w:sz w:val="18"/>
                <w:szCs w:val="18"/>
              </w:rPr>
              <w:t>316.46</w:t>
            </w:r>
          </w:p>
        </w:tc>
      </w:tr>
    </w:tbl>
    <w:p w14:paraId="0000031C" w14:textId="77777777" w:rsidR="0039297D" w:rsidRDefault="0039297D" w:rsidP="000F15C3">
      <w:pPr>
        <w:pBdr>
          <w:top w:val="nil"/>
          <w:left w:val="nil"/>
          <w:bottom w:val="nil"/>
          <w:right w:val="nil"/>
          <w:between w:val="nil"/>
        </w:pBdr>
        <w:spacing w:before="60" w:after="60"/>
        <w:rPr>
          <w:i/>
          <w:color w:val="44546A"/>
          <w:sz w:val="18"/>
          <w:szCs w:val="18"/>
        </w:rPr>
      </w:pPr>
    </w:p>
    <w:p w14:paraId="0000031D" w14:textId="3AF9DEAA" w:rsidR="0039297D" w:rsidRPr="000F15C3" w:rsidRDefault="004273CA">
      <w:pPr>
        <w:pBdr>
          <w:top w:val="nil"/>
          <w:left w:val="nil"/>
          <w:bottom w:val="nil"/>
          <w:right w:val="nil"/>
          <w:between w:val="nil"/>
        </w:pBdr>
        <w:spacing w:after="200"/>
        <w:rPr>
          <w:iCs/>
          <w:sz w:val="24"/>
          <w:szCs w:val="24"/>
        </w:rPr>
      </w:pPr>
      <w:r w:rsidRPr="000F15C3">
        <w:rPr>
          <w:iCs/>
        </w:rPr>
        <w:t>Source: Authors’ computations based on data from ITC, 2021</w:t>
      </w:r>
    </w:p>
    <w:p w14:paraId="0000031E" w14:textId="0EEB65E5" w:rsidR="0039297D" w:rsidRDefault="004273CA" w:rsidP="000F15C3">
      <w:pPr>
        <w:spacing w:line="259" w:lineRule="auto"/>
        <w:rPr>
          <w:sz w:val="22"/>
          <w:szCs w:val="22"/>
        </w:rPr>
      </w:pPr>
      <w:r>
        <w:rPr>
          <w:sz w:val="22"/>
          <w:szCs w:val="22"/>
        </w:rPr>
        <w:t>As Table 9 below indicates, South Africa’s cultural goods imports were mainly sourced from the same three countries for the years included in the table, namely China, the UK and the US.</w:t>
      </w:r>
      <w:r w:rsidR="007E16E4">
        <w:rPr>
          <w:sz w:val="22"/>
          <w:szCs w:val="22"/>
        </w:rPr>
        <w:t xml:space="preserve"> </w:t>
      </w:r>
      <w:r>
        <w:rPr>
          <w:sz w:val="22"/>
          <w:szCs w:val="22"/>
        </w:rPr>
        <w:t>China was initially the fourth largest source of cultural goods imports in 2002, with a share of 6.17%.</w:t>
      </w:r>
      <w:r w:rsidR="007E16E4">
        <w:rPr>
          <w:sz w:val="22"/>
          <w:szCs w:val="22"/>
        </w:rPr>
        <w:t xml:space="preserve"> </w:t>
      </w:r>
      <w:r>
        <w:rPr>
          <w:sz w:val="22"/>
          <w:szCs w:val="22"/>
        </w:rPr>
        <w:t>It subsequently became the main source of imports, with shares of 23.60% of South Africa’s cultural imports in 2010, 36.41% in 2018 and 40.71% in 2020.</w:t>
      </w:r>
      <w:r w:rsidR="007E16E4">
        <w:rPr>
          <w:sz w:val="22"/>
          <w:szCs w:val="22"/>
        </w:rPr>
        <w:t xml:space="preserve"> </w:t>
      </w:r>
      <w:r>
        <w:rPr>
          <w:sz w:val="22"/>
          <w:szCs w:val="22"/>
        </w:rPr>
        <w:t>Although the UK was the primary source of cultural goods imports into South Africa in 2002 with a share of 29.11%, it has since held second place after China for the years depicted in Table 9.</w:t>
      </w:r>
      <w:r w:rsidR="007E16E4">
        <w:rPr>
          <w:sz w:val="22"/>
          <w:szCs w:val="22"/>
        </w:rPr>
        <w:t xml:space="preserve"> </w:t>
      </w:r>
      <w:r>
        <w:rPr>
          <w:sz w:val="22"/>
          <w:szCs w:val="22"/>
        </w:rPr>
        <w:t>In recent years (i.e. since 2018), China’s share of South Africa’s cultural goods imports has increased, while the UK’s share has remained fairly steady.</w:t>
      </w:r>
      <w:r w:rsidR="007E16E4">
        <w:rPr>
          <w:sz w:val="22"/>
          <w:szCs w:val="22"/>
        </w:rPr>
        <w:t xml:space="preserve"> </w:t>
      </w:r>
      <w:r>
        <w:rPr>
          <w:sz w:val="22"/>
          <w:szCs w:val="22"/>
        </w:rPr>
        <w:t>After being the second most important source of cultural goods imports in 2002, with a share of 16.27%, the US was ranked third after the UK and China for the remaining years displayed in the table.</w:t>
      </w:r>
    </w:p>
    <w:p w14:paraId="0000031F" w14:textId="58B405AB" w:rsidR="0039297D" w:rsidRDefault="004273CA" w:rsidP="000F15C3">
      <w:pPr>
        <w:spacing w:line="259" w:lineRule="auto"/>
        <w:rPr>
          <w:sz w:val="22"/>
          <w:szCs w:val="22"/>
        </w:rPr>
      </w:pPr>
      <w:r>
        <w:rPr>
          <w:sz w:val="22"/>
          <w:szCs w:val="22"/>
        </w:rPr>
        <w:t>Other important countries from Europe on the import side included Italy, Germany and, to a lesser extent, France and Ireland.</w:t>
      </w:r>
      <w:r w:rsidR="007E16E4">
        <w:rPr>
          <w:sz w:val="22"/>
          <w:szCs w:val="22"/>
        </w:rPr>
        <w:t xml:space="preserve"> </w:t>
      </w:r>
      <w:r>
        <w:rPr>
          <w:sz w:val="22"/>
          <w:szCs w:val="22"/>
        </w:rPr>
        <w:t>From the African continent, eSwatini was a notable source of imports, being ranked in the top ten for 2010, 2018 and 2019 and eleventh in 2020.</w:t>
      </w:r>
      <w:r w:rsidR="007E16E4">
        <w:rPr>
          <w:sz w:val="22"/>
          <w:szCs w:val="22"/>
        </w:rPr>
        <w:t xml:space="preserve"> </w:t>
      </w:r>
      <w:r>
        <w:rPr>
          <w:sz w:val="22"/>
          <w:szCs w:val="22"/>
        </w:rPr>
        <w:t>Apart from eSwatini, only Botswana and, in 2010, Mauritius, appeared in the top twenty partner countries for South Africa’s cultural goods imports.</w:t>
      </w:r>
      <w:r w:rsidR="007E16E4">
        <w:rPr>
          <w:sz w:val="22"/>
          <w:szCs w:val="22"/>
        </w:rPr>
        <w:t xml:space="preserve"> </w:t>
      </w:r>
      <w:r>
        <w:rPr>
          <w:sz w:val="22"/>
          <w:szCs w:val="22"/>
        </w:rPr>
        <w:t xml:space="preserve">It is perhaps surprising that South Africa does not obtain more cultural goods imports from the African continent. While trade with SADC </w:t>
      </w:r>
      <w:r>
        <w:rPr>
          <w:sz w:val="22"/>
          <w:szCs w:val="22"/>
        </w:rPr>
        <w:lastRenderedPageBreak/>
        <w:t>is already duty-free under the SADC FTA, it is possible that imports from the rest of the continent may increase once the African Continental FTA begins trading in earnest.</w:t>
      </w:r>
    </w:p>
    <w:p w14:paraId="00000320" w14:textId="0B491E02" w:rsidR="0039297D" w:rsidRDefault="004273CA" w:rsidP="000F15C3">
      <w:pPr>
        <w:spacing w:line="259" w:lineRule="auto"/>
        <w:rPr>
          <w:sz w:val="22"/>
          <w:szCs w:val="22"/>
        </w:rPr>
      </w:pPr>
      <w:r>
        <w:rPr>
          <w:sz w:val="22"/>
          <w:szCs w:val="22"/>
        </w:rPr>
        <w:t>By contrast with the case of export markets, there are significant partnerships on the import side with Asian countries. Most prominent among these in more recent periods (apart from China) were Japan, Chinese Taipei, India, Hong Kong, Thailand, Malaysia, Indonesia and South Korea.</w:t>
      </w:r>
      <w:r w:rsidR="007E16E4">
        <w:rPr>
          <w:sz w:val="22"/>
          <w:szCs w:val="22"/>
        </w:rPr>
        <w:t xml:space="preserve"> </w:t>
      </w:r>
      <w:r>
        <w:rPr>
          <w:sz w:val="22"/>
          <w:szCs w:val="22"/>
        </w:rPr>
        <w:t>India’s ranking rose from 14</w:t>
      </w:r>
      <w:r>
        <w:rPr>
          <w:sz w:val="22"/>
          <w:szCs w:val="22"/>
          <w:vertAlign w:val="superscript"/>
        </w:rPr>
        <w:t>th</w:t>
      </w:r>
      <w:r>
        <w:rPr>
          <w:sz w:val="22"/>
          <w:szCs w:val="22"/>
        </w:rPr>
        <w:t xml:space="preserve"> in 2002 with a share of 1.34% of South Africa’s cultural goods imports to seventh in 2010 (2.90%), sixth in 2018 (2.93%) and fifth in 2019 (2.94%), returning to sixth in 2020 but with a higher share of 3.17%.</w:t>
      </w:r>
      <w:r w:rsidR="007E16E4">
        <w:rPr>
          <w:sz w:val="22"/>
          <w:szCs w:val="22"/>
        </w:rPr>
        <w:t xml:space="preserve"> </w:t>
      </w:r>
      <w:r>
        <w:rPr>
          <w:sz w:val="22"/>
          <w:szCs w:val="22"/>
        </w:rPr>
        <w:t>Chinese Taipei and Japan have also largely been in the top ten sources of cultural goods imports to South Africa from Asia.</w:t>
      </w:r>
      <w:r w:rsidR="007E16E4">
        <w:rPr>
          <w:sz w:val="22"/>
          <w:szCs w:val="22"/>
        </w:rPr>
        <w:t xml:space="preserve"> </w:t>
      </w:r>
      <w:r>
        <w:rPr>
          <w:sz w:val="22"/>
          <w:szCs w:val="22"/>
        </w:rPr>
        <w:t>It is notable that no Latin American countries appear in the top twenty partnerships for South Africa’s cultural goods trade on either the import or the export side.</w:t>
      </w:r>
    </w:p>
    <w:p w14:paraId="00000322" w14:textId="1EDFFF4B" w:rsidR="0039297D" w:rsidRPr="000F15C3" w:rsidRDefault="004273CA">
      <w:pPr>
        <w:pBdr>
          <w:top w:val="nil"/>
          <w:left w:val="nil"/>
          <w:bottom w:val="nil"/>
          <w:right w:val="nil"/>
          <w:between w:val="nil"/>
        </w:pBdr>
        <w:spacing w:after="200"/>
        <w:rPr>
          <w:i/>
          <w:color w:val="44546A"/>
          <w:sz w:val="24"/>
          <w:szCs w:val="24"/>
        </w:rPr>
      </w:pPr>
      <w:r w:rsidRPr="000F15C3">
        <w:rPr>
          <w:i/>
          <w:color w:val="44546A"/>
        </w:rPr>
        <w:t>Table 9: Percentage share of top twenty partners in South Africa</w:t>
      </w:r>
      <w:r w:rsidR="00792E6B" w:rsidRPr="000F15C3">
        <w:rPr>
          <w:i/>
          <w:color w:val="44546A"/>
        </w:rPr>
        <w:t>’</w:t>
      </w:r>
      <w:r w:rsidRPr="000F15C3">
        <w:rPr>
          <w:i/>
          <w:color w:val="44546A"/>
        </w:rPr>
        <w:t>s cultural goods imports, selected years</w:t>
      </w:r>
    </w:p>
    <w:tbl>
      <w:tblPr>
        <w:tblStyle w:val="a7"/>
        <w:tblW w:w="10773" w:type="dxa"/>
        <w:jc w:val="center"/>
        <w:tblLayout w:type="fixed"/>
        <w:tblLook w:val="0400" w:firstRow="0" w:lastRow="0" w:firstColumn="0" w:lastColumn="0" w:noHBand="0" w:noVBand="1"/>
      </w:tblPr>
      <w:tblGrid>
        <w:gridCol w:w="1364"/>
        <w:gridCol w:w="772"/>
        <w:gridCol w:w="1400"/>
        <w:gridCol w:w="786"/>
        <w:gridCol w:w="1344"/>
        <w:gridCol w:w="786"/>
        <w:gridCol w:w="1364"/>
        <w:gridCol w:w="772"/>
        <w:gridCol w:w="1344"/>
        <w:gridCol w:w="841"/>
      </w:tblGrid>
      <w:tr w:rsidR="00A42A79" w14:paraId="3FCA536D" w14:textId="77777777" w:rsidTr="00366ED5">
        <w:trPr>
          <w:trHeight w:val="300"/>
          <w:jc w:val="center"/>
        </w:trPr>
        <w:tc>
          <w:tcPr>
            <w:tcW w:w="1446" w:type="dxa"/>
            <w:tcBorders>
              <w:top w:val="single" w:sz="8" w:space="0" w:color="000000"/>
              <w:left w:val="single" w:sz="8" w:space="0" w:color="000000"/>
              <w:bottom w:val="single" w:sz="8" w:space="0" w:color="000000"/>
              <w:right w:val="nil"/>
            </w:tcBorders>
            <w:shd w:val="clear" w:color="auto" w:fill="auto"/>
            <w:vAlign w:val="bottom"/>
          </w:tcPr>
          <w:p w14:paraId="00000323" w14:textId="77777777" w:rsidR="0039297D" w:rsidRDefault="004273CA">
            <w:pPr>
              <w:spacing w:after="0"/>
              <w:jc w:val="right"/>
              <w:rPr>
                <w:b/>
                <w:color w:val="000000"/>
                <w:sz w:val="18"/>
                <w:szCs w:val="18"/>
              </w:rPr>
            </w:pPr>
            <w:r>
              <w:rPr>
                <w:b/>
                <w:color w:val="000000"/>
                <w:sz w:val="18"/>
                <w:szCs w:val="18"/>
              </w:rPr>
              <w:t>2002</w:t>
            </w:r>
          </w:p>
        </w:tc>
        <w:tc>
          <w:tcPr>
            <w:tcW w:w="810" w:type="dxa"/>
            <w:tcBorders>
              <w:top w:val="single" w:sz="8" w:space="0" w:color="000000"/>
              <w:left w:val="nil"/>
              <w:bottom w:val="single" w:sz="8" w:space="0" w:color="000000"/>
              <w:right w:val="single" w:sz="8" w:space="0" w:color="000000"/>
            </w:tcBorders>
            <w:shd w:val="clear" w:color="auto" w:fill="auto"/>
            <w:vAlign w:val="bottom"/>
          </w:tcPr>
          <w:p w14:paraId="00000324" w14:textId="77777777" w:rsidR="0039297D" w:rsidRDefault="004273CA">
            <w:pPr>
              <w:spacing w:after="0"/>
              <w:jc w:val="center"/>
              <w:rPr>
                <w:b/>
                <w:color w:val="000000"/>
                <w:sz w:val="18"/>
                <w:szCs w:val="18"/>
              </w:rPr>
            </w:pPr>
            <w:r>
              <w:rPr>
                <w:b/>
                <w:color w:val="000000"/>
                <w:sz w:val="18"/>
                <w:szCs w:val="18"/>
              </w:rPr>
              <w:t> </w:t>
            </w:r>
          </w:p>
        </w:tc>
        <w:tc>
          <w:tcPr>
            <w:tcW w:w="1485" w:type="dxa"/>
            <w:tcBorders>
              <w:top w:val="single" w:sz="8" w:space="0" w:color="000000"/>
              <w:left w:val="nil"/>
              <w:bottom w:val="single" w:sz="8" w:space="0" w:color="000000"/>
              <w:right w:val="nil"/>
            </w:tcBorders>
            <w:shd w:val="clear" w:color="auto" w:fill="auto"/>
            <w:vAlign w:val="bottom"/>
          </w:tcPr>
          <w:p w14:paraId="00000325" w14:textId="77777777" w:rsidR="0039297D" w:rsidRDefault="004273CA">
            <w:pPr>
              <w:spacing w:after="0"/>
              <w:jc w:val="right"/>
              <w:rPr>
                <w:b/>
                <w:color w:val="000000"/>
                <w:sz w:val="18"/>
                <w:szCs w:val="18"/>
              </w:rPr>
            </w:pPr>
            <w:r>
              <w:rPr>
                <w:b/>
                <w:color w:val="000000"/>
                <w:sz w:val="18"/>
                <w:szCs w:val="18"/>
              </w:rPr>
              <w:t>2010</w:t>
            </w:r>
          </w:p>
        </w:tc>
        <w:tc>
          <w:tcPr>
            <w:tcW w:w="825" w:type="dxa"/>
            <w:tcBorders>
              <w:top w:val="single" w:sz="8" w:space="0" w:color="000000"/>
              <w:left w:val="nil"/>
              <w:bottom w:val="single" w:sz="8" w:space="0" w:color="000000"/>
              <w:right w:val="single" w:sz="8" w:space="0" w:color="000000"/>
            </w:tcBorders>
            <w:shd w:val="clear" w:color="auto" w:fill="auto"/>
            <w:vAlign w:val="bottom"/>
          </w:tcPr>
          <w:p w14:paraId="00000326" w14:textId="77777777" w:rsidR="0039297D" w:rsidRDefault="004273CA">
            <w:pPr>
              <w:spacing w:after="0"/>
              <w:jc w:val="center"/>
              <w:rPr>
                <w:b/>
                <w:color w:val="000000"/>
                <w:sz w:val="18"/>
                <w:szCs w:val="18"/>
              </w:rPr>
            </w:pPr>
            <w:r>
              <w:rPr>
                <w:b/>
                <w:color w:val="000000"/>
                <w:sz w:val="18"/>
                <w:szCs w:val="18"/>
              </w:rPr>
              <w:t> </w:t>
            </w:r>
          </w:p>
        </w:tc>
        <w:tc>
          <w:tcPr>
            <w:tcW w:w="1425" w:type="dxa"/>
            <w:tcBorders>
              <w:top w:val="single" w:sz="8" w:space="0" w:color="000000"/>
              <w:left w:val="nil"/>
              <w:bottom w:val="single" w:sz="8" w:space="0" w:color="000000"/>
              <w:right w:val="nil"/>
            </w:tcBorders>
            <w:shd w:val="clear" w:color="auto" w:fill="auto"/>
            <w:vAlign w:val="bottom"/>
          </w:tcPr>
          <w:p w14:paraId="00000327" w14:textId="77777777" w:rsidR="0039297D" w:rsidRDefault="004273CA">
            <w:pPr>
              <w:spacing w:after="0"/>
              <w:jc w:val="right"/>
              <w:rPr>
                <w:b/>
                <w:color w:val="000000"/>
                <w:sz w:val="18"/>
                <w:szCs w:val="18"/>
              </w:rPr>
            </w:pPr>
            <w:r>
              <w:rPr>
                <w:b/>
                <w:color w:val="000000"/>
                <w:sz w:val="18"/>
                <w:szCs w:val="18"/>
              </w:rPr>
              <w:t>2018</w:t>
            </w:r>
          </w:p>
        </w:tc>
        <w:tc>
          <w:tcPr>
            <w:tcW w:w="825" w:type="dxa"/>
            <w:tcBorders>
              <w:top w:val="single" w:sz="8" w:space="0" w:color="000000"/>
              <w:left w:val="nil"/>
              <w:bottom w:val="single" w:sz="8" w:space="0" w:color="000000"/>
              <w:right w:val="single" w:sz="8" w:space="0" w:color="000000"/>
            </w:tcBorders>
            <w:shd w:val="clear" w:color="auto" w:fill="auto"/>
            <w:vAlign w:val="bottom"/>
          </w:tcPr>
          <w:p w14:paraId="00000328" w14:textId="77777777" w:rsidR="0039297D" w:rsidRDefault="004273CA">
            <w:pPr>
              <w:spacing w:after="0"/>
              <w:jc w:val="center"/>
              <w:rPr>
                <w:b/>
                <w:color w:val="000000"/>
                <w:sz w:val="18"/>
                <w:szCs w:val="18"/>
              </w:rPr>
            </w:pPr>
            <w:r>
              <w:rPr>
                <w:b/>
                <w:color w:val="000000"/>
                <w:sz w:val="18"/>
                <w:szCs w:val="18"/>
              </w:rPr>
              <w:t> </w:t>
            </w:r>
          </w:p>
        </w:tc>
        <w:tc>
          <w:tcPr>
            <w:tcW w:w="1425" w:type="dxa"/>
            <w:tcBorders>
              <w:top w:val="single" w:sz="8" w:space="0" w:color="000000"/>
              <w:left w:val="nil"/>
              <w:bottom w:val="single" w:sz="8" w:space="0" w:color="000000"/>
              <w:right w:val="nil"/>
            </w:tcBorders>
            <w:shd w:val="clear" w:color="auto" w:fill="auto"/>
            <w:vAlign w:val="bottom"/>
          </w:tcPr>
          <w:p w14:paraId="00000329" w14:textId="77777777" w:rsidR="0039297D" w:rsidRDefault="004273CA">
            <w:pPr>
              <w:spacing w:after="0"/>
              <w:jc w:val="right"/>
              <w:rPr>
                <w:b/>
                <w:color w:val="000000"/>
                <w:sz w:val="18"/>
                <w:szCs w:val="18"/>
              </w:rPr>
            </w:pPr>
            <w:r>
              <w:rPr>
                <w:b/>
                <w:color w:val="000000"/>
                <w:sz w:val="18"/>
                <w:szCs w:val="18"/>
              </w:rPr>
              <w:t>2019</w:t>
            </w:r>
          </w:p>
        </w:tc>
        <w:tc>
          <w:tcPr>
            <w:tcW w:w="810" w:type="dxa"/>
            <w:tcBorders>
              <w:top w:val="single" w:sz="8" w:space="0" w:color="000000"/>
              <w:left w:val="nil"/>
              <w:bottom w:val="single" w:sz="8" w:space="0" w:color="000000"/>
              <w:right w:val="single" w:sz="8" w:space="0" w:color="000000"/>
            </w:tcBorders>
            <w:shd w:val="clear" w:color="auto" w:fill="auto"/>
            <w:vAlign w:val="bottom"/>
          </w:tcPr>
          <w:p w14:paraId="0000032A" w14:textId="77777777" w:rsidR="0039297D" w:rsidRDefault="004273CA">
            <w:pPr>
              <w:spacing w:after="0"/>
              <w:jc w:val="center"/>
              <w:rPr>
                <w:b/>
                <w:color w:val="000000"/>
                <w:sz w:val="18"/>
                <w:szCs w:val="18"/>
              </w:rPr>
            </w:pPr>
            <w:r>
              <w:rPr>
                <w:b/>
                <w:color w:val="000000"/>
                <w:sz w:val="18"/>
                <w:szCs w:val="18"/>
              </w:rPr>
              <w:t> </w:t>
            </w:r>
          </w:p>
        </w:tc>
        <w:tc>
          <w:tcPr>
            <w:tcW w:w="1425" w:type="dxa"/>
            <w:tcBorders>
              <w:top w:val="single" w:sz="8" w:space="0" w:color="000000"/>
              <w:left w:val="nil"/>
              <w:bottom w:val="single" w:sz="8" w:space="0" w:color="000000"/>
              <w:right w:val="nil"/>
            </w:tcBorders>
            <w:shd w:val="clear" w:color="auto" w:fill="auto"/>
            <w:vAlign w:val="bottom"/>
          </w:tcPr>
          <w:p w14:paraId="0000032B" w14:textId="77777777" w:rsidR="0039297D" w:rsidRDefault="004273CA">
            <w:pPr>
              <w:spacing w:after="0"/>
              <w:jc w:val="right"/>
              <w:rPr>
                <w:b/>
                <w:color w:val="000000"/>
                <w:sz w:val="18"/>
                <w:szCs w:val="18"/>
              </w:rPr>
            </w:pPr>
            <w:r>
              <w:rPr>
                <w:b/>
                <w:color w:val="000000"/>
                <w:sz w:val="18"/>
                <w:szCs w:val="18"/>
              </w:rPr>
              <w:t>2020</w:t>
            </w:r>
          </w:p>
        </w:tc>
        <w:tc>
          <w:tcPr>
            <w:tcW w:w="885" w:type="dxa"/>
            <w:tcBorders>
              <w:top w:val="single" w:sz="8" w:space="0" w:color="000000"/>
              <w:left w:val="nil"/>
              <w:bottom w:val="single" w:sz="8" w:space="0" w:color="000000"/>
              <w:right w:val="single" w:sz="8" w:space="0" w:color="000000"/>
            </w:tcBorders>
            <w:shd w:val="clear" w:color="auto" w:fill="auto"/>
            <w:vAlign w:val="bottom"/>
          </w:tcPr>
          <w:p w14:paraId="0000032C" w14:textId="77777777" w:rsidR="0039297D" w:rsidRDefault="004273CA">
            <w:pPr>
              <w:spacing w:after="0"/>
              <w:jc w:val="center"/>
              <w:rPr>
                <w:color w:val="000000"/>
                <w:sz w:val="18"/>
                <w:szCs w:val="18"/>
              </w:rPr>
            </w:pPr>
            <w:r>
              <w:rPr>
                <w:color w:val="000000"/>
                <w:sz w:val="18"/>
                <w:szCs w:val="18"/>
              </w:rPr>
              <w:t> </w:t>
            </w:r>
          </w:p>
        </w:tc>
      </w:tr>
      <w:tr w:rsidR="00764BD4" w14:paraId="4FEF5E4E"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2D" w14:textId="77777777" w:rsidR="0039297D" w:rsidRDefault="004273CA">
            <w:pPr>
              <w:spacing w:after="0"/>
              <w:jc w:val="left"/>
              <w:rPr>
                <w:color w:val="000000"/>
                <w:sz w:val="18"/>
                <w:szCs w:val="18"/>
              </w:rPr>
            </w:pPr>
            <w:r>
              <w:rPr>
                <w:color w:val="000000"/>
                <w:sz w:val="18"/>
                <w:szCs w:val="18"/>
              </w:rPr>
              <w:t>UK</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2E" w14:textId="77777777" w:rsidR="0039297D" w:rsidRDefault="004273CA" w:rsidP="000F15C3">
            <w:pPr>
              <w:spacing w:after="0"/>
              <w:jc w:val="right"/>
              <w:rPr>
                <w:color w:val="000000"/>
                <w:sz w:val="18"/>
                <w:szCs w:val="18"/>
              </w:rPr>
            </w:pPr>
            <w:r>
              <w:rPr>
                <w:color w:val="000000"/>
                <w:sz w:val="18"/>
                <w:szCs w:val="18"/>
              </w:rPr>
              <w:t>29.11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2F" w14:textId="77777777" w:rsidR="0039297D" w:rsidRDefault="004273CA">
            <w:pPr>
              <w:spacing w:after="0"/>
              <w:jc w:val="left"/>
              <w:rPr>
                <w:color w:val="000000"/>
                <w:sz w:val="18"/>
                <w:szCs w:val="18"/>
              </w:rPr>
            </w:pPr>
            <w:r>
              <w:rPr>
                <w:color w:val="000000"/>
                <w:sz w:val="18"/>
                <w:szCs w:val="18"/>
              </w:rPr>
              <w:t>China</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30" w14:textId="77777777" w:rsidR="0039297D" w:rsidRDefault="004273CA" w:rsidP="000F15C3">
            <w:pPr>
              <w:spacing w:after="0"/>
              <w:jc w:val="right"/>
              <w:rPr>
                <w:color w:val="000000"/>
                <w:sz w:val="18"/>
                <w:szCs w:val="18"/>
              </w:rPr>
            </w:pPr>
            <w:r>
              <w:rPr>
                <w:color w:val="000000"/>
                <w:sz w:val="18"/>
                <w:szCs w:val="18"/>
              </w:rPr>
              <w:t>23.60</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31" w14:textId="77777777" w:rsidR="0039297D" w:rsidRDefault="004273CA">
            <w:pPr>
              <w:spacing w:after="0"/>
              <w:jc w:val="left"/>
              <w:rPr>
                <w:color w:val="000000"/>
                <w:sz w:val="18"/>
                <w:szCs w:val="18"/>
              </w:rPr>
            </w:pPr>
            <w:r>
              <w:rPr>
                <w:color w:val="000000"/>
                <w:sz w:val="18"/>
                <w:szCs w:val="18"/>
              </w:rPr>
              <w:t>China</w:t>
            </w:r>
          </w:p>
        </w:tc>
        <w:tc>
          <w:tcPr>
            <w:tcW w:w="825" w:type="dxa"/>
            <w:tcBorders>
              <w:top w:val="nil"/>
              <w:left w:val="nil"/>
              <w:bottom w:val="single" w:sz="4" w:space="0" w:color="000000"/>
              <w:right w:val="single" w:sz="8" w:space="0" w:color="000000"/>
            </w:tcBorders>
            <w:shd w:val="clear" w:color="auto" w:fill="auto"/>
            <w:vAlign w:val="bottom"/>
          </w:tcPr>
          <w:p w14:paraId="00000332" w14:textId="77777777" w:rsidR="0039297D" w:rsidRDefault="004273CA" w:rsidP="000F15C3">
            <w:pPr>
              <w:spacing w:after="0"/>
              <w:jc w:val="right"/>
              <w:rPr>
                <w:color w:val="000000"/>
                <w:sz w:val="18"/>
                <w:szCs w:val="18"/>
              </w:rPr>
            </w:pPr>
            <w:r>
              <w:rPr>
                <w:color w:val="000000"/>
                <w:sz w:val="18"/>
                <w:szCs w:val="18"/>
              </w:rPr>
              <w:t>36.41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33" w14:textId="77777777" w:rsidR="0039297D" w:rsidRDefault="004273CA">
            <w:pPr>
              <w:spacing w:after="0"/>
              <w:jc w:val="left"/>
              <w:rPr>
                <w:color w:val="000000"/>
                <w:sz w:val="18"/>
                <w:szCs w:val="18"/>
              </w:rPr>
            </w:pPr>
            <w:r>
              <w:rPr>
                <w:color w:val="000000"/>
                <w:sz w:val="18"/>
                <w:szCs w:val="18"/>
              </w:rPr>
              <w:t>China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34" w14:textId="77777777" w:rsidR="0039297D" w:rsidRDefault="004273CA" w:rsidP="000F15C3">
            <w:pPr>
              <w:spacing w:after="0"/>
              <w:jc w:val="right"/>
              <w:rPr>
                <w:color w:val="000000"/>
                <w:sz w:val="18"/>
                <w:szCs w:val="18"/>
              </w:rPr>
            </w:pPr>
            <w:r>
              <w:rPr>
                <w:color w:val="000000"/>
                <w:sz w:val="18"/>
                <w:szCs w:val="18"/>
              </w:rPr>
              <w:t>36.59</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35" w14:textId="77777777" w:rsidR="0039297D" w:rsidRDefault="004273CA">
            <w:pPr>
              <w:spacing w:after="0"/>
              <w:jc w:val="left"/>
              <w:rPr>
                <w:color w:val="000000"/>
                <w:sz w:val="18"/>
                <w:szCs w:val="18"/>
              </w:rPr>
            </w:pPr>
            <w:r>
              <w:rPr>
                <w:color w:val="000000"/>
                <w:sz w:val="18"/>
                <w:szCs w:val="18"/>
              </w:rPr>
              <w:t>China</w:t>
            </w:r>
          </w:p>
        </w:tc>
        <w:tc>
          <w:tcPr>
            <w:tcW w:w="885" w:type="dxa"/>
            <w:tcBorders>
              <w:top w:val="nil"/>
              <w:left w:val="nil"/>
              <w:bottom w:val="single" w:sz="4" w:space="0" w:color="000000"/>
              <w:right w:val="single" w:sz="8" w:space="0" w:color="000000"/>
            </w:tcBorders>
            <w:shd w:val="clear" w:color="auto" w:fill="auto"/>
            <w:vAlign w:val="bottom"/>
          </w:tcPr>
          <w:p w14:paraId="00000336" w14:textId="77777777" w:rsidR="0039297D" w:rsidRDefault="004273CA" w:rsidP="000F15C3">
            <w:pPr>
              <w:spacing w:after="0"/>
              <w:jc w:val="right"/>
              <w:rPr>
                <w:color w:val="000000"/>
                <w:sz w:val="18"/>
                <w:szCs w:val="18"/>
              </w:rPr>
            </w:pPr>
            <w:r>
              <w:rPr>
                <w:color w:val="000000"/>
                <w:sz w:val="18"/>
                <w:szCs w:val="18"/>
              </w:rPr>
              <w:t>40.71</w:t>
            </w:r>
          </w:p>
        </w:tc>
      </w:tr>
      <w:tr w:rsidR="00764BD4" w14:paraId="2D01AAC8"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37" w14:textId="77777777" w:rsidR="0039297D" w:rsidRDefault="004273CA">
            <w:pPr>
              <w:spacing w:after="0"/>
              <w:jc w:val="left"/>
              <w:rPr>
                <w:color w:val="000000"/>
                <w:sz w:val="18"/>
                <w:szCs w:val="18"/>
              </w:rPr>
            </w:pPr>
            <w:r>
              <w:rPr>
                <w:color w:val="000000"/>
                <w:sz w:val="18"/>
                <w:szCs w:val="18"/>
              </w:rPr>
              <w:t>USA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38" w14:textId="77777777" w:rsidR="0039297D" w:rsidRDefault="004273CA" w:rsidP="000F15C3">
            <w:pPr>
              <w:spacing w:after="0"/>
              <w:jc w:val="right"/>
              <w:rPr>
                <w:color w:val="000000"/>
                <w:sz w:val="18"/>
                <w:szCs w:val="18"/>
              </w:rPr>
            </w:pPr>
            <w:r>
              <w:rPr>
                <w:color w:val="000000"/>
                <w:sz w:val="18"/>
                <w:szCs w:val="18"/>
              </w:rPr>
              <w:t>16.27</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39" w14:textId="77777777" w:rsidR="0039297D" w:rsidRDefault="004273CA">
            <w:pPr>
              <w:spacing w:after="0"/>
              <w:jc w:val="left"/>
              <w:rPr>
                <w:color w:val="000000"/>
                <w:sz w:val="18"/>
                <w:szCs w:val="18"/>
              </w:rPr>
            </w:pPr>
            <w:r>
              <w:rPr>
                <w:color w:val="000000"/>
                <w:sz w:val="18"/>
                <w:szCs w:val="18"/>
              </w:rPr>
              <w:t>UK</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3A" w14:textId="77777777" w:rsidR="0039297D" w:rsidRDefault="004273CA" w:rsidP="000F15C3">
            <w:pPr>
              <w:spacing w:after="0"/>
              <w:jc w:val="right"/>
              <w:rPr>
                <w:color w:val="000000"/>
                <w:sz w:val="18"/>
                <w:szCs w:val="18"/>
              </w:rPr>
            </w:pPr>
            <w:r>
              <w:rPr>
                <w:color w:val="000000"/>
                <w:sz w:val="18"/>
                <w:szCs w:val="18"/>
              </w:rPr>
              <w:t>20.60</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3B" w14:textId="77777777" w:rsidR="0039297D" w:rsidRDefault="004273CA">
            <w:pPr>
              <w:spacing w:after="0"/>
              <w:jc w:val="left"/>
              <w:rPr>
                <w:color w:val="000000"/>
                <w:sz w:val="18"/>
                <w:szCs w:val="18"/>
              </w:rPr>
            </w:pPr>
            <w:r>
              <w:rPr>
                <w:color w:val="000000"/>
                <w:sz w:val="18"/>
                <w:szCs w:val="18"/>
              </w:rPr>
              <w:t>UK</w:t>
            </w:r>
          </w:p>
        </w:tc>
        <w:tc>
          <w:tcPr>
            <w:tcW w:w="825" w:type="dxa"/>
            <w:tcBorders>
              <w:top w:val="nil"/>
              <w:left w:val="nil"/>
              <w:bottom w:val="single" w:sz="4" w:space="0" w:color="000000"/>
              <w:right w:val="single" w:sz="8" w:space="0" w:color="000000"/>
            </w:tcBorders>
            <w:shd w:val="clear" w:color="auto" w:fill="auto"/>
            <w:vAlign w:val="bottom"/>
          </w:tcPr>
          <w:p w14:paraId="0000033C" w14:textId="77777777" w:rsidR="0039297D" w:rsidRDefault="004273CA" w:rsidP="000F15C3">
            <w:pPr>
              <w:spacing w:after="0"/>
              <w:jc w:val="right"/>
              <w:rPr>
                <w:color w:val="000000"/>
                <w:sz w:val="18"/>
                <w:szCs w:val="18"/>
              </w:rPr>
            </w:pPr>
            <w:r>
              <w:rPr>
                <w:color w:val="000000"/>
                <w:sz w:val="18"/>
                <w:szCs w:val="18"/>
              </w:rPr>
              <w:t>11.87</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3D" w14:textId="77777777" w:rsidR="0039297D" w:rsidRDefault="004273CA">
            <w:pPr>
              <w:spacing w:after="0"/>
              <w:jc w:val="left"/>
              <w:rPr>
                <w:color w:val="000000"/>
                <w:sz w:val="18"/>
                <w:szCs w:val="18"/>
              </w:rPr>
            </w:pPr>
            <w:r>
              <w:rPr>
                <w:color w:val="000000"/>
                <w:sz w:val="18"/>
                <w:szCs w:val="18"/>
              </w:rPr>
              <w:t>UK</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3E" w14:textId="77777777" w:rsidR="0039297D" w:rsidRDefault="004273CA" w:rsidP="000F15C3">
            <w:pPr>
              <w:spacing w:after="0"/>
              <w:jc w:val="right"/>
              <w:rPr>
                <w:color w:val="000000"/>
                <w:sz w:val="18"/>
                <w:szCs w:val="18"/>
              </w:rPr>
            </w:pPr>
            <w:r>
              <w:rPr>
                <w:color w:val="000000"/>
                <w:sz w:val="18"/>
                <w:szCs w:val="18"/>
              </w:rPr>
              <w:t>13.74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3F" w14:textId="77777777" w:rsidR="0039297D" w:rsidRDefault="004273CA">
            <w:pPr>
              <w:spacing w:after="0"/>
              <w:jc w:val="left"/>
              <w:rPr>
                <w:color w:val="000000"/>
                <w:sz w:val="18"/>
                <w:szCs w:val="18"/>
              </w:rPr>
            </w:pPr>
            <w:r>
              <w:rPr>
                <w:color w:val="000000"/>
                <w:sz w:val="18"/>
                <w:szCs w:val="18"/>
              </w:rPr>
              <w:t>UK</w:t>
            </w:r>
          </w:p>
        </w:tc>
        <w:tc>
          <w:tcPr>
            <w:tcW w:w="885" w:type="dxa"/>
            <w:tcBorders>
              <w:top w:val="nil"/>
              <w:left w:val="nil"/>
              <w:bottom w:val="single" w:sz="4" w:space="0" w:color="000000"/>
              <w:right w:val="single" w:sz="8" w:space="0" w:color="000000"/>
            </w:tcBorders>
            <w:shd w:val="clear" w:color="auto" w:fill="auto"/>
            <w:vAlign w:val="bottom"/>
          </w:tcPr>
          <w:p w14:paraId="00000340" w14:textId="77777777" w:rsidR="0039297D" w:rsidRDefault="004273CA" w:rsidP="000F15C3">
            <w:pPr>
              <w:spacing w:after="0"/>
              <w:jc w:val="right"/>
              <w:rPr>
                <w:color w:val="000000"/>
                <w:sz w:val="18"/>
                <w:szCs w:val="18"/>
              </w:rPr>
            </w:pPr>
            <w:r>
              <w:rPr>
                <w:color w:val="000000"/>
                <w:sz w:val="18"/>
                <w:szCs w:val="18"/>
              </w:rPr>
              <w:t>12.86</w:t>
            </w:r>
          </w:p>
        </w:tc>
      </w:tr>
      <w:tr w:rsidR="00764BD4" w14:paraId="34018955"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41" w14:textId="77777777" w:rsidR="0039297D" w:rsidRDefault="004273CA">
            <w:pPr>
              <w:spacing w:after="0"/>
              <w:jc w:val="left"/>
              <w:rPr>
                <w:color w:val="000000"/>
                <w:sz w:val="18"/>
                <w:szCs w:val="18"/>
              </w:rPr>
            </w:pPr>
            <w:r>
              <w:rPr>
                <w:color w:val="000000"/>
                <w:sz w:val="18"/>
                <w:szCs w:val="18"/>
              </w:rPr>
              <w:t>France</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42" w14:textId="77777777" w:rsidR="0039297D" w:rsidRDefault="004273CA" w:rsidP="000F15C3">
            <w:pPr>
              <w:spacing w:after="0"/>
              <w:jc w:val="right"/>
              <w:rPr>
                <w:color w:val="000000"/>
                <w:sz w:val="18"/>
                <w:szCs w:val="18"/>
              </w:rPr>
            </w:pPr>
            <w:r>
              <w:rPr>
                <w:color w:val="000000"/>
                <w:sz w:val="18"/>
                <w:szCs w:val="18"/>
              </w:rPr>
              <w:t>11.50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43" w14:textId="77777777" w:rsidR="0039297D" w:rsidRDefault="004273CA">
            <w:pPr>
              <w:spacing w:after="0"/>
              <w:jc w:val="left"/>
              <w:rPr>
                <w:color w:val="000000"/>
                <w:sz w:val="18"/>
                <w:szCs w:val="18"/>
              </w:rPr>
            </w:pPr>
            <w:r>
              <w:rPr>
                <w:color w:val="000000"/>
                <w:sz w:val="18"/>
                <w:szCs w:val="18"/>
              </w:rPr>
              <w:t>USA</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44" w14:textId="77777777" w:rsidR="0039297D" w:rsidRDefault="004273CA" w:rsidP="000F15C3">
            <w:pPr>
              <w:spacing w:after="0"/>
              <w:jc w:val="right"/>
              <w:rPr>
                <w:color w:val="000000"/>
                <w:sz w:val="18"/>
                <w:szCs w:val="18"/>
              </w:rPr>
            </w:pPr>
            <w:r>
              <w:rPr>
                <w:color w:val="000000"/>
                <w:sz w:val="18"/>
                <w:szCs w:val="18"/>
              </w:rPr>
              <w:t>11.31</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45" w14:textId="77777777" w:rsidR="0039297D" w:rsidRDefault="004273CA">
            <w:pPr>
              <w:spacing w:after="0"/>
              <w:jc w:val="left"/>
              <w:rPr>
                <w:color w:val="000000"/>
                <w:sz w:val="18"/>
                <w:szCs w:val="18"/>
              </w:rPr>
            </w:pPr>
            <w:r>
              <w:rPr>
                <w:color w:val="000000"/>
                <w:sz w:val="18"/>
                <w:szCs w:val="18"/>
              </w:rPr>
              <w:t>USA</w:t>
            </w:r>
          </w:p>
        </w:tc>
        <w:tc>
          <w:tcPr>
            <w:tcW w:w="825" w:type="dxa"/>
            <w:tcBorders>
              <w:top w:val="nil"/>
              <w:left w:val="nil"/>
              <w:bottom w:val="single" w:sz="4" w:space="0" w:color="000000"/>
              <w:right w:val="single" w:sz="8" w:space="0" w:color="000000"/>
            </w:tcBorders>
            <w:shd w:val="clear" w:color="auto" w:fill="auto"/>
            <w:vAlign w:val="bottom"/>
          </w:tcPr>
          <w:p w14:paraId="00000346" w14:textId="77777777" w:rsidR="0039297D" w:rsidRDefault="004273CA" w:rsidP="000F15C3">
            <w:pPr>
              <w:spacing w:after="0"/>
              <w:jc w:val="right"/>
              <w:rPr>
                <w:color w:val="000000"/>
                <w:sz w:val="18"/>
                <w:szCs w:val="18"/>
              </w:rPr>
            </w:pPr>
            <w:r>
              <w:rPr>
                <w:color w:val="000000"/>
                <w:sz w:val="18"/>
                <w:szCs w:val="18"/>
              </w:rPr>
              <w:t>8.04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47" w14:textId="77777777" w:rsidR="0039297D" w:rsidRDefault="004273CA">
            <w:pPr>
              <w:spacing w:after="0"/>
              <w:jc w:val="left"/>
              <w:rPr>
                <w:color w:val="000000"/>
                <w:sz w:val="18"/>
                <w:szCs w:val="18"/>
              </w:rPr>
            </w:pPr>
            <w:r>
              <w:rPr>
                <w:color w:val="000000"/>
                <w:sz w:val="18"/>
                <w:szCs w:val="18"/>
              </w:rPr>
              <w:t>USA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48" w14:textId="77777777" w:rsidR="0039297D" w:rsidRDefault="004273CA" w:rsidP="000F15C3">
            <w:pPr>
              <w:spacing w:after="0"/>
              <w:jc w:val="right"/>
              <w:rPr>
                <w:color w:val="000000"/>
                <w:sz w:val="18"/>
                <w:szCs w:val="18"/>
              </w:rPr>
            </w:pPr>
            <w:r>
              <w:rPr>
                <w:color w:val="000000"/>
                <w:sz w:val="18"/>
                <w:szCs w:val="18"/>
              </w:rPr>
              <w:t>8.55</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49" w14:textId="77777777" w:rsidR="0039297D" w:rsidRDefault="004273CA">
            <w:pPr>
              <w:spacing w:after="0"/>
              <w:jc w:val="left"/>
              <w:rPr>
                <w:color w:val="000000"/>
                <w:sz w:val="18"/>
                <w:szCs w:val="18"/>
              </w:rPr>
            </w:pPr>
            <w:r>
              <w:rPr>
                <w:color w:val="000000"/>
                <w:sz w:val="18"/>
                <w:szCs w:val="18"/>
              </w:rPr>
              <w:t>USA</w:t>
            </w:r>
          </w:p>
        </w:tc>
        <w:tc>
          <w:tcPr>
            <w:tcW w:w="885" w:type="dxa"/>
            <w:tcBorders>
              <w:top w:val="nil"/>
              <w:left w:val="nil"/>
              <w:bottom w:val="single" w:sz="4" w:space="0" w:color="000000"/>
              <w:right w:val="single" w:sz="8" w:space="0" w:color="000000"/>
            </w:tcBorders>
            <w:shd w:val="clear" w:color="auto" w:fill="auto"/>
            <w:vAlign w:val="bottom"/>
          </w:tcPr>
          <w:p w14:paraId="0000034A" w14:textId="77777777" w:rsidR="0039297D" w:rsidRDefault="004273CA" w:rsidP="000F15C3">
            <w:pPr>
              <w:spacing w:after="0"/>
              <w:jc w:val="right"/>
              <w:rPr>
                <w:color w:val="000000"/>
                <w:sz w:val="18"/>
                <w:szCs w:val="18"/>
              </w:rPr>
            </w:pPr>
            <w:r>
              <w:rPr>
                <w:color w:val="000000"/>
                <w:sz w:val="18"/>
                <w:szCs w:val="18"/>
              </w:rPr>
              <w:t>9.16</w:t>
            </w:r>
          </w:p>
        </w:tc>
      </w:tr>
      <w:tr w:rsidR="00764BD4" w14:paraId="39FE5114"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4B" w14:textId="77777777" w:rsidR="0039297D" w:rsidRDefault="004273CA">
            <w:pPr>
              <w:spacing w:after="0"/>
              <w:jc w:val="left"/>
              <w:rPr>
                <w:color w:val="000000"/>
                <w:sz w:val="18"/>
                <w:szCs w:val="18"/>
              </w:rPr>
            </w:pPr>
            <w:r>
              <w:rPr>
                <w:color w:val="000000"/>
                <w:sz w:val="18"/>
                <w:szCs w:val="18"/>
              </w:rPr>
              <w:t>China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4C" w14:textId="77777777" w:rsidR="0039297D" w:rsidRDefault="004273CA" w:rsidP="000F15C3">
            <w:pPr>
              <w:spacing w:after="0"/>
              <w:jc w:val="right"/>
              <w:rPr>
                <w:color w:val="000000"/>
                <w:sz w:val="18"/>
                <w:szCs w:val="18"/>
              </w:rPr>
            </w:pPr>
            <w:r>
              <w:rPr>
                <w:color w:val="000000"/>
                <w:sz w:val="18"/>
                <w:szCs w:val="18"/>
              </w:rPr>
              <w:t>6.17</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4D" w14:textId="77777777" w:rsidR="0039297D" w:rsidRDefault="004273CA">
            <w:pPr>
              <w:spacing w:after="0"/>
              <w:jc w:val="left"/>
              <w:rPr>
                <w:color w:val="000000"/>
                <w:sz w:val="18"/>
                <w:szCs w:val="18"/>
              </w:rPr>
            </w:pPr>
            <w:r>
              <w:rPr>
                <w:color w:val="000000"/>
                <w:sz w:val="18"/>
                <w:szCs w:val="18"/>
              </w:rPr>
              <w:t>Ireland</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4E" w14:textId="77777777" w:rsidR="0039297D" w:rsidRDefault="004273CA" w:rsidP="000F15C3">
            <w:pPr>
              <w:spacing w:after="0"/>
              <w:jc w:val="right"/>
              <w:rPr>
                <w:color w:val="000000"/>
                <w:sz w:val="18"/>
                <w:szCs w:val="18"/>
              </w:rPr>
            </w:pPr>
            <w:r>
              <w:rPr>
                <w:color w:val="000000"/>
                <w:sz w:val="18"/>
                <w:szCs w:val="18"/>
              </w:rPr>
              <w:t>4.62</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4F" w14:textId="77777777" w:rsidR="0039297D" w:rsidRDefault="004273CA">
            <w:pPr>
              <w:spacing w:after="0"/>
              <w:jc w:val="left"/>
              <w:rPr>
                <w:color w:val="000000"/>
                <w:sz w:val="18"/>
                <w:szCs w:val="18"/>
              </w:rPr>
            </w:pPr>
            <w:r>
              <w:rPr>
                <w:color w:val="000000"/>
                <w:sz w:val="18"/>
                <w:szCs w:val="18"/>
              </w:rPr>
              <w:t>Italy</w:t>
            </w:r>
          </w:p>
        </w:tc>
        <w:tc>
          <w:tcPr>
            <w:tcW w:w="825" w:type="dxa"/>
            <w:tcBorders>
              <w:top w:val="nil"/>
              <w:left w:val="nil"/>
              <w:bottom w:val="single" w:sz="4" w:space="0" w:color="000000"/>
              <w:right w:val="single" w:sz="8" w:space="0" w:color="000000"/>
            </w:tcBorders>
            <w:shd w:val="clear" w:color="auto" w:fill="auto"/>
            <w:vAlign w:val="bottom"/>
          </w:tcPr>
          <w:p w14:paraId="00000350" w14:textId="77777777" w:rsidR="0039297D" w:rsidRDefault="004273CA" w:rsidP="000F15C3">
            <w:pPr>
              <w:spacing w:after="0"/>
              <w:jc w:val="right"/>
              <w:rPr>
                <w:color w:val="000000"/>
                <w:sz w:val="18"/>
                <w:szCs w:val="18"/>
              </w:rPr>
            </w:pPr>
            <w:r>
              <w:rPr>
                <w:color w:val="000000"/>
                <w:sz w:val="18"/>
                <w:szCs w:val="18"/>
              </w:rPr>
              <w:t>3.34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51" w14:textId="77777777" w:rsidR="0039297D" w:rsidRDefault="004273CA">
            <w:pPr>
              <w:spacing w:after="0"/>
              <w:jc w:val="left"/>
              <w:rPr>
                <w:color w:val="000000"/>
                <w:sz w:val="18"/>
                <w:szCs w:val="18"/>
              </w:rPr>
            </w:pPr>
            <w:r>
              <w:rPr>
                <w:color w:val="000000"/>
                <w:sz w:val="18"/>
                <w:szCs w:val="18"/>
              </w:rPr>
              <w:t>Italy</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52" w14:textId="77777777" w:rsidR="0039297D" w:rsidRDefault="004273CA" w:rsidP="000F15C3">
            <w:pPr>
              <w:spacing w:after="0"/>
              <w:jc w:val="right"/>
              <w:rPr>
                <w:color w:val="000000"/>
                <w:sz w:val="18"/>
                <w:szCs w:val="18"/>
              </w:rPr>
            </w:pPr>
            <w:r>
              <w:rPr>
                <w:color w:val="000000"/>
                <w:sz w:val="18"/>
                <w:szCs w:val="18"/>
              </w:rPr>
              <w:t>4.09</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53" w14:textId="77777777" w:rsidR="0039297D" w:rsidRDefault="004273CA">
            <w:pPr>
              <w:spacing w:after="0"/>
              <w:jc w:val="left"/>
              <w:rPr>
                <w:color w:val="000000"/>
                <w:sz w:val="18"/>
                <w:szCs w:val="18"/>
              </w:rPr>
            </w:pPr>
            <w:r>
              <w:rPr>
                <w:color w:val="000000"/>
                <w:sz w:val="18"/>
                <w:szCs w:val="18"/>
              </w:rPr>
              <w:t>Italy</w:t>
            </w:r>
          </w:p>
        </w:tc>
        <w:tc>
          <w:tcPr>
            <w:tcW w:w="885" w:type="dxa"/>
            <w:tcBorders>
              <w:top w:val="nil"/>
              <w:left w:val="nil"/>
              <w:bottom w:val="single" w:sz="4" w:space="0" w:color="000000"/>
              <w:right w:val="single" w:sz="8" w:space="0" w:color="000000"/>
            </w:tcBorders>
            <w:shd w:val="clear" w:color="auto" w:fill="auto"/>
            <w:vAlign w:val="bottom"/>
          </w:tcPr>
          <w:p w14:paraId="00000354" w14:textId="77777777" w:rsidR="0039297D" w:rsidRDefault="004273CA" w:rsidP="000F15C3">
            <w:pPr>
              <w:spacing w:after="0"/>
              <w:jc w:val="right"/>
              <w:rPr>
                <w:color w:val="000000"/>
                <w:sz w:val="18"/>
                <w:szCs w:val="18"/>
              </w:rPr>
            </w:pPr>
            <w:r>
              <w:rPr>
                <w:color w:val="000000"/>
                <w:sz w:val="18"/>
                <w:szCs w:val="18"/>
              </w:rPr>
              <w:t>3.88</w:t>
            </w:r>
          </w:p>
        </w:tc>
      </w:tr>
      <w:tr w:rsidR="00764BD4" w14:paraId="6C7945E1"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55" w14:textId="77777777" w:rsidR="0039297D" w:rsidRDefault="004273CA">
            <w:pPr>
              <w:spacing w:after="0"/>
              <w:jc w:val="left"/>
              <w:rPr>
                <w:color w:val="000000"/>
                <w:sz w:val="18"/>
                <w:szCs w:val="18"/>
              </w:rPr>
            </w:pPr>
            <w:r>
              <w:rPr>
                <w:color w:val="000000"/>
                <w:sz w:val="18"/>
                <w:szCs w:val="18"/>
              </w:rPr>
              <w:t>Italy</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56" w14:textId="77777777" w:rsidR="0039297D" w:rsidRDefault="004273CA" w:rsidP="000F15C3">
            <w:pPr>
              <w:spacing w:after="0"/>
              <w:jc w:val="right"/>
              <w:rPr>
                <w:color w:val="000000"/>
                <w:sz w:val="18"/>
                <w:szCs w:val="18"/>
              </w:rPr>
            </w:pPr>
            <w:r>
              <w:rPr>
                <w:color w:val="000000"/>
                <w:sz w:val="18"/>
                <w:szCs w:val="18"/>
              </w:rPr>
              <w:t>4.30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57" w14:textId="77777777" w:rsidR="0039297D" w:rsidRDefault="004273CA">
            <w:pPr>
              <w:spacing w:after="0"/>
              <w:jc w:val="left"/>
              <w:rPr>
                <w:color w:val="000000"/>
                <w:sz w:val="18"/>
                <w:szCs w:val="18"/>
              </w:rPr>
            </w:pPr>
            <w:r>
              <w:rPr>
                <w:color w:val="000000"/>
                <w:sz w:val="18"/>
                <w:szCs w:val="18"/>
              </w:rPr>
              <w:t>Eswatini</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58" w14:textId="77777777" w:rsidR="0039297D" w:rsidRDefault="004273CA" w:rsidP="000F15C3">
            <w:pPr>
              <w:spacing w:after="0"/>
              <w:jc w:val="right"/>
              <w:rPr>
                <w:color w:val="000000"/>
                <w:sz w:val="18"/>
                <w:szCs w:val="18"/>
              </w:rPr>
            </w:pPr>
            <w:r>
              <w:rPr>
                <w:color w:val="000000"/>
                <w:sz w:val="18"/>
                <w:szCs w:val="18"/>
              </w:rPr>
              <w:t>3.35</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59" w14:textId="77777777" w:rsidR="0039297D" w:rsidRDefault="004273CA">
            <w:pPr>
              <w:spacing w:after="0"/>
              <w:jc w:val="left"/>
              <w:rPr>
                <w:color w:val="000000"/>
                <w:sz w:val="18"/>
                <w:szCs w:val="18"/>
              </w:rPr>
            </w:pPr>
            <w:r>
              <w:rPr>
                <w:color w:val="000000"/>
                <w:sz w:val="18"/>
                <w:szCs w:val="18"/>
              </w:rPr>
              <w:t>Thailand</w:t>
            </w:r>
          </w:p>
        </w:tc>
        <w:tc>
          <w:tcPr>
            <w:tcW w:w="825" w:type="dxa"/>
            <w:tcBorders>
              <w:top w:val="nil"/>
              <w:left w:val="nil"/>
              <w:bottom w:val="single" w:sz="4" w:space="0" w:color="000000"/>
              <w:right w:val="single" w:sz="8" w:space="0" w:color="000000"/>
            </w:tcBorders>
            <w:shd w:val="clear" w:color="auto" w:fill="auto"/>
            <w:vAlign w:val="bottom"/>
          </w:tcPr>
          <w:p w14:paraId="0000035A" w14:textId="77777777" w:rsidR="0039297D" w:rsidRDefault="004273CA" w:rsidP="000F15C3">
            <w:pPr>
              <w:spacing w:after="0"/>
              <w:jc w:val="right"/>
              <w:rPr>
                <w:color w:val="000000"/>
                <w:sz w:val="18"/>
                <w:szCs w:val="18"/>
              </w:rPr>
            </w:pPr>
            <w:r>
              <w:rPr>
                <w:color w:val="000000"/>
                <w:sz w:val="18"/>
                <w:szCs w:val="18"/>
              </w:rPr>
              <w:t>3.00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5B" w14:textId="77777777" w:rsidR="0039297D" w:rsidRDefault="004273CA">
            <w:pPr>
              <w:spacing w:after="0"/>
              <w:jc w:val="left"/>
              <w:rPr>
                <w:color w:val="000000"/>
                <w:sz w:val="18"/>
                <w:szCs w:val="18"/>
              </w:rPr>
            </w:pPr>
            <w:r>
              <w:rPr>
                <w:color w:val="000000"/>
                <w:sz w:val="18"/>
                <w:szCs w:val="18"/>
              </w:rPr>
              <w:t>India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5C" w14:textId="77777777" w:rsidR="0039297D" w:rsidRDefault="004273CA" w:rsidP="000F15C3">
            <w:pPr>
              <w:spacing w:after="0"/>
              <w:jc w:val="right"/>
              <w:rPr>
                <w:color w:val="000000"/>
                <w:sz w:val="18"/>
                <w:szCs w:val="18"/>
              </w:rPr>
            </w:pPr>
            <w:r>
              <w:rPr>
                <w:color w:val="000000"/>
                <w:sz w:val="18"/>
                <w:szCs w:val="18"/>
              </w:rPr>
              <w:t>2.94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5D" w14:textId="77777777" w:rsidR="0039297D" w:rsidRDefault="004273CA">
            <w:pPr>
              <w:spacing w:after="0"/>
              <w:jc w:val="left"/>
              <w:rPr>
                <w:color w:val="000000"/>
                <w:sz w:val="18"/>
                <w:szCs w:val="18"/>
              </w:rPr>
            </w:pPr>
            <w:r>
              <w:rPr>
                <w:color w:val="000000"/>
                <w:sz w:val="18"/>
                <w:szCs w:val="18"/>
              </w:rPr>
              <w:t>Taipei, Chinese</w:t>
            </w:r>
          </w:p>
        </w:tc>
        <w:tc>
          <w:tcPr>
            <w:tcW w:w="885" w:type="dxa"/>
            <w:tcBorders>
              <w:top w:val="nil"/>
              <w:left w:val="nil"/>
              <w:bottom w:val="single" w:sz="4" w:space="0" w:color="000000"/>
              <w:right w:val="single" w:sz="8" w:space="0" w:color="000000"/>
            </w:tcBorders>
            <w:shd w:val="clear" w:color="auto" w:fill="auto"/>
            <w:vAlign w:val="bottom"/>
          </w:tcPr>
          <w:p w14:paraId="0000035E" w14:textId="77777777" w:rsidR="0039297D" w:rsidRDefault="004273CA" w:rsidP="000F15C3">
            <w:pPr>
              <w:spacing w:after="0"/>
              <w:jc w:val="right"/>
              <w:rPr>
                <w:color w:val="000000"/>
                <w:sz w:val="18"/>
                <w:szCs w:val="18"/>
              </w:rPr>
            </w:pPr>
            <w:r>
              <w:rPr>
                <w:color w:val="000000"/>
                <w:sz w:val="18"/>
                <w:szCs w:val="18"/>
              </w:rPr>
              <w:t>3.50</w:t>
            </w:r>
          </w:p>
        </w:tc>
      </w:tr>
      <w:tr w:rsidR="00764BD4" w14:paraId="037AABDF"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5F" w14:textId="77777777" w:rsidR="0039297D" w:rsidRDefault="004273CA">
            <w:pPr>
              <w:spacing w:after="0"/>
              <w:jc w:val="left"/>
              <w:rPr>
                <w:color w:val="000000"/>
                <w:sz w:val="18"/>
                <w:szCs w:val="18"/>
              </w:rPr>
            </w:pPr>
            <w:r>
              <w:rPr>
                <w:color w:val="000000"/>
                <w:sz w:val="18"/>
                <w:szCs w:val="18"/>
              </w:rPr>
              <w:t>Japan</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60" w14:textId="77777777" w:rsidR="0039297D" w:rsidRDefault="004273CA" w:rsidP="000F15C3">
            <w:pPr>
              <w:spacing w:after="0"/>
              <w:jc w:val="right"/>
              <w:rPr>
                <w:color w:val="000000"/>
                <w:sz w:val="18"/>
                <w:szCs w:val="18"/>
              </w:rPr>
            </w:pPr>
            <w:r>
              <w:rPr>
                <w:color w:val="000000"/>
                <w:sz w:val="18"/>
                <w:szCs w:val="18"/>
              </w:rPr>
              <w:t>3.90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61" w14:textId="77777777" w:rsidR="0039297D" w:rsidRDefault="004273CA">
            <w:pPr>
              <w:spacing w:after="0"/>
              <w:jc w:val="left"/>
              <w:rPr>
                <w:color w:val="000000"/>
                <w:sz w:val="18"/>
                <w:szCs w:val="18"/>
              </w:rPr>
            </w:pPr>
            <w:r>
              <w:rPr>
                <w:color w:val="000000"/>
                <w:sz w:val="18"/>
                <w:szCs w:val="18"/>
              </w:rPr>
              <w:t>Italy</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62" w14:textId="77777777" w:rsidR="0039297D" w:rsidRDefault="004273CA" w:rsidP="000F15C3">
            <w:pPr>
              <w:spacing w:after="0"/>
              <w:jc w:val="right"/>
              <w:rPr>
                <w:color w:val="000000"/>
                <w:sz w:val="18"/>
                <w:szCs w:val="18"/>
              </w:rPr>
            </w:pPr>
            <w:r>
              <w:rPr>
                <w:color w:val="000000"/>
                <w:sz w:val="18"/>
                <w:szCs w:val="18"/>
              </w:rPr>
              <w:t>3.20</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63" w14:textId="77777777" w:rsidR="0039297D" w:rsidRDefault="004273CA">
            <w:pPr>
              <w:spacing w:after="0"/>
              <w:jc w:val="left"/>
              <w:rPr>
                <w:color w:val="000000"/>
                <w:sz w:val="18"/>
                <w:szCs w:val="18"/>
              </w:rPr>
            </w:pPr>
            <w:r>
              <w:rPr>
                <w:color w:val="000000"/>
                <w:sz w:val="18"/>
                <w:szCs w:val="18"/>
              </w:rPr>
              <w:t>India</w:t>
            </w:r>
          </w:p>
        </w:tc>
        <w:tc>
          <w:tcPr>
            <w:tcW w:w="825" w:type="dxa"/>
            <w:tcBorders>
              <w:top w:val="nil"/>
              <w:left w:val="nil"/>
              <w:bottom w:val="single" w:sz="4" w:space="0" w:color="000000"/>
              <w:right w:val="single" w:sz="8" w:space="0" w:color="000000"/>
            </w:tcBorders>
            <w:shd w:val="clear" w:color="auto" w:fill="auto"/>
            <w:vAlign w:val="bottom"/>
          </w:tcPr>
          <w:p w14:paraId="00000364" w14:textId="77777777" w:rsidR="0039297D" w:rsidRDefault="004273CA" w:rsidP="000F15C3">
            <w:pPr>
              <w:spacing w:after="0"/>
              <w:jc w:val="right"/>
              <w:rPr>
                <w:color w:val="000000"/>
                <w:sz w:val="18"/>
                <w:szCs w:val="18"/>
              </w:rPr>
            </w:pPr>
            <w:r>
              <w:rPr>
                <w:color w:val="000000"/>
                <w:sz w:val="18"/>
                <w:szCs w:val="18"/>
              </w:rPr>
              <w:t>2.93</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65" w14:textId="77777777" w:rsidR="0039297D" w:rsidRDefault="004273CA">
            <w:pPr>
              <w:spacing w:after="0"/>
              <w:jc w:val="left"/>
              <w:rPr>
                <w:color w:val="000000"/>
                <w:sz w:val="18"/>
                <w:szCs w:val="18"/>
              </w:rPr>
            </w:pPr>
            <w:r>
              <w:rPr>
                <w:color w:val="000000"/>
                <w:sz w:val="18"/>
                <w:szCs w:val="18"/>
              </w:rPr>
              <w:t>Germany</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66" w14:textId="77777777" w:rsidR="0039297D" w:rsidRDefault="004273CA" w:rsidP="000F15C3">
            <w:pPr>
              <w:spacing w:after="0"/>
              <w:jc w:val="right"/>
              <w:rPr>
                <w:color w:val="000000"/>
                <w:sz w:val="18"/>
                <w:szCs w:val="18"/>
              </w:rPr>
            </w:pPr>
            <w:r>
              <w:rPr>
                <w:color w:val="000000"/>
                <w:sz w:val="18"/>
                <w:szCs w:val="18"/>
              </w:rPr>
              <w:t>2.92</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67" w14:textId="77777777" w:rsidR="0039297D" w:rsidRDefault="004273CA">
            <w:pPr>
              <w:spacing w:after="0"/>
              <w:jc w:val="left"/>
              <w:rPr>
                <w:color w:val="000000"/>
                <w:sz w:val="18"/>
                <w:szCs w:val="18"/>
              </w:rPr>
            </w:pPr>
            <w:r>
              <w:rPr>
                <w:color w:val="000000"/>
                <w:sz w:val="18"/>
                <w:szCs w:val="18"/>
              </w:rPr>
              <w:t>India</w:t>
            </w:r>
          </w:p>
        </w:tc>
        <w:tc>
          <w:tcPr>
            <w:tcW w:w="885" w:type="dxa"/>
            <w:tcBorders>
              <w:top w:val="nil"/>
              <w:left w:val="nil"/>
              <w:bottom w:val="single" w:sz="4" w:space="0" w:color="000000"/>
              <w:right w:val="single" w:sz="8" w:space="0" w:color="000000"/>
            </w:tcBorders>
            <w:shd w:val="clear" w:color="auto" w:fill="auto"/>
            <w:vAlign w:val="bottom"/>
          </w:tcPr>
          <w:p w14:paraId="00000368" w14:textId="77777777" w:rsidR="0039297D" w:rsidRDefault="004273CA" w:rsidP="000F15C3">
            <w:pPr>
              <w:spacing w:after="0"/>
              <w:jc w:val="right"/>
              <w:rPr>
                <w:color w:val="000000"/>
                <w:sz w:val="18"/>
                <w:szCs w:val="18"/>
              </w:rPr>
            </w:pPr>
            <w:r>
              <w:rPr>
                <w:color w:val="000000"/>
                <w:sz w:val="18"/>
                <w:szCs w:val="18"/>
              </w:rPr>
              <w:t>3.17</w:t>
            </w:r>
          </w:p>
        </w:tc>
      </w:tr>
      <w:tr w:rsidR="007319F2" w14:paraId="1420497B"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28" w:type="dxa"/>
            </w:tcMar>
            <w:vAlign w:val="bottom"/>
          </w:tcPr>
          <w:p w14:paraId="00000369" w14:textId="77777777" w:rsidR="0039297D" w:rsidRDefault="004273CA">
            <w:pPr>
              <w:spacing w:after="0"/>
              <w:jc w:val="left"/>
              <w:rPr>
                <w:color w:val="000000"/>
                <w:sz w:val="18"/>
                <w:szCs w:val="18"/>
              </w:rPr>
            </w:pPr>
            <w:r>
              <w:rPr>
                <w:color w:val="000000"/>
                <w:sz w:val="18"/>
                <w:szCs w:val="18"/>
              </w:rPr>
              <w:t>Taipei, Chinese</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6A" w14:textId="77777777" w:rsidR="0039297D" w:rsidRDefault="004273CA" w:rsidP="000F15C3">
            <w:pPr>
              <w:spacing w:after="0"/>
              <w:jc w:val="right"/>
              <w:rPr>
                <w:color w:val="000000"/>
                <w:sz w:val="18"/>
                <w:szCs w:val="18"/>
              </w:rPr>
            </w:pPr>
            <w:r>
              <w:rPr>
                <w:color w:val="000000"/>
                <w:sz w:val="18"/>
                <w:szCs w:val="18"/>
              </w:rPr>
              <w:t>3.21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6B" w14:textId="77777777" w:rsidR="0039297D" w:rsidRDefault="004273CA">
            <w:pPr>
              <w:spacing w:after="0"/>
              <w:jc w:val="left"/>
              <w:rPr>
                <w:color w:val="000000"/>
                <w:sz w:val="18"/>
                <w:szCs w:val="18"/>
              </w:rPr>
            </w:pPr>
            <w:r>
              <w:rPr>
                <w:color w:val="000000"/>
                <w:sz w:val="18"/>
                <w:szCs w:val="18"/>
              </w:rPr>
              <w:t>India</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6C" w14:textId="77777777" w:rsidR="0039297D" w:rsidRDefault="004273CA" w:rsidP="000F15C3">
            <w:pPr>
              <w:spacing w:after="0"/>
              <w:jc w:val="right"/>
              <w:rPr>
                <w:color w:val="000000"/>
                <w:sz w:val="18"/>
                <w:szCs w:val="18"/>
              </w:rPr>
            </w:pPr>
            <w:r>
              <w:rPr>
                <w:color w:val="000000"/>
                <w:sz w:val="18"/>
                <w:szCs w:val="18"/>
              </w:rPr>
              <w:t>2.90</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6D" w14:textId="77777777" w:rsidR="0039297D" w:rsidRDefault="004273CA">
            <w:pPr>
              <w:spacing w:after="0"/>
              <w:jc w:val="left"/>
              <w:rPr>
                <w:color w:val="000000"/>
                <w:sz w:val="18"/>
                <w:szCs w:val="18"/>
              </w:rPr>
            </w:pPr>
            <w:r>
              <w:rPr>
                <w:color w:val="000000"/>
                <w:sz w:val="18"/>
                <w:szCs w:val="18"/>
              </w:rPr>
              <w:t>Eswatini</w:t>
            </w:r>
          </w:p>
        </w:tc>
        <w:tc>
          <w:tcPr>
            <w:tcW w:w="825" w:type="dxa"/>
            <w:tcBorders>
              <w:top w:val="nil"/>
              <w:left w:val="nil"/>
              <w:bottom w:val="single" w:sz="4" w:space="0" w:color="000000"/>
              <w:right w:val="single" w:sz="8" w:space="0" w:color="000000"/>
            </w:tcBorders>
            <w:shd w:val="clear" w:color="auto" w:fill="auto"/>
            <w:vAlign w:val="bottom"/>
          </w:tcPr>
          <w:p w14:paraId="0000036E" w14:textId="77777777" w:rsidR="0039297D" w:rsidRDefault="004273CA" w:rsidP="000F15C3">
            <w:pPr>
              <w:spacing w:after="0"/>
              <w:jc w:val="right"/>
              <w:rPr>
                <w:color w:val="000000"/>
                <w:sz w:val="18"/>
                <w:szCs w:val="18"/>
              </w:rPr>
            </w:pPr>
            <w:r>
              <w:rPr>
                <w:color w:val="000000"/>
                <w:sz w:val="18"/>
                <w:szCs w:val="18"/>
              </w:rPr>
              <w:t>2.76</w:t>
            </w:r>
          </w:p>
        </w:tc>
        <w:tc>
          <w:tcPr>
            <w:tcW w:w="1446"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6F" w14:textId="77777777" w:rsidR="0039297D" w:rsidRDefault="004273CA">
            <w:pPr>
              <w:spacing w:after="0"/>
              <w:jc w:val="left"/>
              <w:rPr>
                <w:color w:val="000000"/>
                <w:sz w:val="18"/>
                <w:szCs w:val="18"/>
              </w:rPr>
            </w:pPr>
            <w:r>
              <w:rPr>
                <w:color w:val="000000"/>
                <w:sz w:val="18"/>
                <w:szCs w:val="18"/>
              </w:rPr>
              <w:t>Taipei, Chinese</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70" w14:textId="77777777" w:rsidR="0039297D" w:rsidRDefault="004273CA" w:rsidP="000F15C3">
            <w:pPr>
              <w:spacing w:after="0"/>
              <w:jc w:val="right"/>
              <w:rPr>
                <w:color w:val="000000"/>
                <w:sz w:val="18"/>
                <w:szCs w:val="18"/>
              </w:rPr>
            </w:pPr>
            <w:r>
              <w:rPr>
                <w:color w:val="000000"/>
                <w:sz w:val="18"/>
                <w:szCs w:val="18"/>
              </w:rPr>
              <w:t>2.24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71" w14:textId="77777777" w:rsidR="0039297D" w:rsidRDefault="004273CA">
            <w:pPr>
              <w:spacing w:after="0"/>
              <w:jc w:val="left"/>
              <w:rPr>
                <w:color w:val="000000"/>
                <w:sz w:val="18"/>
                <w:szCs w:val="18"/>
              </w:rPr>
            </w:pPr>
            <w:r>
              <w:rPr>
                <w:color w:val="000000"/>
                <w:sz w:val="18"/>
                <w:szCs w:val="18"/>
              </w:rPr>
              <w:t>Germany</w:t>
            </w:r>
          </w:p>
        </w:tc>
        <w:tc>
          <w:tcPr>
            <w:tcW w:w="885" w:type="dxa"/>
            <w:tcBorders>
              <w:top w:val="nil"/>
              <w:left w:val="nil"/>
              <w:bottom w:val="single" w:sz="4" w:space="0" w:color="000000"/>
              <w:right w:val="single" w:sz="8" w:space="0" w:color="000000"/>
            </w:tcBorders>
            <w:shd w:val="clear" w:color="auto" w:fill="auto"/>
            <w:vAlign w:val="bottom"/>
          </w:tcPr>
          <w:p w14:paraId="00000372" w14:textId="77777777" w:rsidR="0039297D" w:rsidRDefault="004273CA" w:rsidP="000F15C3">
            <w:pPr>
              <w:spacing w:after="0"/>
              <w:jc w:val="right"/>
              <w:rPr>
                <w:color w:val="000000"/>
                <w:sz w:val="18"/>
                <w:szCs w:val="18"/>
              </w:rPr>
            </w:pPr>
            <w:r>
              <w:rPr>
                <w:color w:val="000000"/>
                <w:sz w:val="18"/>
                <w:szCs w:val="18"/>
              </w:rPr>
              <w:t>2.90</w:t>
            </w:r>
          </w:p>
        </w:tc>
      </w:tr>
      <w:tr w:rsidR="007319F2" w14:paraId="35AFA164"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28" w:type="dxa"/>
            </w:tcMar>
            <w:vAlign w:val="bottom"/>
          </w:tcPr>
          <w:p w14:paraId="00000373" w14:textId="77777777" w:rsidR="0039297D" w:rsidRDefault="004273CA">
            <w:pPr>
              <w:spacing w:after="0"/>
              <w:jc w:val="left"/>
              <w:rPr>
                <w:color w:val="000000"/>
                <w:sz w:val="18"/>
                <w:szCs w:val="18"/>
              </w:rPr>
            </w:pPr>
            <w:r>
              <w:rPr>
                <w:color w:val="000000"/>
                <w:sz w:val="18"/>
                <w:szCs w:val="18"/>
              </w:rPr>
              <w:t>Germany</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74" w14:textId="77777777" w:rsidR="0039297D" w:rsidRDefault="004273CA" w:rsidP="000F15C3">
            <w:pPr>
              <w:spacing w:after="0"/>
              <w:jc w:val="right"/>
              <w:rPr>
                <w:color w:val="000000"/>
                <w:sz w:val="18"/>
                <w:szCs w:val="18"/>
              </w:rPr>
            </w:pPr>
            <w:r>
              <w:rPr>
                <w:color w:val="000000"/>
                <w:sz w:val="18"/>
                <w:szCs w:val="18"/>
              </w:rPr>
              <w:t>2.76</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75" w14:textId="77777777" w:rsidR="0039297D" w:rsidRDefault="004273CA">
            <w:pPr>
              <w:spacing w:after="0"/>
              <w:jc w:val="left"/>
              <w:rPr>
                <w:color w:val="000000"/>
                <w:sz w:val="18"/>
                <w:szCs w:val="18"/>
              </w:rPr>
            </w:pPr>
            <w:r>
              <w:rPr>
                <w:color w:val="000000"/>
                <w:sz w:val="18"/>
                <w:szCs w:val="18"/>
              </w:rPr>
              <w:t>Germany</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76" w14:textId="77777777" w:rsidR="0039297D" w:rsidRDefault="004273CA" w:rsidP="000F15C3">
            <w:pPr>
              <w:spacing w:after="0"/>
              <w:jc w:val="right"/>
              <w:rPr>
                <w:color w:val="000000"/>
                <w:sz w:val="18"/>
                <w:szCs w:val="18"/>
              </w:rPr>
            </w:pPr>
            <w:r>
              <w:rPr>
                <w:color w:val="000000"/>
                <w:sz w:val="18"/>
                <w:szCs w:val="18"/>
              </w:rPr>
              <w:t>2.51</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77" w14:textId="77777777" w:rsidR="0039297D" w:rsidRDefault="004273CA">
            <w:pPr>
              <w:spacing w:after="0"/>
              <w:jc w:val="left"/>
              <w:rPr>
                <w:color w:val="000000"/>
                <w:sz w:val="18"/>
                <w:szCs w:val="18"/>
              </w:rPr>
            </w:pPr>
            <w:r>
              <w:rPr>
                <w:color w:val="000000"/>
                <w:sz w:val="18"/>
                <w:szCs w:val="18"/>
              </w:rPr>
              <w:t>Germany</w:t>
            </w:r>
          </w:p>
        </w:tc>
        <w:tc>
          <w:tcPr>
            <w:tcW w:w="825" w:type="dxa"/>
            <w:tcBorders>
              <w:top w:val="nil"/>
              <w:left w:val="nil"/>
              <w:bottom w:val="single" w:sz="4" w:space="0" w:color="000000"/>
              <w:right w:val="single" w:sz="8" w:space="0" w:color="000000"/>
            </w:tcBorders>
            <w:shd w:val="clear" w:color="auto" w:fill="auto"/>
            <w:vAlign w:val="bottom"/>
          </w:tcPr>
          <w:p w14:paraId="00000378" w14:textId="77777777" w:rsidR="0039297D" w:rsidRDefault="004273CA" w:rsidP="000F15C3">
            <w:pPr>
              <w:spacing w:after="0"/>
              <w:jc w:val="right"/>
              <w:rPr>
                <w:color w:val="000000"/>
                <w:sz w:val="18"/>
                <w:szCs w:val="18"/>
              </w:rPr>
            </w:pPr>
            <w:r>
              <w:rPr>
                <w:color w:val="000000"/>
                <w:sz w:val="18"/>
                <w:szCs w:val="18"/>
              </w:rPr>
              <w:t>2.50</w:t>
            </w:r>
          </w:p>
        </w:tc>
        <w:tc>
          <w:tcPr>
            <w:tcW w:w="1446"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79" w14:textId="77777777" w:rsidR="0039297D" w:rsidRDefault="004273CA">
            <w:pPr>
              <w:spacing w:after="0"/>
              <w:jc w:val="left"/>
              <w:rPr>
                <w:color w:val="000000"/>
                <w:sz w:val="18"/>
                <w:szCs w:val="18"/>
              </w:rPr>
            </w:pPr>
            <w:r>
              <w:rPr>
                <w:color w:val="000000"/>
                <w:sz w:val="18"/>
                <w:szCs w:val="18"/>
              </w:rPr>
              <w:t>Thailand</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7A" w14:textId="77777777" w:rsidR="0039297D" w:rsidRDefault="004273CA" w:rsidP="000F15C3">
            <w:pPr>
              <w:spacing w:after="0"/>
              <w:jc w:val="right"/>
              <w:rPr>
                <w:color w:val="000000"/>
                <w:sz w:val="18"/>
                <w:szCs w:val="18"/>
              </w:rPr>
            </w:pPr>
            <w:r>
              <w:rPr>
                <w:color w:val="000000"/>
                <w:sz w:val="18"/>
                <w:szCs w:val="18"/>
              </w:rPr>
              <w:t>2.15</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7B" w14:textId="77777777" w:rsidR="0039297D" w:rsidRDefault="004273CA">
            <w:pPr>
              <w:spacing w:after="0"/>
              <w:jc w:val="left"/>
              <w:rPr>
                <w:color w:val="000000"/>
                <w:sz w:val="18"/>
                <w:szCs w:val="18"/>
              </w:rPr>
            </w:pPr>
            <w:r>
              <w:rPr>
                <w:color w:val="000000"/>
                <w:sz w:val="18"/>
                <w:szCs w:val="18"/>
              </w:rPr>
              <w:t>Malaysia</w:t>
            </w:r>
          </w:p>
        </w:tc>
        <w:tc>
          <w:tcPr>
            <w:tcW w:w="885" w:type="dxa"/>
            <w:tcBorders>
              <w:top w:val="nil"/>
              <w:left w:val="nil"/>
              <w:bottom w:val="single" w:sz="4" w:space="0" w:color="000000"/>
              <w:right w:val="single" w:sz="8" w:space="0" w:color="000000"/>
            </w:tcBorders>
            <w:shd w:val="clear" w:color="auto" w:fill="auto"/>
            <w:vAlign w:val="bottom"/>
          </w:tcPr>
          <w:p w14:paraId="0000037C" w14:textId="77777777" w:rsidR="0039297D" w:rsidRDefault="004273CA" w:rsidP="000F15C3">
            <w:pPr>
              <w:spacing w:after="0"/>
              <w:jc w:val="right"/>
              <w:rPr>
                <w:color w:val="000000"/>
                <w:sz w:val="18"/>
                <w:szCs w:val="18"/>
              </w:rPr>
            </w:pPr>
            <w:r>
              <w:rPr>
                <w:color w:val="000000"/>
                <w:sz w:val="18"/>
                <w:szCs w:val="18"/>
              </w:rPr>
              <w:t>2.80</w:t>
            </w:r>
          </w:p>
        </w:tc>
      </w:tr>
      <w:tr w:rsidR="007319F2" w14:paraId="2DCF4B87"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28" w:type="dxa"/>
            </w:tcMar>
            <w:vAlign w:val="bottom"/>
          </w:tcPr>
          <w:p w14:paraId="0000037D" w14:textId="77777777" w:rsidR="0039297D" w:rsidRDefault="004273CA">
            <w:pPr>
              <w:spacing w:after="0"/>
              <w:jc w:val="left"/>
              <w:rPr>
                <w:color w:val="000000"/>
                <w:sz w:val="18"/>
                <w:szCs w:val="18"/>
              </w:rPr>
            </w:pPr>
            <w:r>
              <w:rPr>
                <w:color w:val="000000"/>
                <w:sz w:val="18"/>
                <w:szCs w:val="18"/>
              </w:rPr>
              <w:t>Australia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7E" w14:textId="77777777" w:rsidR="0039297D" w:rsidRDefault="004273CA" w:rsidP="000F15C3">
            <w:pPr>
              <w:spacing w:after="0"/>
              <w:jc w:val="right"/>
              <w:rPr>
                <w:color w:val="000000"/>
                <w:sz w:val="18"/>
                <w:szCs w:val="18"/>
              </w:rPr>
            </w:pPr>
            <w:r>
              <w:rPr>
                <w:color w:val="000000"/>
                <w:sz w:val="18"/>
                <w:szCs w:val="18"/>
              </w:rPr>
              <w:t>2.31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7F" w14:textId="77777777" w:rsidR="0039297D" w:rsidRDefault="004273CA">
            <w:pPr>
              <w:spacing w:after="0"/>
              <w:jc w:val="left"/>
              <w:rPr>
                <w:color w:val="000000"/>
                <w:sz w:val="18"/>
                <w:szCs w:val="18"/>
              </w:rPr>
            </w:pPr>
            <w:r>
              <w:rPr>
                <w:color w:val="000000"/>
                <w:sz w:val="18"/>
                <w:szCs w:val="18"/>
              </w:rPr>
              <w:t>Hong Kong</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80" w14:textId="77777777" w:rsidR="0039297D" w:rsidRDefault="004273CA" w:rsidP="000F15C3">
            <w:pPr>
              <w:spacing w:after="0"/>
              <w:jc w:val="right"/>
              <w:rPr>
                <w:color w:val="000000"/>
                <w:sz w:val="18"/>
                <w:szCs w:val="18"/>
              </w:rPr>
            </w:pPr>
            <w:r>
              <w:rPr>
                <w:color w:val="000000"/>
                <w:sz w:val="18"/>
                <w:szCs w:val="18"/>
              </w:rPr>
              <w:t>2.48</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1" w14:textId="77777777" w:rsidR="0039297D" w:rsidRDefault="004273CA">
            <w:pPr>
              <w:spacing w:after="0"/>
              <w:jc w:val="left"/>
              <w:rPr>
                <w:color w:val="000000"/>
                <w:sz w:val="18"/>
                <w:szCs w:val="18"/>
              </w:rPr>
            </w:pPr>
            <w:r>
              <w:rPr>
                <w:color w:val="000000"/>
                <w:sz w:val="18"/>
                <w:szCs w:val="18"/>
              </w:rPr>
              <w:t>Taipei, Chinese</w:t>
            </w:r>
          </w:p>
        </w:tc>
        <w:tc>
          <w:tcPr>
            <w:tcW w:w="825" w:type="dxa"/>
            <w:tcBorders>
              <w:top w:val="nil"/>
              <w:left w:val="nil"/>
              <w:bottom w:val="single" w:sz="4" w:space="0" w:color="000000"/>
              <w:right w:val="single" w:sz="8" w:space="0" w:color="000000"/>
            </w:tcBorders>
            <w:shd w:val="clear" w:color="auto" w:fill="auto"/>
            <w:vAlign w:val="bottom"/>
          </w:tcPr>
          <w:p w14:paraId="00000382" w14:textId="77777777" w:rsidR="0039297D" w:rsidRDefault="004273CA" w:rsidP="000F15C3">
            <w:pPr>
              <w:spacing w:after="0"/>
              <w:jc w:val="right"/>
              <w:rPr>
                <w:color w:val="000000"/>
                <w:sz w:val="18"/>
                <w:szCs w:val="18"/>
              </w:rPr>
            </w:pPr>
            <w:r>
              <w:rPr>
                <w:color w:val="000000"/>
                <w:sz w:val="18"/>
                <w:szCs w:val="18"/>
              </w:rPr>
              <w:t>2.16</w:t>
            </w:r>
          </w:p>
        </w:tc>
        <w:tc>
          <w:tcPr>
            <w:tcW w:w="1446"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3" w14:textId="77777777" w:rsidR="0039297D" w:rsidRDefault="004273CA">
            <w:pPr>
              <w:spacing w:after="0"/>
              <w:jc w:val="left"/>
              <w:rPr>
                <w:color w:val="000000"/>
                <w:sz w:val="18"/>
                <w:szCs w:val="18"/>
              </w:rPr>
            </w:pPr>
            <w:r>
              <w:rPr>
                <w:color w:val="000000"/>
                <w:sz w:val="18"/>
                <w:szCs w:val="18"/>
              </w:rPr>
              <w:t>Japan</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84" w14:textId="77777777" w:rsidR="0039297D" w:rsidRDefault="004273CA" w:rsidP="000F15C3">
            <w:pPr>
              <w:spacing w:after="0"/>
              <w:jc w:val="right"/>
              <w:rPr>
                <w:color w:val="000000"/>
                <w:sz w:val="18"/>
                <w:szCs w:val="18"/>
              </w:rPr>
            </w:pPr>
            <w:r>
              <w:rPr>
                <w:color w:val="000000"/>
                <w:sz w:val="18"/>
                <w:szCs w:val="18"/>
              </w:rPr>
              <w:t>2.10</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5" w14:textId="77777777" w:rsidR="0039297D" w:rsidRDefault="004273CA">
            <w:pPr>
              <w:spacing w:after="0"/>
              <w:jc w:val="left"/>
              <w:rPr>
                <w:color w:val="000000"/>
                <w:sz w:val="18"/>
                <w:szCs w:val="18"/>
              </w:rPr>
            </w:pPr>
            <w:r>
              <w:rPr>
                <w:color w:val="000000"/>
                <w:sz w:val="18"/>
                <w:szCs w:val="18"/>
              </w:rPr>
              <w:t>Japan</w:t>
            </w:r>
          </w:p>
        </w:tc>
        <w:tc>
          <w:tcPr>
            <w:tcW w:w="885" w:type="dxa"/>
            <w:tcBorders>
              <w:top w:val="nil"/>
              <w:left w:val="nil"/>
              <w:bottom w:val="single" w:sz="4" w:space="0" w:color="000000"/>
              <w:right w:val="single" w:sz="8" w:space="0" w:color="000000"/>
            </w:tcBorders>
            <w:shd w:val="clear" w:color="auto" w:fill="auto"/>
            <w:vAlign w:val="bottom"/>
          </w:tcPr>
          <w:p w14:paraId="00000386" w14:textId="77777777" w:rsidR="0039297D" w:rsidRDefault="004273CA" w:rsidP="000F15C3">
            <w:pPr>
              <w:spacing w:after="0"/>
              <w:jc w:val="right"/>
              <w:rPr>
                <w:color w:val="000000"/>
                <w:sz w:val="18"/>
                <w:szCs w:val="18"/>
              </w:rPr>
            </w:pPr>
            <w:r>
              <w:rPr>
                <w:color w:val="000000"/>
                <w:sz w:val="18"/>
                <w:szCs w:val="18"/>
              </w:rPr>
              <w:t>2.14</w:t>
            </w:r>
          </w:p>
        </w:tc>
      </w:tr>
      <w:tr w:rsidR="007319F2" w14:paraId="0491377D"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28" w:type="dxa"/>
            </w:tcMar>
            <w:vAlign w:val="bottom"/>
          </w:tcPr>
          <w:p w14:paraId="00000387" w14:textId="77777777" w:rsidR="0039297D" w:rsidRDefault="004273CA">
            <w:pPr>
              <w:spacing w:after="0"/>
              <w:jc w:val="left"/>
              <w:rPr>
                <w:color w:val="000000"/>
                <w:sz w:val="18"/>
                <w:szCs w:val="18"/>
              </w:rPr>
            </w:pPr>
            <w:r>
              <w:rPr>
                <w:color w:val="000000"/>
                <w:sz w:val="18"/>
                <w:szCs w:val="18"/>
              </w:rPr>
              <w:t>Hong Kong</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88" w14:textId="77777777" w:rsidR="0039297D" w:rsidRDefault="004273CA" w:rsidP="000F15C3">
            <w:pPr>
              <w:spacing w:after="0"/>
              <w:jc w:val="right"/>
              <w:rPr>
                <w:color w:val="000000"/>
                <w:sz w:val="18"/>
                <w:szCs w:val="18"/>
              </w:rPr>
            </w:pPr>
            <w:r>
              <w:rPr>
                <w:color w:val="000000"/>
                <w:sz w:val="18"/>
                <w:szCs w:val="18"/>
              </w:rPr>
              <w:t>2.30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89" w14:textId="77777777" w:rsidR="0039297D" w:rsidRDefault="004273CA">
            <w:pPr>
              <w:spacing w:after="0"/>
              <w:jc w:val="left"/>
              <w:rPr>
                <w:color w:val="000000"/>
                <w:sz w:val="18"/>
                <w:szCs w:val="18"/>
              </w:rPr>
            </w:pPr>
            <w:r>
              <w:rPr>
                <w:color w:val="000000"/>
                <w:sz w:val="18"/>
                <w:szCs w:val="18"/>
              </w:rPr>
              <w:t>Taipei, Chinese</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8A" w14:textId="77777777" w:rsidR="0039297D" w:rsidRDefault="004273CA" w:rsidP="000F15C3">
            <w:pPr>
              <w:spacing w:after="0"/>
              <w:jc w:val="right"/>
              <w:rPr>
                <w:color w:val="000000"/>
                <w:sz w:val="18"/>
                <w:szCs w:val="18"/>
              </w:rPr>
            </w:pPr>
            <w:r>
              <w:rPr>
                <w:color w:val="000000"/>
                <w:sz w:val="18"/>
                <w:szCs w:val="18"/>
              </w:rPr>
              <w:t>2.47</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B" w14:textId="77777777" w:rsidR="0039297D" w:rsidRDefault="004273CA">
            <w:pPr>
              <w:spacing w:after="0"/>
              <w:jc w:val="left"/>
              <w:rPr>
                <w:color w:val="000000"/>
                <w:sz w:val="18"/>
                <w:szCs w:val="18"/>
              </w:rPr>
            </w:pPr>
            <w:r>
              <w:rPr>
                <w:color w:val="000000"/>
                <w:sz w:val="18"/>
                <w:szCs w:val="18"/>
              </w:rPr>
              <w:t>Japan</w:t>
            </w:r>
          </w:p>
        </w:tc>
        <w:tc>
          <w:tcPr>
            <w:tcW w:w="825" w:type="dxa"/>
            <w:tcBorders>
              <w:top w:val="nil"/>
              <w:left w:val="nil"/>
              <w:bottom w:val="single" w:sz="4" w:space="0" w:color="000000"/>
              <w:right w:val="single" w:sz="8" w:space="0" w:color="000000"/>
            </w:tcBorders>
            <w:shd w:val="clear" w:color="auto" w:fill="auto"/>
            <w:vAlign w:val="bottom"/>
          </w:tcPr>
          <w:p w14:paraId="0000038C" w14:textId="77777777" w:rsidR="0039297D" w:rsidRDefault="004273CA" w:rsidP="000F15C3">
            <w:pPr>
              <w:spacing w:after="0"/>
              <w:jc w:val="right"/>
              <w:rPr>
                <w:color w:val="000000"/>
                <w:sz w:val="18"/>
                <w:szCs w:val="18"/>
              </w:rPr>
            </w:pPr>
            <w:r>
              <w:rPr>
                <w:color w:val="000000"/>
                <w:sz w:val="18"/>
                <w:szCs w:val="18"/>
              </w:rPr>
              <w:t>1.94</w:t>
            </w:r>
          </w:p>
        </w:tc>
        <w:tc>
          <w:tcPr>
            <w:tcW w:w="1446"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D" w14:textId="77777777" w:rsidR="0039297D" w:rsidRDefault="004273CA">
            <w:pPr>
              <w:spacing w:after="0"/>
              <w:jc w:val="left"/>
              <w:rPr>
                <w:color w:val="000000"/>
                <w:sz w:val="18"/>
                <w:szCs w:val="18"/>
              </w:rPr>
            </w:pPr>
            <w:r>
              <w:rPr>
                <w:color w:val="000000"/>
                <w:sz w:val="18"/>
                <w:szCs w:val="18"/>
              </w:rPr>
              <w:t>Eswatini</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8E" w14:textId="77777777" w:rsidR="0039297D" w:rsidRDefault="004273CA" w:rsidP="000F15C3">
            <w:pPr>
              <w:spacing w:after="0"/>
              <w:jc w:val="right"/>
              <w:rPr>
                <w:color w:val="000000"/>
                <w:sz w:val="18"/>
                <w:szCs w:val="18"/>
              </w:rPr>
            </w:pPr>
            <w:r>
              <w:rPr>
                <w:color w:val="000000"/>
                <w:sz w:val="18"/>
                <w:szCs w:val="18"/>
              </w:rPr>
              <w:t>1.96</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8F" w14:textId="77777777" w:rsidR="0039297D" w:rsidRDefault="004273CA">
            <w:pPr>
              <w:spacing w:after="0"/>
              <w:jc w:val="left"/>
              <w:rPr>
                <w:color w:val="000000"/>
                <w:sz w:val="18"/>
                <w:szCs w:val="18"/>
              </w:rPr>
            </w:pPr>
            <w:r>
              <w:rPr>
                <w:color w:val="000000"/>
                <w:sz w:val="18"/>
                <w:szCs w:val="18"/>
              </w:rPr>
              <w:t>Thailand</w:t>
            </w:r>
          </w:p>
        </w:tc>
        <w:tc>
          <w:tcPr>
            <w:tcW w:w="885" w:type="dxa"/>
            <w:tcBorders>
              <w:top w:val="nil"/>
              <w:left w:val="nil"/>
              <w:bottom w:val="single" w:sz="4" w:space="0" w:color="000000"/>
              <w:right w:val="single" w:sz="8" w:space="0" w:color="000000"/>
            </w:tcBorders>
            <w:shd w:val="clear" w:color="auto" w:fill="auto"/>
            <w:vAlign w:val="bottom"/>
          </w:tcPr>
          <w:p w14:paraId="00000390" w14:textId="77777777" w:rsidR="0039297D" w:rsidRDefault="004273CA" w:rsidP="000F15C3">
            <w:pPr>
              <w:spacing w:after="0"/>
              <w:jc w:val="right"/>
              <w:rPr>
                <w:color w:val="000000"/>
                <w:sz w:val="18"/>
                <w:szCs w:val="18"/>
              </w:rPr>
            </w:pPr>
            <w:r>
              <w:rPr>
                <w:color w:val="000000"/>
                <w:sz w:val="18"/>
                <w:szCs w:val="18"/>
              </w:rPr>
              <w:t>2.11</w:t>
            </w:r>
          </w:p>
        </w:tc>
      </w:tr>
      <w:tr w:rsidR="007319F2" w14:paraId="520A67CA"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91" w14:textId="77777777" w:rsidR="0039297D" w:rsidRDefault="004273CA">
            <w:pPr>
              <w:spacing w:after="0"/>
              <w:jc w:val="left"/>
              <w:rPr>
                <w:color w:val="000000"/>
                <w:sz w:val="18"/>
                <w:szCs w:val="18"/>
              </w:rPr>
            </w:pPr>
            <w:r>
              <w:rPr>
                <w:color w:val="000000"/>
                <w:sz w:val="18"/>
                <w:szCs w:val="18"/>
              </w:rPr>
              <w:t>Spain</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92" w14:textId="77777777" w:rsidR="0039297D" w:rsidRDefault="004273CA" w:rsidP="000F15C3">
            <w:pPr>
              <w:spacing w:after="0"/>
              <w:jc w:val="right"/>
              <w:rPr>
                <w:color w:val="000000"/>
                <w:sz w:val="18"/>
                <w:szCs w:val="18"/>
              </w:rPr>
            </w:pPr>
            <w:r>
              <w:rPr>
                <w:color w:val="000000"/>
                <w:sz w:val="18"/>
                <w:szCs w:val="18"/>
              </w:rPr>
              <w:t>1.84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93" w14:textId="77777777" w:rsidR="0039297D" w:rsidRDefault="004273CA">
            <w:pPr>
              <w:spacing w:after="0"/>
              <w:jc w:val="left"/>
              <w:rPr>
                <w:color w:val="000000"/>
                <w:sz w:val="18"/>
                <w:szCs w:val="18"/>
              </w:rPr>
            </w:pPr>
            <w:r>
              <w:rPr>
                <w:color w:val="000000"/>
                <w:sz w:val="18"/>
                <w:szCs w:val="18"/>
              </w:rPr>
              <w:t>Thailand</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94" w14:textId="77777777" w:rsidR="0039297D" w:rsidRDefault="004273CA" w:rsidP="000F15C3">
            <w:pPr>
              <w:spacing w:after="0"/>
              <w:jc w:val="right"/>
              <w:rPr>
                <w:color w:val="000000"/>
                <w:sz w:val="18"/>
                <w:szCs w:val="18"/>
              </w:rPr>
            </w:pPr>
            <w:r>
              <w:rPr>
                <w:color w:val="000000"/>
                <w:sz w:val="18"/>
                <w:szCs w:val="18"/>
              </w:rPr>
              <w:t>2.44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95" w14:textId="77777777" w:rsidR="0039297D" w:rsidRDefault="004273CA">
            <w:pPr>
              <w:spacing w:after="0"/>
              <w:jc w:val="left"/>
              <w:rPr>
                <w:color w:val="000000"/>
                <w:sz w:val="18"/>
                <w:szCs w:val="18"/>
              </w:rPr>
            </w:pPr>
            <w:r>
              <w:rPr>
                <w:color w:val="000000"/>
                <w:sz w:val="18"/>
                <w:szCs w:val="18"/>
              </w:rPr>
              <w:t>South Korea</w:t>
            </w:r>
          </w:p>
        </w:tc>
        <w:tc>
          <w:tcPr>
            <w:tcW w:w="825" w:type="dxa"/>
            <w:tcBorders>
              <w:top w:val="nil"/>
              <w:left w:val="nil"/>
              <w:bottom w:val="single" w:sz="4" w:space="0" w:color="000000"/>
              <w:right w:val="single" w:sz="8" w:space="0" w:color="000000"/>
            </w:tcBorders>
            <w:shd w:val="clear" w:color="auto" w:fill="auto"/>
            <w:vAlign w:val="bottom"/>
          </w:tcPr>
          <w:p w14:paraId="00000396" w14:textId="77777777" w:rsidR="0039297D" w:rsidRDefault="004273CA" w:rsidP="000F15C3">
            <w:pPr>
              <w:spacing w:after="0"/>
              <w:jc w:val="right"/>
              <w:rPr>
                <w:color w:val="000000"/>
                <w:sz w:val="18"/>
                <w:szCs w:val="18"/>
              </w:rPr>
            </w:pPr>
            <w:r>
              <w:rPr>
                <w:color w:val="000000"/>
                <w:sz w:val="18"/>
                <w:szCs w:val="18"/>
              </w:rPr>
              <w:t>1.69</w:t>
            </w:r>
          </w:p>
        </w:tc>
        <w:tc>
          <w:tcPr>
            <w:tcW w:w="1446"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97" w14:textId="77777777" w:rsidR="0039297D" w:rsidRDefault="004273CA">
            <w:pPr>
              <w:spacing w:after="0"/>
              <w:jc w:val="left"/>
              <w:rPr>
                <w:color w:val="000000"/>
                <w:sz w:val="18"/>
                <w:szCs w:val="18"/>
              </w:rPr>
            </w:pPr>
            <w:r>
              <w:rPr>
                <w:color w:val="000000"/>
                <w:sz w:val="18"/>
                <w:szCs w:val="18"/>
              </w:rPr>
              <w:t>Malaysia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98" w14:textId="77777777" w:rsidR="0039297D" w:rsidRDefault="004273CA" w:rsidP="000F15C3">
            <w:pPr>
              <w:spacing w:after="0"/>
              <w:jc w:val="right"/>
              <w:rPr>
                <w:color w:val="000000"/>
                <w:sz w:val="18"/>
                <w:szCs w:val="18"/>
              </w:rPr>
            </w:pPr>
            <w:r>
              <w:rPr>
                <w:color w:val="000000"/>
                <w:sz w:val="18"/>
                <w:szCs w:val="18"/>
              </w:rPr>
              <w:t>1.74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99" w14:textId="77777777" w:rsidR="0039297D" w:rsidRDefault="004273CA">
            <w:pPr>
              <w:spacing w:after="0"/>
              <w:jc w:val="left"/>
              <w:rPr>
                <w:color w:val="000000"/>
                <w:sz w:val="18"/>
                <w:szCs w:val="18"/>
              </w:rPr>
            </w:pPr>
            <w:r>
              <w:rPr>
                <w:color w:val="000000"/>
                <w:sz w:val="18"/>
                <w:szCs w:val="18"/>
              </w:rPr>
              <w:t>Eswatini</w:t>
            </w:r>
          </w:p>
        </w:tc>
        <w:tc>
          <w:tcPr>
            <w:tcW w:w="885" w:type="dxa"/>
            <w:tcBorders>
              <w:top w:val="nil"/>
              <w:left w:val="nil"/>
              <w:bottom w:val="single" w:sz="4" w:space="0" w:color="000000"/>
              <w:right w:val="single" w:sz="8" w:space="0" w:color="000000"/>
            </w:tcBorders>
            <w:shd w:val="clear" w:color="auto" w:fill="auto"/>
            <w:vAlign w:val="bottom"/>
          </w:tcPr>
          <w:p w14:paraId="0000039A" w14:textId="77777777" w:rsidR="0039297D" w:rsidRDefault="004273CA" w:rsidP="000F15C3">
            <w:pPr>
              <w:spacing w:after="0"/>
              <w:jc w:val="right"/>
              <w:rPr>
                <w:color w:val="000000"/>
                <w:sz w:val="18"/>
                <w:szCs w:val="18"/>
              </w:rPr>
            </w:pPr>
            <w:r>
              <w:rPr>
                <w:color w:val="000000"/>
                <w:sz w:val="18"/>
                <w:szCs w:val="18"/>
              </w:rPr>
              <w:t>1.74</w:t>
            </w:r>
          </w:p>
        </w:tc>
      </w:tr>
      <w:tr w:rsidR="007319F2" w14:paraId="743C7EC1"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9B" w14:textId="77777777" w:rsidR="0039297D" w:rsidRDefault="004273CA">
            <w:pPr>
              <w:spacing w:after="0"/>
              <w:jc w:val="left"/>
              <w:rPr>
                <w:color w:val="000000"/>
                <w:sz w:val="18"/>
                <w:szCs w:val="18"/>
              </w:rPr>
            </w:pPr>
            <w:r>
              <w:rPr>
                <w:color w:val="000000"/>
                <w:sz w:val="18"/>
                <w:szCs w:val="18"/>
              </w:rPr>
              <w:t>Ireland</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9C" w14:textId="77777777" w:rsidR="0039297D" w:rsidRDefault="004273CA" w:rsidP="000F15C3">
            <w:pPr>
              <w:spacing w:after="0"/>
              <w:jc w:val="right"/>
              <w:rPr>
                <w:color w:val="000000"/>
                <w:sz w:val="18"/>
                <w:szCs w:val="18"/>
              </w:rPr>
            </w:pPr>
            <w:r>
              <w:rPr>
                <w:color w:val="000000"/>
                <w:sz w:val="18"/>
                <w:szCs w:val="18"/>
              </w:rPr>
              <w:t>1.57</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9D" w14:textId="77777777" w:rsidR="0039297D" w:rsidRDefault="004273CA">
            <w:pPr>
              <w:spacing w:after="0"/>
              <w:jc w:val="left"/>
              <w:rPr>
                <w:color w:val="000000"/>
                <w:sz w:val="18"/>
                <w:szCs w:val="18"/>
              </w:rPr>
            </w:pPr>
            <w:r>
              <w:rPr>
                <w:color w:val="000000"/>
                <w:sz w:val="18"/>
                <w:szCs w:val="18"/>
              </w:rPr>
              <w:t>Japan</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9E" w14:textId="77777777" w:rsidR="0039297D" w:rsidRDefault="004273CA" w:rsidP="000F15C3">
            <w:pPr>
              <w:spacing w:after="0"/>
              <w:jc w:val="right"/>
              <w:rPr>
                <w:color w:val="000000"/>
                <w:sz w:val="18"/>
                <w:szCs w:val="18"/>
              </w:rPr>
            </w:pPr>
            <w:r>
              <w:rPr>
                <w:color w:val="000000"/>
                <w:sz w:val="18"/>
                <w:szCs w:val="18"/>
              </w:rPr>
              <w:t>2.39</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9F" w14:textId="77777777" w:rsidR="0039297D" w:rsidRDefault="004273CA">
            <w:pPr>
              <w:spacing w:after="0"/>
              <w:jc w:val="left"/>
              <w:rPr>
                <w:color w:val="000000"/>
                <w:sz w:val="18"/>
                <w:szCs w:val="18"/>
              </w:rPr>
            </w:pPr>
            <w:r>
              <w:rPr>
                <w:color w:val="000000"/>
                <w:sz w:val="18"/>
                <w:szCs w:val="18"/>
              </w:rPr>
              <w:t>France</w:t>
            </w:r>
          </w:p>
        </w:tc>
        <w:tc>
          <w:tcPr>
            <w:tcW w:w="825" w:type="dxa"/>
            <w:tcBorders>
              <w:top w:val="nil"/>
              <w:left w:val="nil"/>
              <w:bottom w:val="single" w:sz="4" w:space="0" w:color="000000"/>
              <w:right w:val="single" w:sz="8" w:space="0" w:color="000000"/>
            </w:tcBorders>
            <w:shd w:val="clear" w:color="auto" w:fill="auto"/>
            <w:vAlign w:val="bottom"/>
          </w:tcPr>
          <w:p w14:paraId="000003A0" w14:textId="77777777" w:rsidR="0039297D" w:rsidRDefault="004273CA" w:rsidP="000F15C3">
            <w:pPr>
              <w:spacing w:after="0"/>
              <w:jc w:val="right"/>
              <w:rPr>
                <w:color w:val="000000"/>
                <w:sz w:val="18"/>
                <w:szCs w:val="18"/>
              </w:rPr>
            </w:pPr>
            <w:r>
              <w:rPr>
                <w:color w:val="000000"/>
                <w:sz w:val="18"/>
                <w:szCs w:val="18"/>
              </w:rPr>
              <w:t>1.50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A1" w14:textId="77777777" w:rsidR="0039297D" w:rsidRDefault="004273CA">
            <w:pPr>
              <w:spacing w:after="0"/>
              <w:jc w:val="left"/>
              <w:rPr>
                <w:color w:val="000000"/>
                <w:sz w:val="18"/>
                <w:szCs w:val="18"/>
              </w:rPr>
            </w:pPr>
            <w:r>
              <w:rPr>
                <w:color w:val="000000"/>
                <w:sz w:val="18"/>
                <w:szCs w:val="18"/>
              </w:rPr>
              <w:t>Hong Kong</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A2" w14:textId="77777777" w:rsidR="0039297D" w:rsidRDefault="004273CA" w:rsidP="000F15C3">
            <w:pPr>
              <w:spacing w:after="0"/>
              <w:jc w:val="right"/>
              <w:rPr>
                <w:color w:val="000000"/>
                <w:sz w:val="18"/>
                <w:szCs w:val="18"/>
              </w:rPr>
            </w:pPr>
            <w:r>
              <w:rPr>
                <w:color w:val="000000"/>
                <w:sz w:val="18"/>
                <w:szCs w:val="18"/>
              </w:rPr>
              <w:t>1.38</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A3" w14:textId="77777777" w:rsidR="0039297D" w:rsidRDefault="004273CA">
            <w:pPr>
              <w:spacing w:after="0"/>
              <w:jc w:val="left"/>
              <w:rPr>
                <w:color w:val="000000"/>
                <w:sz w:val="18"/>
                <w:szCs w:val="18"/>
              </w:rPr>
            </w:pPr>
            <w:r>
              <w:rPr>
                <w:color w:val="000000"/>
                <w:sz w:val="18"/>
                <w:szCs w:val="18"/>
              </w:rPr>
              <w:t>Ireland</w:t>
            </w:r>
          </w:p>
        </w:tc>
        <w:tc>
          <w:tcPr>
            <w:tcW w:w="885" w:type="dxa"/>
            <w:tcBorders>
              <w:top w:val="nil"/>
              <w:left w:val="nil"/>
              <w:bottom w:val="single" w:sz="4" w:space="0" w:color="000000"/>
              <w:right w:val="single" w:sz="8" w:space="0" w:color="000000"/>
            </w:tcBorders>
            <w:shd w:val="clear" w:color="auto" w:fill="auto"/>
            <w:vAlign w:val="bottom"/>
          </w:tcPr>
          <w:p w14:paraId="000003A4" w14:textId="77777777" w:rsidR="0039297D" w:rsidRDefault="004273CA" w:rsidP="000F15C3">
            <w:pPr>
              <w:spacing w:after="0"/>
              <w:jc w:val="right"/>
              <w:rPr>
                <w:color w:val="000000"/>
                <w:sz w:val="18"/>
                <w:szCs w:val="18"/>
              </w:rPr>
            </w:pPr>
            <w:r>
              <w:rPr>
                <w:color w:val="000000"/>
                <w:sz w:val="18"/>
                <w:szCs w:val="18"/>
              </w:rPr>
              <w:t>1.16</w:t>
            </w:r>
          </w:p>
        </w:tc>
      </w:tr>
      <w:tr w:rsidR="007319F2" w14:paraId="4FD7B22A" w14:textId="77777777" w:rsidTr="000F15C3">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A5" w14:textId="77777777" w:rsidR="0039297D" w:rsidRDefault="004273CA">
            <w:pPr>
              <w:spacing w:after="0"/>
              <w:jc w:val="left"/>
              <w:rPr>
                <w:color w:val="000000"/>
                <w:sz w:val="18"/>
                <w:szCs w:val="18"/>
              </w:rPr>
            </w:pPr>
            <w:r>
              <w:rPr>
                <w:color w:val="000000"/>
                <w:sz w:val="18"/>
                <w:szCs w:val="18"/>
              </w:rPr>
              <w:t>Singapore</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A6" w14:textId="77777777" w:rsidR="0039297D" w:rsidRDefault="004273CA" w:rsidP="000F15C3">
            <w:pPr>
              <w:spacing w:after="0"/>
              <w:jc w:val="right"/>
              <w:rPr>
                <w:color w:val="000000"/>
                <w:sz w:val="18"/>
                <w:szCs w:val="18"/>
              </w:rPr>
            </w:pPr>
            <w:r>
              <w:rPr>
                <w:color w:val="000000"/>
                <w:sz w:val="18"/>
                <w:szCs w:val="18"/>
              </w:rPr>
              <w:t>1.35</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A7" w14:textId="77777777" w:rsidR="0039297D" w:rsidRDefault="004273CA">
            <w:pPr>
              <w:spacing w:after="0"/>
              <w:jc w:val="left"/>
              <w:rPr>
                <w:color w:val="000000"/>
                <w:sz w:val="18"/>
                <w:szCs w:val="18"/>
              </w:rPr>
            </w:pPr>
            <w:r>
              <w:rPr>
                <w:color w:val="000000"/>
                <w:sz w:val="18"/>
                <w:szCs w:val="18"/>
              </w:rPr>
              <w:t>Norway</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A8" w14:textId="77777777" w:rsidR="0039297D" w:rsidRDefault="004273CA" w:rsidP="000F15C3">
            <w:pPr>
              <w:spacing w:after="0"/>
              <w:jc w:val="right"/>
              <w:rPr>
                <w:color w:val="000000"/>
                <w:sz w:val="18"/>
                <w:szCs w:val="18"/>
              </w:rPr>
            </w:pPr>
            <w:r>
              <w:rPr>
                <w:color w:val="000000"/>
                <w:sz w:val="18"/>
                <w:szCs w:val="18"/>
              </w:rPr>
              <w:t>2.15</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A9" w14:textId="77777777" w:rsidR="0039297D" w:rsidRDefault="004273CA">
            <w:pPr>
              <w:spacing w:after="0"/>
              <w:jc w:val="left"/>
              <w:rPr>
                <w:color w:val="000000"/>
                <w:sz w:val="18"/>
                <w:szCs w:val="18"/>
              </w:rPr>
            </w:pPr>
            <w:r>
              <w:rPr>
                <w:color w:val="000000"/>
                <w:sz w:val="18"/>
                <w:szCs w:val="18"/>
              </w:rPr>
              <w:t>Hong Kong</w:t>
            </w:r>
          </w:p>
        </w:tc>
        <w:tc>
          <w:tcPr>
            <w:tcW w:w="825" w:type="dxa"/>
            <w:tcBorders>
              <w:top w:val="nil"/>
              <w:left w:val="nil"/>
              <w:bottom w:val="single" w:sz="4" w:space="0" w:color="000000"/>
              <w:right w:val="single" w:sz="8" w:space="0" w:color="000000"/>
            </w:tcBorders>
            <w:shd w:val="clear" w:color="auto" w:fill="auto"/>
            <w:vAlign w:val="bottom"/>
          </w:tcPr>
          <w:p w14:paraId="000003AA" w14:textId="77777777" w:rsidR="0039297D" w:rsidRDefault="004273CA" w:rsidP="000F15C3">
            <w:pPr>
              <w:spacing w:after="0"/>
              <w:jc w:val="right"/>
              <w:rPr>
                <w:color w:val="000000"/>
                <w:sz w:val="18"/>
                <w:szCs w:val="18"/>
              </w:rPr>
            </w:pPr>
            <w:r>
              <w:rPr>
                <w:color w:val="000000"/>
                <w:sz w:val="18"/>
                <w:szCs w:val="18"/>
              </w:rPr>
              <w:t>1.44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AB" w14:textId="77777777" w:rsidR="0039297D" w:rsidRDefault="004273CA">
            <w:pPr>
              <w:spacing w:after="0"/>
              <w:jc w:val="left"/>
              <w:rPr>
                <w:color w:val="000000"/>
                <w:sz w:val="18"/>
                <w:szCs w:val="18"/>
              </w:rPr>
            </w:pPr>
            <w:r>
              <w:rPr>
                <w:color w:val="000000"/>
                <w:sz w:val="18"/>
                <w:szCs w:val="18"/>
              </w:rPr>
              <w:t>South Korea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AC" w14:textId="77777777" w:rsidR="0039297D" w:rsidRDefault="004273CA" w:rsidP="000F15C3">
            <w:pPr>
              <w:spacing w:after="0"/>
              <w:jc w:val="right"/>
              <w:rPr>
                <w:color w:val="000000"/>
                <w:sz w:val="18"/>
                <w:szCs w:val="18"/>
              </w:rPr>
            </w:pPr>
            <w:r>
              <w:rPr>
                <w:color w:val="000000"/>
                <w:sz w:val="18"/>
                <w:szCs w:val="18"/>
              </w:rPr>
              <w:t>1.06</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AD" w14:textId="77777777" w:rsidR="0039297D" w:rsidRDefault="004273CA">
            <w:pPr>
              <w:spacing w:after="0"/>
              <w:jc w:val="left"/>
              <w:rPr>
                <w:color w:val="000000"/>
                <w:sz w:val="18"/>
                <w:szCs w:val="18"/>
              </w:rPr>
            </w:pPr>
            <w:r>
              <w:rPr>
                <w:color w:val="000000"/>
                <w:sz w:val="18"/>
                <w:szCs w:val="18"/>
              </w:rPr>
              <w:t>Botswana</w:t>
            </w:r>
          </w:p>
        </w:tc>
        <w:tc>
          <w:tcPr>
            <w:tcW w:w="885" w:type="dxa"/>
            <w:tcBorders>
              <w:top w:val="nil"/>
              <w:left w:val="nil"/>
              <w:bottom w:val="single" w:sz="4" w:space="0" w:color="000000"/>
              <w:right w:val="single" w:sz="8" w:space="0" w:color="000000"/>
            </w:tcBorders>
            <w:shd w:val="clear" w:color="auto" w:fill="auto"/>
            <w:vAlign w:val="bottom"/>
          </w:tcPr>
          <w:p w14:paraId="000003AE" w14:textId="77777777" w:rsidR="0039297D" w:rsidRDefault="004273CA" w:rsidP="000F15C3">
            <w:pPr>
              <w:spacing w:after="0"/>
              <w:jc w:val="right"/>
              <w:rPr>
                <w:color w:val="000000"/>
                <w:sz w:val="18"/>
                <w:szCs w:val="18"/>
              </w:rPr>
            </w:pPr>
            <w:r>
              <w:rPr>
                <w:color w:val="000000"/>
                <w:sz w:val="18"/>
                <w:szCs w:val="18"/>
              </w:rPr>
              <w:t>1.10</w:t>
            </w:r>
          </w:p>
        </w:tc>
      </w:tr>
      <w:tr w:rsidR="00764BD4" w14:paraId="20DADF6F"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AF" w14:textId="77777777" w:rsidR="0039297D" w:rsidRDefault="004273CA">
            <w:pPr>
              <w:spacing w:after="0"/>
              <w:jc w:val="left"/>
              <w:rPr>
                <w:color w:val="000000"/>
                <w:sz w:val="18"/>
                <w:szCs w:val="18"/>
              </w:rPr>
            </w:pPr>
            <w:r>
              <w:rPr>
                <w:color w:val="000000"/>
                <w:sz w:val="18"/>
                <w:szCs w:val="18"/>
              </w:rPr>
              <w:t>India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B0" w14:textId="77777777" w:rsidR="0039297D" w:rsidRDefault="004273CA" w:rsidP="000F15C3">
            <w:pPr>
              <w:spacing w:after="0"/>
              <w:jc w:val="right"/>
              <w:rPr>
                <w:color w:val="000000"/>
                <w:sz w:val="18"/>
                <w:szCs w:val="18"/>
              </w:rPr>
            </w:pPr>
            <w:r>
              <w:rPr>
                <w:color w:val="000000"/>
                <w:sz w:val="18"/>
                <w:szCs w:val="18"/>
              </w:rPr>
              <w:t>1.34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1" w14:textId="77777777" w:rsidR="0039297D" w:rsidRDefault="004273CA">
            <w:pPr>
              <w:spacing w:after="0"/>
              <w:jc w:val="left"/>
              <w:rPr>
                <w:color w:val="000000"/>
                <w:sz w:val="18"/>
                <w:szCs w:val="18"/>
              </w:rPr>
            </w:pPr>
            <w:r>
              <w:rPr>
                <w:color w:val="000000"/>
                <w:sz w:val="18"/>
                <w:szCs w:val="18"/>
              </w:rPr>
              <w:t>Singapore</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B2" w14:textId="77777777" w:rsidR="0039297D" w:rsidRDefault="004273CA" w:rsidP="000F15C3">
            <w:pPr>
              <w:spacing w:after="0"/>
              <w:jc w:val="right"/>
              <w:rPr>
                <w:color w:val="000000"/>
                <w:sz w:val="18"/>
                <w:szCs w:val="18"/>
              </w:rPr>
            </w:pPr>
            <w:r>
              <w:rPr>
                <w:color w:val="000000"/>
                <w:sz w:val="18"/>
                <w:szCs w:val="18"/>
              </w:rPr>
              <w:t>1.29</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3" w14:textId="77777777" w:rsidR="0039297D" w:rsidRDefault="004273CA">
            <w:pPr>
              <w:spacing w:after="0"/>
              <w:jc w:val="left"/>
              <w:rPr>
                <w:color w:val="000000"/>
                <w:sz w:val="18"/>
                <w:szCs w:val="18"/>
              </w:rPr>
            </w:pPr>
            <w:r>
              <w:rPr>
                <w:color w:val="000000"/>
                <w:sz w:val="18"/>
                <w:szCs w:val="18"/>
              </w:rPr>
              <w:t>Netherlands</w:t>
            </w:r>
          </w:p>
        </w:tc>
        <w:tc>
          <w:tcPr>
            <w:tcW w:w="825" w:type="dxa"/>
            <w:tcBorders>
              <w:top w:val="nil"/>
              <w:left w:val="nil"/>
              <w:bottom w:val="single" w:sz="4" w:space="0" w:color="000000"/>
              <w:right w:val="single" w:sz="8" w:space="0" w:color="000000"/>
            </w:tcBorders>
            <w:shd w:val="clear" w:color="auto" w:fill="auto"/>
            <w:vAlign w:val="bottom"/>
          </w:tcPr>
          <w:p w14:paraId="000003B4" w14:textId="77777777" w:rsidR="0039297D" w:rsidRDefault="004273CA" w:rsidP="000F15C3">
            <w:pPr>
              <w:spacing w:after="0"/>
              <w:jc w:val="right"/>
              <w:rPr>
                <w:color w:val="000000"/>
                <w:sz w:val="18"/>
                <w:szCs w:val="18"/>
              </w:rPr>
            </w:pPr>
            <w:r>
              <w:rPr>
                <w:color w:val="000000"/>
                <w:sz w:val="18"/>
                <w:szCs w:val="18"/>
              </w:rPr>
              <w:t>1.11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5" w14:textId="77777777" w:rsidR="0039297D" w:rsidRDefault="004273CA">
            <w:pPr>
              <w:spacing w:after="0"/>
              <w:jc w:val="left"/>
              <w:rPr>
                <w:color w:val="000000"/>
                <w:sz w:val="18"/>
                <w:szCs w:val="18"/>
              </w:rPr>
            </w:pPr>
            <w:r>
              <w:rPr>
                <w:color w:val="000000"/>
                <w:sz w:val="18"/>
                <w:szCs w:val="18"/>
              </w:rPr>
              <w:t>France</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B6" w14:textId="77777777" w:rsidR="0039297D" w:rsidRDefault="004273CA" w:rsidP="000F15C3">
            <w:pPr>
              <w:spacing w:after="0"/>
              <w:jc w:val="right"/>
              <w:rPr>
                <w:color w:val="000000"/>
                <w:sz w:val="18"/>
                <w:szCs w:val="18"/>
              </w:rPr>
            </w:pPr>
            <w:r>
              <w:rPr>
                <w:color w:val="000000"/>
                <w:sz w:val="18"/>
                <w:szCs w:val="18"/>
              </w:rPr>
              <w:t>1.03</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B7" w14:textId="77777777" w:rsidR="0039297D" w:rsidRDefault="004273CA">
            <w:pPr>
              <w:spacing w:after="0"/>
              <w:jc w:val="left"/>
              <w:rPr>
                <w:color w:val="000000"/>
                <w:sz w:val="18"/>
                <w:szCs w:val="18"/>
              </w:rPr>
            </w:pPr>
            <w:r>
              <w:rPr>
                <w:color w:val="000000"/>
                <w:sz w:val="18"/>
                <w:szCs w:val="18"/>
              </w:rPr>
              <w:t>South Korea</w:t>
            </w:r>
          </w:p>
        </w:tc>
        <w:tc>
          <w:tcPr>
            <w:tcW w:w="885" w:type="dxa"/>
            <w:tcBorders>
              <w:top w:val="nil"/>
              <w:left w:val="nil"/>
              <w:bottom w:val="single" w:sz="4" w:space="0" w:color="000000"/>
              <w:right w:val="single" w:sz="8" w:space="0" w:color="000000"/>
            </w:tcBorders>
            <w:shd w:val="clear" w:color="auto" w:fill="auto"/>
            <w:vAlign w:val="bottom"/>
          </w:tcPr>
          <w:p w14:paraId="000003B8" w14:textId="77777777" w:rsidR="0039297D" w:rsidRDefault="004273CA" w:rsidP="000F15C3">
            <w:pPr>
              <w:spacing w:after="0"/>
              <w:jc w:val="right"/>
              <w:rPr>
                <w:color w:val="000000"/>
                <w:sz w:val="18"/>
                <w:szCs w:val="18"/>
              </w:rPr>
            </w:pPr>
            <w:r>
              <w:rPr>
                <w:color w:val="000000"/>
                <w:sz w:val="18"/>
                <w:szCs w:val="18"/>
              </w:rPr>
              <w:t>0.97</w:t>
            </w:r>
          </w:p>
        </w:tc>
      </w:tr>
      <w:tr w:rsidR="00764BD4" w14:paraId="07BA6791"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B9" w14:textId="77777777" w:rsidR="0039297D" w:rsidRDefault="004273CA">
            <w:pPr>
              <w:spacing w:after="0"/>
              <w:jc w:val="left"/>
              <w:rPr>
                <w:color w:val="000000"/>
                <w:sz w:val="18"/>
                <w:szCs w:val="18"/>
              </w:rPr>
            </w:pPr>
            <w:r>
              <w:rPr>
                <w:color w:val="000000"/>
                <w:sz w:val="18"/>
                <w:szCs w:val="18"/>
              </w:rPr>
              <w:t>Netherlands</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BA" w14:textId="77777777" w:rsidR="0039297D" w:rsidRDefault="004273CA" w:rsidP="000F15C3">
            <w:pPr>
              <w:spacing w:after="0"/>
              <w:jc w:val="right"/>
              <w:rPr>
                <w:color w:val="000000"/>
                <w:sz w:val="18"/>
                <w:szCs w:val="18"/>
              </w:rPr>
            </w:pPr>
            <w:r>
              <w:rPr>
                <w:color w:val="000000"/>
                <w:sz w:val="18"/>
                <w:szCs w:val="18"/>
              </w:rPr>
              <w:t>1.23</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B" w14:textId="77777777" w:rsidR="0039297D" w:rsidRDefault="004273CA">
            <w:pPr>
              <w:spacing w:after="0"/>
              <w:jc w:val="left"/>
              <w:rPr>
                <w:color w:val="000000"/>
                <w:sz w:val="18"/>
                <w:szCs w:val="18"/>
              </w:rPr>
            </w:pPr>
            <w:r>
              <w:rPr>
                <w:color w:val="000000"/>
                <w:sz w:val="18"/>
                <w:szCs w:val="18"/>
              </w:rPr>
              <w:t>South Korea</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BC" w14:textId="77777777" w:rsidR="0039297D" w:rsidRDefault="004273CA" w:rsidP="000F15C3">
            <w:pPr>
              <w:spacing w:after="0"/>
              <w:jc w:val="right"/>
              <w:rPr>
                <w:color w:val="000000"/>
                <w:sz w:val="18"/>
                <w:szCs w:val="18"/>
              </w:rPr>
            </w:pPr>
            <w:r>
              <w:rPr>
                <w:color w:val="000000"/>
                <w:sz w:val="18"/>
                <w:szCs w:val="18"/>
              </w:rPr>
              <w:t>1.29</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D" w14:textId="77777777" w:rsidR="0039297D" w:rsidRDefault="004273CA">
            <w:pPr>
              <w:spacing w:after="0"/>
              <w:jc w:val="left"/>
              <w:rPr>
                <w:color w:val="000000"/>
                <w:sz w:val="18"/>
                <w:szCs w:val="18"/>
              </w:rPr>
            </w:pPr>
            <w:r>
              <w:rPr>
                <w:color w:val="000000"/>
                <w:sz w:val="18"/>
                <w:szCs w:val="18"/>
              </w:rPr>
              <w:t>Hungary</w:t>
            </w:r>
          </w:p>
        </w:tc>
        <w:tc>
          <w:tcPr>
            <w:tcW w:w="825" w:type="dxa"/>
            <w:tcBorders>
              <w:top w:val="nil"/>
              <w:left w:val="nil"/>
              <w:bottom w:val="single" w:sz="4" w:space="0" w:color="000000"/>
              <w:right w:val="single" w:sz="8" w:space="0" w:color="000000"/>
            </w:tcBorders>
            <w:shd w:val="clear" w:color="auto" w:fill="auto"/>
            <w:vAlign w:val="bottom"/>
          </w:tcPr>
          <w:p w14:paraId="000003BE" w14:textId="77777777" w:rsidR="0039297D" w:rsidRDefault="004273CA" w:rsidP="000F15C3">
            <w:pPr>
              <w:spacing w:after="0"/>
              <w:jc w:val="right"/>
              <w:rPr>
                <w:color w:val="000000"/>
                <w:sz w:val="18"/>
                <w:szCs w:val="18"/>
              </w:rPr>
            </w:pPr>
            <w:r>
              <w:rPr>
                <w:color w:val="000000"/>
                <w:sz w:val="18"/>
                <w:szCs w:val="18"/>
              </w:rPr>
              <w:t>1.05</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BF" w14:textId="77777777" w:rsidR="0039297D" w:rsidRDefault="004273CA">
            <w:pPr>
              <w:spacing w:after="0"/>
              <w:jc w:val="left"/>
              <w:rPr>
                <w:color w:val="000000"/>
                <w:sz w:val="18"/>
                <w:szCs w:val="18"/>
              </w:rPr>
            </w:pPr>
            <w:r>
              <w:rPr>
                <w:color w:val="000000"/>
                <w:sz w:val="18"/>
                <w:szCs w:val="18"/>
              </w:rPr>
              <w:t>Indonesia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C0" w14:textId="77777777" w:rsidR="0039297D" w:rsidRDefault="004273CA" w:rsidP="000F15C3">
            <w:pPr>
              <w:spacing w:after="0"/>
              <w:jc w:val="right"/>
              <w:rPr>
                <w:color w:val="000000"/>
                <w:sz w:val="18"/>
                <w:szCs w:val="18"/>
              </w:rPr>
            </w:pPr>
            <w:r>
              <w:rPr>
                <w:color w:val="000000"/>
                <w:sz w:val="18"/>
                <w:szCs w:val="18"/>
              </w:rPr>
              <w:t>1.02</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C1" w14:textId="77777777" w:rsidR="0039297D" w:rsidRDefault="004273CA">
            <w:pPr>
              <w:spacing w:after="0"/>
              <w:jc w:val="left"/>
              <w:rPr>
                <w:color w:val="000000"/>
                <w:sz w:val="18"/>
                <w:szCs w:val="18"/>
              </w:rPr>
            </w:pPr>
            <w:r>
              <w:rPr>
                <w:color w:val="000000"/>
                <w:sz w:val="18"/>
                <w:szCs w:val="18"/>
              </w:rPr>
              <w:t>Indonesia</w:t>
            </w:r>
          </w:p>
        </w:tc>
        <w:tc>
          <w:tcPr>
            <w:tcW w:w="885" w:type="dxa"/>
            <w:tcBorders>
              <w:top w:val="nil"/>
              <w:left w:val="nil"/>
              <w:bottom w:val="single" w:sz="4" w:space="0" w:color="000000"/>
              <w:right w:val="single" w:sz="8" w:space="0" w:color="000000"/>
            </w:tcBorders>
            <w:shd w:val="clear" w:color="auto" w:fill="auto"/>
            <w:vAlign w:val="bottom"/>
          </w:tcPr>
          <w:p w14:paraId="000003C2" w14:textId="77777777" w:rsidR="0039297D" w:rsidRDefault="004273CA" w:rsidP="000F15C3">
            <w:pPr>
              <w:spacing w:after="0"/>
              <w:jc w:val="right"/>
              <w:rPr>
                <w:color w:val="000000"/>
                <w:sz w:val="18"/>
                <w:szCs w:val="18"/>
              </w:rPr>
            </w:pPr>
            <w:r>
              <w:rPr>
                <w:color w:val="000000"/>
                <w:sz w:val="18"/>
                <w:szCs w:val="18"/>
              </w:rPr>
              <w:t>0.80</w:t>
            </w:r>
          </w:p>
        </w:tc>
      </w:tr>
      <w:tr w:rsidR="00764BD4" w14:paraId="1523C8AC"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C3" w14:textId="77777777" w:rsidR="0039297D" w:rsidRDefault="004273CA">
            <w:pPr>
              <w:spacing w:after="0"/>
              <w:jc w:val="left"/>
              <w:rPr>
                <w:color w:val="000000"/>
                <w:sz w:val="18"/>
                <w:szCs w:val="18"/>
              </w:rPr>
            </w:pPr>
            <w:r>
              <w:rPr>
                <w:color w:val="000000"/>
                <w:sz w:val="18"/>
                <w:szCs w:val="18"/>
              </w:rPr>
              <w:t>South Korea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C4" w14:textId="77777777" w:rsidR="0039297D" w:rsidRDefault="004273CA" w:rsidP="000F15C3">
            <w:pPr>
              <w:spacing w:after="0"/>
              <w:jc w:val="right"/>
              <w:rPr>
                <w:color w:val="000000"/>
                <w:sz w:val="18"/>
                <w:szCs w:val="18"/>
              </w:rPr>
            </w:pPr>
            <w:r>
              <w:rPr>
                <w:color w:val="000000"/>
                <w:sz w:val="18"/>
                <w:szCs w:val="18"/>
              </w:rPr>
              <w:t>1.14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C5" w14:textId="77777777" w:rsidR="0039297D" w:rsidRDefault="004273CA">
            <w:pPr>
              <w:spacing w:after="0"/>
              <w:jc w:val="left"/>
              <w:rPr>
                <w:color w:val="000000"/>
                <w:sz w:val="18"/>
                <w:szCs w:val="18"/>
              </w:rPr>
            </w:pPr>
            <w:r>
              <w:rPr>
                <w:color w:val="000000"/>
                <w:sz w:val="18"/>
                <w:szCs w:val="18"/>
              </w:rPr>
              <w:t>Switzerland</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C6" w14:textId="77777777" w:rsidR="0039297D" w:rsidRDefault="004273CA" w:rsidP="000F15C3">
            <w:pPr>
              <w:spacing w:after="0"/>
              <w:jc w:val="right"/>
              <w:rPr>
                <w:color w:val="000000"/>
                <w:sz w:val="18"/>
                <w:szCs w:val="18"/>
              </w:rPr>
            </w:pPr>
            <w:r>
              <w:rPr>
                <w:color w:val="000000"/>
                <w:sz w:val="18"/>
                <w:szCs w:val="18"/>
              </w:rPr>
              <w:t>1.28</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C7" w14:textId="77777777" w:rsidR="0039297D" w:rsidRDefault="004273CA">
            <w:pPr>
              <w:spacing w:after="0"/>
              <w:jc w:val="left"/>
              <w:rPr>
                <w:color w:val="000000"/>
                <w:sz w:val="18"/>
                <w:szCs w:val="18"/>
              </w:rPr>
            </w:pPr>
            <w:r>
              <w:rPr>
                <w:color w:val="000000"/>
                <w:sz w:val="18"/>
                <w:szCs w:val="18"/>
              </w:rPr>
              <w:t>Malaysia</w:t>
            </w:r>
          </w:p>
        </w:tc>
        <w:tc>
          <w:tcPr>
            <w:tcW w:w="825" w:type="dxa"/>
            <w:tcBorders>
              <w:top w:val="nil"/>
              <w:left w:val="nil"/>
              <w:bottom w:val="single" w:sz="4" w:space="0" w:color="000000"/>
              <w:right w:val="single" w:sz="8" w:space="0" w:color="000000"/>
            </w:tcBorders>
            <w:shd w:val="clear" w:color="auto" w:fill="auto"/>
            <w:vAlign w:val="bottom"/>
          </w:tcPr>
          <w:p w14:paraId="000003C8" w14:textId="77777777" w:rsidR="0039297D" w:rsidRDefault="004273CA" w:rsidP="000F15C3">
            <w:pPr>
              <w:spacing w:after="0"/>
              <w:jc w:val="right"/>
              <w:rPr>
                <w:color w:val="000000"/>
                <w:sz w:val="18"/>
                <w:szCs w:val="18"/>
              </w:rPr>
            </w:pPr>
            <w:r>
              <w:rPr>
                <w:color w:val="000000"/>
                <w:sz w:val="18"/>
                <w:szCs w:val="18"/>
              </w:rPr>
              <w:t>1.04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C9" w14:textId="77777777" w:rsidR="0039297D" w:rsidRDefault="004273CA">
            <w:pPr>
              <w:spacing w:after="0"/>
              <w:jc w:val="left"/>
              <w:rPr>
                <w:color w:val="000000"/>
                <w:sz w:val="18"/>
                <w:szCs w:val="18"/>
              </w:rPr>
            </w:pPr>
            <w:r>
              <w:rPr>
                <w:color w:val="000000"/>
                <w:sz w:val="18"/>
                <w:szCs w:val="18"/>
              </w:rPr>
              <w:t>Botswana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CA" w14:textId="77777777" w:rsidR="0039297D" w:rsidRDefault="004273CA" w:rsidP="000F15C3">
            <w:pPr>
              <w:spacing w:after="0"/>
              <w:jc w:val="right"/>
              <w:rPr>
                <w:color w:val="000000"/>
                <w:sz w:val="18"/>
                <w:szCs w:val="18"/>
              </w:rPr>
            </w:pPr>
            <w:r>
              <w:rPr>
                <w:color w:val="000000"/>
                <w:sz w:val="18"/>
                <w:szCs w:val="18"/>
              </w:rPr>
              <w:t>0.97</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CB" w14:textId="77777777" w:rsidR="0039297D" w:rsidRDefault="004273CA">
            <w:pPr>
              <w:spacing w:after="0"/>
              <w:jc w:val="left"/>
              <w:rPr>
                <w:color w:val="000000"/>
                <w:sz w:val="18"/>
                <w:szCs w:val="18"/>
              </w:rPr>
            </w:pPr>
            <w:r>
              <w:rPr>
                <w:color w:val="000000"/>
                <w:sz w:val="18"/>
                <w:szCs w:val="18"/>
              </w:rPr>
              <w:t>Hong Kong</w:t>
            </w:r>
          </w:p>
        </w:tc>
        <w:tc>
          <w:tcPr>
            <w:tcW w:w="885" w:type="dxa"/>
            <w:tcBorders>
              <w:top w:val="nil"/>
              <w:left w:val="nil"/>
              <w:bottom w:val="single" w:sz="4" w:space="0" w:color="000000"/>
              <w:right w:val="single" w:sz="8" w:space="0" w:color="000000"/>
            </w:tcBorders>
            <w:shd w:val="clear" w:color="auto" w:fill="auto"/>
            <w:vAlign w:val="bottom"/>
          </w:tcPr>
          <w:p w14:paraId="000003CC" w14:textId="77777777" w:rsidR="0039297D" w:rsidRDefault="004273CA" w:rsidP="000F15C3">
            <w:pPr>
              <w:spacing w:after="0"/>
              <w:jc w:val="right"/>
              <w:rPr>
                <w:color w:val="000000"/>
                <w:sz w:val="18"/>
                <w:szCs w:val="18"/>
              </w:rPr>
            </w:pPr>
            <w:r>
              <w:rPr>
                <w:color w:val="000000"/>
                <w:sz w:val="18"/>
                <w:szCs w:val="18"/>
              </w:rPr>
              <w:t>0.78</w:t>
            </w:r>
          </w:p>
        </w:tc>
      </w:tr>
      <w:tr w:rsidR="00764BD4" w14:paraId="18D61B4B"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CD" w14:textId="77777777" w:rsidR="0039297D" w:rsidRDefault="004273CA">
            <w:pPr>
              <w:spacing w:after="0"/>
              <w:jc w:val="left"/>
              <w:rPr>
                <w:color w:val="000000"/>
                <w:sz w:val="18"/>
                <w:szCs w:val="18"/>
              </w:rPr>
            </w:pPr>
            <w:r>
              <w:rPr>
                <w:color w:val="000000"/>
                <w:sz w:val="18"/>
                <w:szCs w:val="18"/>
              </w:rPr>
              <w:t>Thailand</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CE" w14:textId="77777777" w:rsidR="0039297D" w:rsidRDefault="004273CA" w:rsidP="000F15C3">
            <w:pPr>
              <w:spacing w:after="0"/>
              <w:jc w:val="right"/>
              <w:rPr>
                <w:color w:val="000000"/>
                <w:sz w:val="18"/>
                <w:szCs w:val="18"/>
              </w:rPr>
            </w:pPr>
            <w:r>
              <w:rPr>
                <w:color w:val="000000"/>
                <w:sz w:val="18"/>
                <w:szCs w:val="18"/>
              </w:rPr>
              <w:t>1.00</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CF" w14:textId="77777777" w:rsidR="0039297D" w:rsidRDefault="004273CA">
            <w:pPr>
              <w:spacing w:after="0"/>
              <w:jc w:val="left"/>
              <w:rPr>
                <w:color w:val="000000"/>
                <w:sz w:val="18"/>
                <w:szCs w:val="18"/>
              </w:rPr>
            </w:pPr>
            <w:r>
              <w:rPr>
                <w:color w:val="000000"/>
                <w:sz w:val="18"/>
                <w:szCs w:val="18"/>
              </w:rPr>
              <w:t>Mauritius</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D0" w14:textId="77777777" w:rsidR="0039297D" w:rsidRDefault="004273CA" w:rsidP="000F15C3">
            <w:pPr>
              <w:spacing w:after="0"/>
              <w:jc w:val="right"/>
              <w:rPr>
                <w:color w:val="000000"/>
                <w:sz w:val="18"/>
                <w:szCs w:val="18"/>
              </w:rPr>
            </w:pPr>
            <w:r>
              <w:rPr>
                <w:color w:val="000000"/>
                <w:sz w:val="18"/>
                <w:szCs w:val="18"/>
              </w:rPr>
              <w:t>1.05</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D1" w14:textId="77777777" w:rsidR="0039297D" w:rsidRDefault="004273CA">
            <w:pPr>
              <w:spacing w:after="0"/>
              <w:jc w:val="left"/>
              <w:rPr>
                <w:color w:val="000000"/>
                <w:sz w:val="18"/>
                <w:szCs w:val="18"/>
              </w:rPr>
            </w:pPr>
            <w:r>
              <w:rPr>
                <w:color w:val="000000"/>
                <w:sz w:val="18"/>
                <w:szCs w:val="18"/>
              </w:rPr>
              <w:t>Indonesia</w:t>
            </w:r>
          </w:p>
        </w:tc>
        <w:tc>
          <w:tcPr>
            <w:tcW w:w="825" w:type="dxa"/>
            <w:tcBorders>
              <w:top w:val="nil"/>
              <w:left w:val="nil"/>
              <w:bottom w:val="single" w:sz="4" w:space="0" w:color="000000"/>
              <w:right w:val="single" w:sz="8" w:space="0" w:color="000000"/>
            </w:tcBorders>
            <w:shd w:val="clear" w:color="auto" w:fill="auto"/>
            <w:vAlign w:val="bottom"/>
          </w:tcPr>
          <w:p w14:paraId="000003D2" w14:textId="77777777" w:rsidR="0039297D" w:rsidRDefault="004273CA" w:rsidP="000F15C3">
            <w:pPr>
              <w:spacing w:after="0"/>
              <w:jc w:val="right"/>
              <w:rPr>
                <w:color w:val="000000"/>
                <w:sz w:val="18"/>
                <w:szCs w:val="18"/>
              </w:rPr>
            </w:pPr>
            <w:r>
              <w:rPr>
                <w:color w:val="000000"/>
                <w:sz w:val="18"/>
                <w:szCs w:val="18"/>
              </w:rPr>
              <w:t>0.94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D3" w14:textId="77777777" w:rsidR="0039297D" w:rsidRDefault="004273CA">
            <w:pPr>
              <w:spacing w:after="0"/>
              <w:jc w:val="left"/>
              <w:rPr>
                <w:color w:val="000000"/>
                <w:sz w:val="18"/>
                <w:szCs w:val="18"/>
              </w:rPr>
            </w:pPr>
            <w:r>
              <w:rPr>
                <w:color w:val="000000"/>
                <w:sz w:val="18"/>
                <w:szCs w:val="18"/>
              </w:rPr>
              <w:t>Czech Rep.</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D4" w14:textId="77777777" w:rsidR="0039297D" w:rsidRDefault="004273CA" w:rsidP="000F15C3">
            <w:pPr>
              <w:spacing w:after="0"/>
              <w:jc w:val="right"/>
              <w:rPr>
                <w:color w:val="000000"/>
                <w:sz w:val="18"/>
                <w:szCs w:val="18"/>
              </w:rPr>
            </w:pPr>
            <w:r>
              <w:rPr>
                <w:color w:val="000000"/>
                <w:sz w:val="18"/>
                <w:szCs w:val="18"/>
              </w:rPr>
              <w:t>0.84</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D5" w14:textId="77777777" w:rsidR="0039297D" w:rsidRDefault="004273CA">
            <w:pPr>
              <w:spacing w:after="0"/>
              <w:jc w:val="left"/>
              <w:rPr>
                <w:color w:val="000000"/>
                <w:sz w:val="18"/>
                <w:szCs w:val="18"/>
              </w:rPr>
            </w:pPr>
            <w:r>
              <w:rPr>
                <w:color w:val="000000"/>
                <w:sz w:val="18"/>
                <w:szCs w:val="18"/>
              </w:rPr>
              <w:t>France</w:t>
            </w:r>
          </w:p>
        </w:tc>
        <w:tc>
          <w:tcPr>
            <w:tcW w:w="885" w:type="dxa"/>
            <w:tcBorders>
              <w:top w:val="nil"/>
              <w:left w:val="nil"/>
              <w:bottom w:val="single" w:sz="4" w:space="0" w:color="000000"/>
              <w:right w:val="single" w:sz="8" w:space="0" w:color="000000"/>
            </w:tcBorders>
            <w:shd w:val="clear" w:color="auto" w:fill="auto"/>
            <w:vAlign w:val="bottom"/>
          </w:tcPr>
          <w:p w14:paraId="000003D6" w14:textId="77777777" w:rsidR="0039297D" w:rsidRDefault="004273CA" w:rsidP="000F15C3">
            <w:pPr>
              <w:spacing w:after="0"/>
              <w:jc w:val="right"/>
              <w:rPr>
                <w:color w:val="000000"/>
                <w:sz w:val="18"/>
                <w:szCs w:val="18"/>
              </w:rPr>
            </w:pPr>
            <w:r>
              <w:rPr>
                <w:color w:val="000000"/>
                <w:sz w:val="18"/>
                <w:szCs w:val="18"/>
              </w:rPr>
              <w:t>0.77</w:t>
            </w:r>
          </w:p>
        </w:tc>
      </w:tr>
      <w:tr w:rsidR="00764BD4" w14:paraId="68E1D78C"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D7" w14:textId="77777777" w:rsidR="0039297D" w:rsidRDefault="004273CA">
            <w:pPr>
              <w:spacing w:after="0"/>
              <w:jc w:val="left"/>
              <w:rPr>
                <w:color w:val="000000"/>
                <w:sz w:val="18"/>
                <w:szCs w:val="18"/>
              </w:rPr>
            </w:pPr>
            <w:r>
              <w:rPr>
                <w:color w:val="000000"/>
                <w:sz w:val="18"/>
                <w:szCs w:val="18"/>
              </w:rPr>
              <w:t>Switzerland</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D8" w14:textId="77777777" w:rsidR="0039297D" w:rsidRDefault="004273CA" w:rsidP="000F15C3">
            <w:pPr>
              <w:spacing w:after="0"/>
              <w:jc w:val="right"/>
              <w:rPr>
                <w:color w:val="000000"/>
                <w:sz w:val="18"/>
                <w:szCs w:val="18"/>
              </w:rPr>
            </w:pPr>
            <w:r>
              <w:rPr>
                <w:color w:val="000000"/>
                <w:sz w:val="18"/>
                <w:szCs w:val="18"/>
              </w:rPr>
              <w:t>0.85</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D9" w14:textId="77777777" w:rsidR="0039297D" w:rsidRDefault="004273CA">
            <w:pPr>
              <w:spacing w:after="0"/>
              <w:jc w:val="left"/>
              <w:rPr>
                <w:color w:val="000000"/>
                <w:sz w:val="18"/>
                <w:szCs w:val="18"/>
              </w:rPr>
            </w:pPr>
            <w:r>
              <w:rPr>
                <w:color w:val="000000"/>
                <w:sz w:val="18"/>
                <w:szCs w:val="18"/>
              </w:rPr>
              <w:t>Indonesia</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DA" w14:textId="77777777" w:rsidR="0039297D" w:rsidRDefault="004273CA" w:rsidP="000F15C3">
            <w:pPr>
              <w:spacing w:after="0"/>
              <w:jc w:val="right"/>
              <w:rPr>
                <w:color w:val="000000"/>
                <w:sz w:val="18"/>
                <w:szCs w:val="18"/>
              </w:rPr>
            </w:pPr>
            <w:r>
              <w:rPr>
                <w:color w:val="000000"/>
                <w:sz w:val="18"/>
                <w:szCs w:val="18"/>
              </w:rPr>
              <w:t>0.99</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DB" w14:textId="77777777" w:rsidR="0039297D" w:rsidRDefault="004273CA">
            <w:pPr>
              <w:spacing w:after="0"/>
              <w:jc w:val="left"/>
              <w:rPr>
                <w:color w:val="000000"/>
                <w:sz w:val="18"/>
                <w:szCs w:val="18"/>
              </w:rPr>
            </w:pPr>
            <w:r>
              <w:rPr>
                <w:color w:val="000000"/>
                <w:sz w:val="18"/>
                <w:szCs w:val="18"/>
              </w:rPr>
              <w:t>Botswana</w:t>
            </w:r>
          </w:p>
        </w:tc>
        <w:tc>
          <w:tcPr>
            <w:tcW w:w="825" w:type="dxa"/>
            <w:tcBorders>
              <w:top w:val="nil"/>
              <w:left w:val="nil"/>
              <w:bottom w:val="single" w:sz="4" w:space="0" w:color="000000"/>
              <w:right w:val="single" w:sz="8" w:space="0" w:color="000000"/>
            </w:tcBorders>
            <w:shd w:val="clear" w:color="auto" w:fill="auto"/>
            <w:vAlign w:val="bottom"/>
          </w:tcPr>
          <w:p w14:paraId="000003DC" w14:textId="77777777" w:rsidR="0039297D" w:rsidRDefault="004273CA" w:rsidP="000F15C3">
            <w:pPr>
              <w:spacing w:after="0"/>
              <w:jc w:val="right"/>
              <w:rPr>
                <w:color w:val="000000"/>
                <w:sz w:val="18"/>
                <w:szCs w:val="18"/>
              </w:rPr>
            </w:pPr>
            <w:r>
              <w:rPr>
                <w:color w:val="000000"/>
                <w:sz w:val="18"/>
                <w:szCs w:val="18"/>
              </w:rPr>
              <w:t>0.92</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DD" w14:textId="77777777" w:rsidR="0039297D" w:rsidRDefault="004273CA">
            <w:pPr>
              <w:spacing w:after="0"/>
              <w:jc w:val="left"/>
              <w:rPr>
                <w:color w:val="000000"/>
                <w:sz w:val="18"/>
                <w:szCs w:val="18"/>
              </w:rPr>
            </w:pPr>
            <w:r>
              <w:rPr>
                <w:color w:val="000000"/>
                <w:sz w:val="18"/>
                <w:szCs w:val="18"/>
              </w:rPr>
              <w:t>Switzerland</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DE" w14:textId="77777777" w:rsidR="0039297D" w:rsidRDefault="004273CA" w:rsidP="000F15C3">
            <w:pPr>
              <w:spacing w:after="0"/>
              <w:jc w:val="right"/>
              <w:rPr>
                <w:color w:val="000000"/>
                <w:sz w:val="18"/>
                <w:szCs w:val="18"/>
              </w:rPr>
            </w:pPr>
            <w:r>
              <w:rPr>
                <w:color w:val="000000"/>
                <w:sz w:val="18"/>
                <w:szCs w:val="18"/>
              </w:rPr>
              <w:t>0.82</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DF" w14:textId="77777777" w:rsidR="0039297D" w:rsidRDefault="004273CA">
            <w:pPr>
              <w:spacing w:after="0"/>
              <w:jc w:val="left"/>
              <w:rPr>
                <w:color w:val="000000"/>
                <w:sz w:val="18"/>
                <w:szCs w:val="18"/>
              </w:rPr>
            </w:pPr>
            <w:r>
              <w:rPr>
                <w:color w:val="000000"/>
                <w:sz w:val="18"/>
                <w:szCs w:val="18"/>
              </w:rPr>
              <w:t>Switzerland</w:t>
            </w:r>
          </w:p>
        </w:tc>
        <w:tc>
          <w:tcPr>
            <w:tcW w:w="885" w:type="dxa"/>
            <w:tcBorders>
              <w:top w:val="nil"/>
              <w:left w:val="nil"/>
              <w:bottom w:val="single" w:sz="4" w:space="0" w:color="000000"/>
              <w:right w:val="single" w:sz="8" w:space="0" w:color="000000"/>
            </w:tcBorders>
            <w:shd w:val="clear" w:color="auto" w:fill="auto"/>
            <w:vAlign w:val="bottom"/>
          </w:tcPr>
          <w:p w14:paraId="000003E0" w14:textId="77777777" w:rsidR="0039297D" w:rsidRDefault="004273CA" w:rsidP="000F15C3">
            <w:pPr>
              <w:spacing w:after="0"/>
              <w:jc w:val="right"/>
              <w:rPr>
                <w:color w:val="000000"/>
                <w:sz w:val="18"/>
                <w:szCs w:val="18"/>
              </w:rPr>
            </w:pPr>
            <w:r>
              <w:rPr>
                <w:color w:val="000000"/>
                <w:sz w:val="18"/>
                <w:szCs w:val="18"/>
              </w:rPr>
              <w:t>0.55</w:t>
            </w:r>
          </w:p>
        </w:tc>
      </w:tr>
      <w:tr w:rsidR="00764BD4" w14:paraId="3B1704C1" w14:textId="77777777" w:rsidTr="00764BD4">
        <w:trPr>
          <w:trHeight w:val="290"/>
          <w:jc w:val="center"/>
        </w:trPr>
        <w:tc>
          <w:tcPr>
            <w:tcW w:w="1446" w:type="dxa"/>
            <w:tcBorders>
              <w:top w:val="nil"/>
              <w:left w:val="single" w:sz="8" w:space="0" w:color="000000"/>
              <w:bottom w:val="single" w:sz="4" w:space="0" w:color="000000"/>
              <w:right w:val="single" w:sz="4" w:space="0" w:color="000000"/>
            </w:tcBorders>
            <w:shd w:val="clear" w:color="auto" w:fill="auto"/>
            <w:tcMar>
              <w:left w:w="57" w:type="dxa"/>
              <w:right w:w="57" w:type="dxa"/>
            </w:tcMar>
            <w:vAlign w:val="bottom"/>
          </w:tcPr>
          <w:p w14:paraId="000003E1" w14:textId="77777777" w:rsidR="0039297D" w:rsidRDefault="004273CA">
            <w:pPr>
              <w:spacing w:after="0"/>
              <w:jc w:val="left"/>
              <w:rPr>
                <w:color w:val="000000"/>
                <w:sz w:val="18"/>
                <w:szCs w:val="18"/>
              </w:rPr>
            </w:pPr>
            <w:r>
              <w:rPr>
                <w:color w:val="000000"/>
                <w:sz w:val="18"/>
                <w:szCs w:val="18"/>
              </w:rPr>
              <w:t>Indonesia</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E2" w14:textId="77777777" w:rsidR="0039297D" w:rsidRDefault="004273CA" w:rsidP="000F15C3">
            <w:pPr>
              <w:spacing w:after="0"/>
              <w:jc w:val="right"/>
              <w:rPr>
                <w:color w:val="000000"/>
                <w:sz w:val="18"/>
                <w:szCs w:val="18"/>
              </w:rPr>
            </w:pPr>
            <w:r>
              <w:rPr>
                <w:color w:val="000000"/>
                <w:sz w:val="18"/>
                <w:szCs w:val="18"/>
              </w:rPr>
              <w:t>0.84</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E3" w14:textId="77777777" w:rsidR="0039297D" w:rsidRDefault="004273CA">
            <w:pPr>
              <w:spacing w:after="0"/>
              <w:jc w:val="left"/>
              <w:rPr>
                <w:color w:val="000000"/>
                <w:sz w:val="18"/>
                <w:szCs w:val="18"/>
              </w:rPr>
            </w:pPr>
            <w:r>
              <w:rPr>
                <w:color w:val="000000"/>
                <w:sz w:val="18"/>
                <w:szCs w:val="18"/>
              </w:rPr>
              <w:t>Sweden</w:t>
            </w:r>
          </w:p>
        </w:tc>
        <w:tc>
          <w:tcPr>
            <w:tcW w:w="825" w:type="dxa"/>
            <w:tcBorders>
              <w:top w:val="nil"/>
              <w:left w:val="nil"/>
              <w:bottom w:val="single" w:sz="4" w:space="0" w:color="000000"/>
              <w:right w:val="single" w:sz="8" w:space="0" w:color="000000"/>
            </w:tcBorders>
            <w:shd w:val="clear" w:color="auto" w:fill="auto"/>
            <w:tcMar>
              <w:left w:w="28" w:type="dxa"/>
              <w:right w:w="85" w:type="dxa"/>
            </w:tcMar>
            <w:vAlign w:val="bottom"/>
          </w:tcPr>
          <w:p w14:paraId="000003E4" w14:textId="77777777" w:rsidR="0039297D" w:rsidRDefault="004273CA" w:rsidP="000F15C3">
            <w:pPr>
              <w:spacing w:after="0"/>
              <w:jc w:val="right"/>
              <w:rPr>
                <w:color w:val="000000"/>
                <w:sz w:val="18"/>
                <w:szCs w:val="18"/>
              </w:rPr>
            </w:pPr>
            <w:r>
              <w:rPr>
                <w:color w:val="000000"/>
                <w:sz w:val="18"/>
                <w:szCs w:val="18"/>
              </w:rPr>
              <w:t>0.87</w:t>
            </w:r>
          </w:p>
        </w:tc>
        <w:tc>
          <w:tcPr>
            <w:tcW w:w="1425"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E5" w14:textId="77777777" w:rsidR="0039297D" w:rsidRDefault="004273CA">
            <w:pPr>
              <w:spacing w:after="0"/>
              <w:jc w:val="left"/>
              <w:rPr>
                <w:color w:val="000000"/>
                <w:sz w:val="18"/>
                <w:szCs w:val="18"/>
              </w:rPr>
            </w:pPr>
            <w:r>
              <w:rPr>
                <w:color w:val="000000"/>
                <w:sz w:val="18"/>
                <w:szCs w:val="18"/>
              </w:rPr>
              <w:t>Philippines</w:t>
            </w:r>
          </w:p>
        </w:tc>
        <w:tc>
          <w:tcPr>
            <w:tcW w:w="825" w:type="dxa"/>
            <w:tcBorders>
              <w:top w:val="nil"/>
              <w:left w:val="nil"/>
              <w:bottom w:val="single" w:sz="4" w:space="0" w:color="000000"/>
              <w:right w:val="single" w:sz="8" w:space="0" w:color="000000"/>
            </w:tcBorders>
            <w:shd w:val="clear" w:color="auto" w:fill="auto"/>
            <w:vAlign w:val="bottom"/>
          </w:tcPr>
          <w:p w14:paraId="000003E6" w14:textId="77777777" w:rsidR="0039297D" w:rsidRDefault="004273CA" w:rsidP="000F15C3">
            <w:pPr>
              <w:spacing w:after="0"/>
              <w:jc w:val="right"/>
              <w:rPr>
                <w:color w:val="000000"/>
                <w:sz w:val="18"/>
                <w:szCs w:val="18"/>
              </w:rPr>
            </w:pPr>
            <w:r>
              <w:rPr>
                <w:color w:val="000000"/>
                <w:sz w:val="18"/>
                <w:szCs w:val="18"/>
              </w:rPr>
              <w:t>0.81</w:t>
            </w:r>
          </w:p>
        </w:tc>
        <w:tc>
          <w:tcPr>
            <w:tcW w:w="1446" w:type="dxa"/>
            <w:tcBorders>
              <w:top w:val="nil"/>
              <w:left w:val="nil"/>
              <w:bottom w:val="single" w:sz="4" w:space="0" w:color="000000"/>
              <w:right w:val="single" w:sz="4" w:space="0" w:color="000000"/>
            </w:tcBorders>
            <w:shd w:val="clear" w:color="auto" w:fill="auto"/>
            <w:tcMar>
              <w:left w:w="57" w:type="dxa"/>
              <w:right w:w="57" w:type="dxa"/>
            </w:tcMar>
            <w:vAlign w:val="bottom"/>
          </w:tcPr>
          <w:p w14:paraId="000003E7" w14:textId="77777777" w:rsidR="0039297D" w:rsidRDefault="004273CA">
            <w:pPr>
              <w:spacing w:after="0"/>
              <w:jc w:val="left"/>
              <w:rPr>
                <w:color w:val="000000"/>
                <w:sz w:val="18"/>
                <w:szCs w:val="18"/>
              </w:rPr>
            </w:pPr>
            <w:r>
              <w:rPr>
                <w:color w:val="000000"/>
                <w:sz w:val="18"/>
                <w:szCs w:val="18"/>
              </w:rPr>
              <w:t>Mexico</w:t>
            </w:r>
          </w:p>
        </w:tc>
        <w:tc>
          <w:tcPr>
            <w:tcW w:w="810" w:type="dxa"/>
            <w:tcBorders>
              <w:top w:val="nil"/>
              <w:left w:val="nil"/>
              <w:bottom w:val="single" w:sz="4" w:space="0" w:color="000000"/>
              <w:right w:val="single" w:sz="8" w:space="0" w:color="000000"/>
            </w:tcBorders>
            <w:shd w:val="clear" w:color="auto" w:fill="auto"/>
            <w:tcMar>
              <w:right w:w="85" w:type="dxa"/>
            </w:tcMar>
            <w:vAlign w:val="bottom"/>
          </w:tcPr>
          <w:p w14:paraId="000003E8" w14:textId="77777777" w:rsidR="0039297D" w:rsidRDefault="004273CA" w:rsidP="000F15C3">
            <w:pPr>
              <w:spacing w:after="0"/>
              <w:jc w:val="right"/>
              <w:rPr>
                <w:color w:val="000000"/>
                <w:sz w:val="18"/>
                <w:szCs w:val="18"/>
              </w:rPr>
            </w:pPr>
            <w:r>
              <w:rPr>
                <w:color w:val="000000"/>
                <w:sz w:val="18"/>
                <w:szCs w:val="18"/>
              </w:rPr>
              <w:t>0.76</w:t>
            </w:r>
          </w:p>
        </w:tc>
        <w:tc>
          <w:tcPr>
            <w:tcW w:w="1425" w:type="dxa"/>
            <w:tcBorders>
              <w:top w:val="nil"/>
              <w:left w:val="nil"/>
              <w:bottom w:val="single" w:sz="4" w:space="0" w:color="000000"/>
              <w:right w:val="single" w:sz="4" w:space="0" w:color="000000"/>
            </w:tcBorders>
            <w:shd w:val="clear" w:color="auto" w:fill="auto"/>
            <w:tcMar>
              <w:left w:w="57" w:type="dxa"/>
              <w:right w:w="28" w:type="dxa"/>
            </w:tcMar>
            <w:vAlign w:val="bottom"/>
          </w:tcPr>
          <w:p w14:paraId="000003E9" w14:textId="77777777" w:rsidR="0039297D" w:rsidRDefault="004273CA">
            <w:pPr>
              <w:spacing w:after="0"/>
              <w:jc w:val="left"/>
              <w:rPr>
                <w:color w:val="000000"/>
                <w:sz w:val="18"/>
                <w:szCs w:val="18"/>
              </w:rPr>
            </w:pPr>
            <w:r>
              <w:rPr>
                <w:color w:val="000000"/>
                <w:sz w:val="18"/>
                <w:szCs w:val="18"/>
              </w:rPr>
              <w:t>Singapore</w:t>
            </w:r>
          </w:p>
        </w:tc>
        <w:tc>
          <w:tcPr>
            <w:tcW w:w="885" w:type="dxa"/>
            <w:tcBorders>
              <w:top w:val="nil"/>
              <w:left w:val="nil"/>
              <w:bottom w:val="single" w:sz="4" w:space="0" w:color="000000"/>
              <w:right w:val="single" w:sz="8" w:space="0" w:color="000000"/>
            </w:tcBorders>
            <w:shd w:val="clear" w:color="auto" w:fill="auto"/>
            <w:vAlign w:val="bottom"/>
          </w:tcPr>
          <w:p w14:paraId="000003EA" w14:textId="77777777" w:rsidR="0039297D" w:rsidRDefault="004273CA" w:rsidP="000F15C3">
            <w:pPr>
              <w:spacing w:after="0"/>
              <w:jc w:val="right"/>
              <w:rPr>
                <w:color w:val="000000"/>
                <w:sz w:val="18"/>
                <w:szCs w:val="18"/>
              </w:rPr>
            </w:pPr>
            <w:r>
              <w:rPr>
                <w:color w:val="000000"/>
                <w:sz w:val="18"/>
                <w:szCs w:val="18"/>
              </w:rPr>
              <w:t>0.45</w:t>
            </w:r>
          </w:p>
        </w:tc>
      </w:tr>
      <w:tr w:rsidR="00764BD4" w14:paraId="7D1E335B" w14:textId="77777777" w:rsidTr="00764BD4">
        <w:trPr>
          <w:trHeight w:val="300"/>
          <w:jc w:val="center"/>
        </w:trPr>
        <w:tc>
          <w:tcPr>
            <w:tcW w:w="1446" w:type="dxa"/>
            <w:tcBorders>
              <w:top w:val="nil"/>
              <w:left w:val="single" w:sz="8" w:space="0" w:color="000000"/>
              <w:bottom w:val="single" w:sz="8" w:space="0" w:color="000000"/>
              <w:right w:val="single" w:sz="4" w:space="0" w:color="000000"/>
            </w:tcBorders>
            <w:shd w:val="clear" w:color="auto" w:fill="auto"/>
            <w:tcMar>
              <w:left w:w="57" w:type="dxa"/>
              <w:right w:w="57" w:type="dxa"/>
            </w:tcMar>
            <w:vAlign w:val="bottom"/>
          </w:tcPr>
          <w:p w14:paraId="000003EB" w14:textId="77777777" w:rsidR="0039297D" w:rsidRDefault="004273CA">
            <w:pPr>
              <w:spacing w:after="0"/>
              <w:jc w:val="left"/>
              <w:rPr>
                <w:color w:val="000000"/>
                <w:sz w:val="18"/>
                <w:szCs w:val="18"/>
              </w:rPr>
            </w:pPr>
            <w:r>
              <w:rPr>
                <w:color w:val="000000"/>
                <w:sz w:val="18"/>
                <w:szCs w:val="18"/>
              </w:rPr>
              <w:t>Turkey</w:t>
            </w:r>
          </w:p>
        </w:tc>
        <w:tc>
          <w:tcPr>
            <w:tcW w:w="810" w:type="dxa"/>
            <w:tcBorders>
              <w:top w:val="nil"/>
              <w:left w:val="nil"/>
              <w:bottom w:val="single" w:sz="8" w:space="0" w:color="000000"/>
              <w:right w:val="single" w:sz="8" w:space="0" w:color="000000"/>
            </w:tcBorders>
            <w:shd w:val="clear" w:color="auto" w:fill="auto"/>
            <w:tcMar>
              <w:right w:w="85" w:type="dxa"/>
            </w:tcMar>
            <w:vAlign w:val="bottom"/>
          </w:tcPr>
          <w:p w14:paraId="000003EC" w14:textId="77777777" w:rsidR="0039297D" w:rsidRDefault="004273CA" w:rsidP="000F15C3">
            <w:pPr>
              <w:spacing w:after="0"/>
              <w:jc w:val="right"/>
              <w:rPr>
                <w:color w:val="000000"/>
                <w:sz w:val="18"/>
                <w:szCs w:val="18"/>
              </w:rPr>
            </w:pPr>
            <w:r>
              <w:rPr>
                <w:color w:val="000000"/>
                <w:sz w:val="18"/>
                <w:szCs w:val="18"/>
              </w:rPr>
              <w:t>0.67</w:t>
            </w:r>
          </w:p>
        </w:tc>
        <w:tc>
          <w:tcPr>
            <w:tcW w:w="1446" w:type="dxa"/>
            <w:tcBorders>
              <w:top w:val="nil"/>
              <w:left w:val="nil"/>
              <w:bottom w:val="single" w:sz="8" w:space="0" w:color="000000"/>
              <w:right w:val="single" w:sz="4" w:space="0" w:color="000000"/>
            </w:tcBorders>
            <w:shd w:val="clear" w:color="auto" w:fill="auto"/>
            <w:tcMar>
              <w:left w:w="57" w:type="dxa"/>
              <w:right w:w="57" w:type="dxa"/>
            </w:tcMar>
            <w:vAlign w:val="bottom"/>
          </w:tcPr>
          <w:p w14:paraId="000003ED" w14:textId="77777777" w:rsidR="0039297D" w:rsidRDefault="004273CA">
            <w:pPr>
              <w:spacing w:after="0"/>
              <w:jc w:val="left"/>
              <w:rPr>
                <w:color w:val="000000"/>
                <w:sz w:val="18"/>
                <w:szCs w:val="18"/>
              </w:rPr>
            </w:pPr>
            <w:r>
              <w:rPr>
                <w:color w:val="000000"/>
                <w:sz w:val="18"/>
                <w:szCs w:val="18"/>
              </w:rPr>
              <w:t>Netherlands</w:t>
            </w:r>
          </w:p>
        </w:tc>
        <w:tc>
          <w:tcPr>
            <w:tcW w:w="825" w:type="dxa"/>
            <w:tcBorders>
              <w:top w:val="nil"/>
              <w:left w:val="nil"/>
              <w:bottom w:val="single" w:sz="8" w:space="0" w:color="000000"/>
              <w:right w:val="single" w:sz="8" w:space="0" w:color="000000"/>
            </w:tcBorders>
            <w:shd w:val="clear" w:color="auto" w:fill="auto"/>
            <w:tcMar>
              <w:left w:w="28" w:type="dxa"/>
              <w:right w:w="85" w:type="dxa"/>
            </w:tcMar>
            <w:vAlign w:val="bottom"/>
          </w:tcPr>
          <w:p w14:paraId="000003EE" w14:textId="77777777" w:rsidR="0039297D" w:rsidRDefault="004273CA" w:rsidP="000F15C3">
            <w:pPr>
              <w:spacing w:after="0"/>
              <w:jc w:val="right"/>
              <w:rPr>
                <w:color w:val="000000"/>
                <w:sz w:val="18"/>
                <w:szCs w:val="18"/>
              </w:rPr>
            </w:pPr>
            <w:r>
              <w:rPr>
                <w:color w:val="000000"/>
                <w:sz w:val="18"/>
                <w:szCs w:val="18"/>
              </w:rPr>
              <w:t>0.78</w:t>
            </w:r>
          </w:p>
        </w:tc>
        <w:tc>
          <w:tcPr>
            <w:tcW w:w="1425" w:type="dxa"/>
            <w:tcBorders>
              <w:top w:val="nil"/>
              <w:left w:val="nil"/>
              <w:bottom w:val="single" w:sz="8" w:space="0" w:color="000000"/>
              <w:right w:val="single" w:sz="4" w:space="0" w:color="000000"/>
            </w:tcBorders>
            <w:shd w:val="clear" w:color="auto" w:fill="auto"/>
            <w:tcMar>
              <w:left w:w="57" w:type="dxa"/>
              <w:right w:w="57" w:type="dxa"/>
            </w:tcMar>
            <w:vAlign w:val="bottom"/>
          </w:tcPr>
          <w:p w14:paraId="000003EF" w14:textId="77777777" w:rsidR="0039297D" w:rsidRDefault="004273CA">
            <w:pPr>
              <w:spacing w:after="0"/>
              <w:jc w:val="left"/>
              <w:rPr>
                <w:color w:val="000000"/>
                <w:sz w:val="18"/>
                <w:szCs w:val="18"/>
              </w:rPr>
            </w:pPr>
            <w:r>
              <w:rPr>
                <w:color w:val="000000"/>
                <w:sz w:val="18"/>
                <w:szCs w:val="18"/>
              </w:rPr>
              <w:t>Switzerland</w:t>
            </w:r>
          </w:p>
        </w:tc>
        <w:tc>
          <w:tcPr>
            <w:tcW w:w="825" w:type="dxa"/>
            <w:tcBorders>
              <w:top w:val="nil"/>
              <w:left w:val="nil"/>
              <w:bottom w:val="single" w:sz="8" w:space="0" w:color="000000"/>
              <w:right w:val="single" w:sz="8" w:space="0" w:color="000000"/>
            </w:tcBorders>
            <w:shd w:val="clear" w:color="auto" w:fill="auto"/>
            <w:vAlign w:val="bottom"/>
          </w:tcPr>
          <w:p w14:paraId="000003F0" w14:textId="77777777" w:rsidR="0039297D" w:rsidRDefault="004273CA" w:rsidP="000F15C3">
            <w:pPr>
              <w:spacing w:after="0"/>
              <w:jc w:val="right"/>
              <w:rPr>
                <w:color w:val="000000"/>
                <w:sz w:val="18"/>
                <w:szCs w:val="18"/>
              </w:rPr>
            </w:pPr>
            <w:r>
              <w:rPr>
                <w:color w:val="000000"/>
                <w:sz w:val="18"/>
                <w:szCs w:val="18"/>
              </w:rPr>
              <w:t>0.73</w:t>
            </w:r>
          </w:p>
        </w:tc>
        <w:tc>
          <w:tcPr>
            <w:tcW w:w="1446" w:type="dxa"/>
            <w:tcBorders>
              <w:top w:val="nil"/>
              <w:left w:val="nil"/>
              <w:bottom w:val="single" w:sz="8" w:space="0" w:color="000000"/>
              <w:right w:val="single" w:sz="4" w:space="0" w:color="000000"/>
            </w:tcBorders>
            <w:shd w:val="clear" w:color="auto" w:fill="auto"/>
            <w:tcMar>
              <w:left w:w="57" w:type="dxa"/>
              <w:right w:w="57" w:type="dxa"/>
            </w:tcMar>
            <w:vAlign w:val="bottom"/>
          </w:tcPr>
          <w:p w14:paraId="000003F1" w14:textId="77777777" w:rsidR="0039297D" w:rsidRDefault="004273CA">
            <w:pPr>
              <w:spacing w:after="0"/>
              <w:jc w:val="left"/>
              <w:rPr>
                <w:color w:val="000000"/>
                <w:sz w:val="18"/>
                <w:szCs w:val="18"/>
              </w:rPr>
            </w:pPr>
            <w:r>
              <w:rPr>
                <w:color w:val="000000"/>
                <w:sz w:val="18"/>
                <w:szCs w:val="18"/>
              </w:rPr>
              <w:t>Ireland</w:t>
            </w:r>
          </w:p>
        </w:tc>
        <w:tc>
          <w:tcPr>
            <w:tcW w:w="810" w:type="dxa"/>
            <w:tcBorders>
              <w:top w:val="nil"/>
              <w:left w:val="nil"/>
              <w:bottom w:val="single" w:sz="8" w:space="0" w:color="000000"/>
              <w:right w:val="single" w:sz="8" w:space="0" w:color="000000"/>
            </w:tcBorders>
            <w:shd w:val="clear" w:color="auto" w:fill="auto"/>
            <w:tcMar>
              <w:right w:w="85" w:type="dxa"/>
            </w:tcMar>
            <w:vAlign w:val="bottom"/>
          </w:tcPr>
          <w:p w14:paraId="000003F2" w14:textId="77777777" w:rsidR="0039297D" w:rsidRDefault="004273CA" w:rsidP="000F15C3">
            <w:pPr>
              <w:spacing w:after="0"/>
              <w:jc w:val="right"/>
              <w:rPr>
                <w:color w:val="000000"/>
                <w:sz w:val="18"/>
                <w:szCs w:val="18"/>
              </w:rPr>
            </w:pPr>
            <w:r>
              <w:rPr>
                <w:color w:val="000000"/>
                <w:sz w:val="18"/>
                <w:szCs w:val="18"/>
              </w:rPr>
              <w:t>0.59</w:t>
            </w:r>
          </w:p>
        </w:tc>
        <w:tc>
          <w:tcPr>
            <w:tcW w:w="1425" w:type="dxa"/>
            <w:tcBorders>
              <w:top w:val="nil"/>
              <w:left w:val="nil"/>
              <w:bottom w:val="single" w:sz="8" w:space="0" w:color="000000"/>
              <w:right w:val="single" w:sz="4" w:space="0" w:color="000000"/>
            </w:tcBorders>
            <w:shd w:val="clear" w:color="auto" w:fill="auto"/>
            <w:tcMar>
              <w:left w:w="57" w:type="dxa"/>
              <w:right w:w="28" w:type="dxa"/>
            </w:tcMar>
            <w:vAlign w:val="bottom"/>
          </w:tcPr>
          <w:p w14:paraId="000003F3" w14:textId="77777777" w:rsidR="0039297D" w:rsidRDefault="004273CA">
            <w:pPr>
              <w:spacing w:after="0"/>
              <w:jc w:val="left"/>
              <w:rPr>
                <w:color w:val="000000"/>
                <w:sz w:val="18"/>
                <w:szCs w:val="18"/>
              </w:rPr>
            </w:pPr>
            <w:r>
              <w:rPr>
                <w:color w:val="000000"/>
                <w:sz w:val="18"/>
                <w:szCs w:val="18"/>
              </w:rPr>
              <w:t>Netherlands</w:t>
            </w:r>
          </w:p>
        </w:tc>
        <w:tc>
          <w:tcPr>
            <w:tcW w:w="885" w:type="dxa"/>
            <w:tcBorders>
              <w:top w:val="nil"/>
              <w:left w:val="nil"/>
              <w:bottom w:val="single" w:sz="8" w:space="0" w:color="000000"/>
              <w:right w:val="single" w:sz="8" w:space="0" w:color="000000"/>
            </w:tcBorders>
            <w:shd w:val="clear" w:color="auto" w:fill="auto"/>
            <w:vAlign w:val="bottom"/>
          </w:tcPr>
          <w:p w14:paraId="000003F4" w14:textId="77777777" w:rsidR="0039297D" w:rsidRDefault="004273CA" w:rsidP="000F15C3">
            <w:pPr>
              <w:spacing w:after="0"/>
              <w:jc w:val="right"/>
              <w:rPr>
                <w:color w:val="000000"/>
                <w:sz w:val="18"/>
                <w:szCs w:val="18"/>
              </w:rPr>
            </w:pPr>
            <w:r>
              <w:rPr>
                <w:color w:val="000000"/>
                <w:sz w:val="18"/>
                <w:szCs w:val="18"/>
              </w:rPr>
              <w:t>0.38</w:t>
            </w:r>
          </w:p>
        </w:tc>
      </w:tr>
      <w:tr w:rsidR="0039297D" w14:paraId="0AA522B2" w14:textId="77777777" w:rsidTr="000F15C3">
        <w:trPr>
          <w:trHeight w:val="300"/>
          <w:jc w:val="center"/>
        </w:trPr>
        <w:tc>
          <w:tcPr>
            <w:tcW w:w="1446" w:type="dxa"/>
            <w:gridSpan w:val="5"/>
            <w:tcBorders>
              <w:top w:val="nil"/>
              <w:left w:val="single" w:sz="8" w:space="0" w:color="000000"/>
              <w:bottom w:val="nil"/>
              <w:right w:val="nil"/>
            </w:tcBorders>
            <w:shd w:val="clear" w:color="auto" w:fill="auto"/>
            <w:tcMar>
              <w:left w:w="28" w:type="dxa"/>
              <w:right w:w="85" w:type="dxa"/>
            </w:tcMar>
            <w:vAlign w:val="bottom"/>
          </w:tcPr>
          <w:p w14:paraId="000003F5" w14:textId="1251AA6E" w:rsidR="0039297D" w:rsidRDefault="004273CA" w:rsidP="00366ED5">
            <w:pPr>
              <w:spacing w:after="0"/>
              <w:jc w:val="left"/>
              <w:rPr>
                <w:b/>
                <w:color w:val="000000"/>
                <w:sz w:val="18"/>
                <w:szCs w:val="18"/>
              </w:rPr>
            </w:pPr>
            <w:r>
              <w:rPr>
                <w:b/>
                <w:color w:val="000000"/>
                <w:sz w:val="18"/>
                <w:szCs w:val="18"/>
              </w:rPr>
              <w:t>South Africa</w:t>
            </w:r>
            <w:r w:rsidR="00792E6B">
              <w:rPr>
                <w:b/>
                <w:color w:val="000000"/>
                <w:sz w:val="18"/>
                <w:szCs w:val="18"/>
              </w:rPr>
              <w:t>’</w:t>
            </w:r>
            <w:r>
              <w:rPr>
                <w:b/>
                <w:color w:val="000000"/>
                <w:sz w:val="18"/>
                <w:szCs w:val="18"/>
              </w:rPr>
              <w:t>s total cultural goods imports in US$ millions</w:t>
            </w:r>
          </w:p>
        </w:tc>
        <w:tc>
          <w:tcPr>
            <w:tcW w:w="825" w:type="dxa"/>
            <w:tcBorders>
              <w:top w:val="nil"/>
              <w:left w:val="nil"/>
              <w:bottom w:val="nil"/>
              <w:right w:val="nil"/>
            </w:tcBorders>
            <w:shd w:val="clear" w:color="auto" w:fill="auto"/>
            <w:vAlign w:val="bottom"/>
          </w:tcPr>
          <w:p w14:paraId="000003FA" w14:textId="77777777" w:rsidR="0039297D" w:rsidRDefault="0039297D" w:rsidP="000F15C3">
            <w:pPr>
              <w:spacing w:after="0"/>
              <w:jc w:val="right"/>
              <w:rPr>
                <w:b/>
                <w:color w:val="000000"/>
                <w:sz w:val="18"/>
                <w:szCs w:val="18"/>
              </w:rPr>
            </w:pPr>
          </w:p>
        </w:tc>
        <w:tc>
          <w:tcPr>
            <w:tcW w:w="1446" w:type="dxa"/>
            <w:tcBorders>
              <w:top w:val="nil"/>
              <w:left w:val="nil"/>
              <w:bottom w:val="nil"/>
              <w:right w:val="nil"/>
            </w:tcBorders>
            <w:shd w:val="clear" w:color="auto" w:fill="auto"/>
            <w:tcMar>
              <w:left w:w="57" w:type="dxa"/>
              <w:right w:w="57" w:type="dxa"/>
            </w:tcMar>
            <w:vAlign w:val="bottom"/>
          </w:tcPr>
          <w:p w14:paraId="000003FB" w14:textId="77777777" w:rsidR="0039297D" w:rsidRDefault="0039297D">
            <w:pPr>
              <w:spacing w:after="0"/>
              <w:jc w:val="center"/>
              <w:rPr>
                <w:rFonts w:ascii="Times New Roman" w:eastAsia="Times New Roman" w:hAnsi="Times New Roman" w:cs="Times New Roman"/>
              </w:rPr>
            </w:pPr>
          </w:p>
        </w:tc>
        <w:tc>
          <w:tcPr>
            <w:tcW w:w="810" w:type="dxa"/>
            <w:tcBorders>
              <w:top w:val="nil"/>
              <w:left w:val="nil"/>
              <w:bottom w:val="nil"/>
              <w:right w:val="nil"/>
            </w:tcBorders>
            <w:shd w:val="clear" w:color="auto" w:fill="auto"/>
            <w:tcMar>
              <w:right w:w="85" w:type="dxa"/>
            </w:tcMar>
            <w:vAlign w:val="bottom"/>
          </w:tcPr>
          <w:p w14:paraId="000003FC" w14:textId="77777777" w:rsidR="0039297D" w:rsidRDefault="0039297D" w:rsidP="000F15C3">
            <w:pPr>
              <w:spacing w:after="0"/>
              <w:jc w:val="right"/>
              <w:rPr>
                <w:rFonts w:ascii="Times New Roman" w:eastAsia="Times New Roman" w:hAnsi="Times New Roman" w:cs="Times New Roman"/>
              </w:rPr>
            </w:pPr>
          </w:p>
        </w:tc>
        <w:tc>
          <w:tcPr>
            <w:tcW w:w="1425" w:type="dxa"/>
            <w:tcBorders>
              <w:top w:val="nil"/>
              <w:left w:val="nil"/>
              <w:bottom w:val="nil"/>
              <w:right w:val="nil"/>
            </w:tcBorders>
            <w:shd w:val="clear" w:color="auto" w:fill="auto"/>
            <w:vAlign w:val="bottom"/>
          </w:tcPr>
          <w:p w14:paraId="000003FD" w14:textId="77777777" w:rsidR="0039297D" w:rsidRDefault="0039297D">
            <w:pPr>
              <w:spacing w:after="0"/>
              <w:jc w:val="center"/>
              <w:rPr>
                <w:rFonts w:ascii="Times New Roman" w:eastAsia="Times New Roman" w:hAnsi="Times New Roman" w:cs="Times New Roman"/>
              </w:rPr>
            </w:pPr>
          </w:p>
        </w:tc>
        <w:tc>
          <w:tcPr>
            <w:tcW w:w="885" w:type="dxa"/>
            <w:tcBorders>
              <w:top w:val="nil"/>
              <w:left w:val="nil"/>
              <w:bottom w:val="nil"/>
              <w:right w:val="single" w:sz="8" w:space="0" w:color="000000"/>
            </w:tcBorders>
            <w:shd w:val="clear" w:color="auto" w:fill="auto"/>
            <w:vAlign w:val="bottom"/>
          </w:tcPr>
          <w:p w14:paraId="000003FE" w14:textId="77777777" w:rsidR="0039297D" w:rsidRDefault="004273CA" w:rsidP="000F15C3">
            <w:pPr>
              <w:spacing w:after="0"/>
              <w:jc w:val="right"/>
              <w:rPr>
                <w:color w:val="000000"/>
                <w:sz w:val="18"/>
                <w:szCs w:val="18"/>
              </w:rPr>
            </w:pPr>
            <w:r>
              <w:rPr>
                <w:color w:val="000000"/>
                <w:sz w:val="18"/>
                <w:szCs w:val="18"/>
              </w:rPr>
              <w:t> </w:t>
            </w:r>
          </w:p>
        </w:tc>
      </w:tr>
      <w:tr w:rsidR="0039297D" w14:paraId="7C30CB38" w14:textId="77777777" w:rsidTr="000F15C3">
        <w:trPr>
          <w:trHeight w:val="300"/>
          <w:jc w:val="center"/>
        </w:trPr>
        <w:tc>
          <w:tcPr>
            <w:tcW w:w="1446" w:type="dxa"/>
            <w:tcBorders>
              <w:top w:val="single" w:sz="8" w:space="0" w:color="000000"/>
              <w:left w:val="single" w:sz="8" w:space="0" w:color="000000"/>
              <w:bottom w:val="single" w:sz="8" w:space="0" w:color="000000"/>
              <w:right w:val="single" w:sz="4" w:space="0" w:color="000000"/>
            </w:tcBorders>
            <w:shd w:val="clear" w:color="auto" w:fill="auto"/>
            <w:tcMar>
              <w:left w:w="57" w:type="dxa"/>
              <w:right w:w="57" w:type="dxa"/>
            </w:tcMar>
            <w:vAlign w:val="bottom"/>
          </w:tcPr>
          <w:p w14:paraId="000003FF" w14:textId="77777777" w:rsidR="0039297D" w:rsidRDefault="004273CA">
            <w:pPr>
              <w:spacing w:after="0"/>
              <w:jc w:val="left"/>
              <w:rPr>
                <w:b/>
                <w:color w:val="000000"/>
                <w:sz w:val="18"/>
                <w:szCs w:val="18"/>
              </w:rPr>
            </w:pPr>
            <w:r>
              <w:rPr>
                <w:b/>
                <w:color w:val="000000"/>
                <w:sz w:val="18"/>
                <w:szCs w:val="18"/>
              </w:rPr>
              <w:t>World</w:t>
            </w:r>
          </w:p>
        </w:tc>
        <w:tc>
          <w:tcPr>
            <w:tcW w:w="810" w:type="dxa"/>
            <w:tcBorders>
              <w:top w:val="single" w:sz="8" w:space="0" w:color="000000"/>
              <w:left w:val="nil"/>
              <w:bottom w:val="single" w:sz="8" w:space="0" w:color="000000"/>
              <w:right w:val="single" w:sz="4" w:space="0" w:color="000000"/>
            </w:tcBorders>
            <w:shd w:val="clear" w:color="auto" w:fill="auto"/>
            <w:tcMar>
              <w:right w:w="85" w:type="dxa"/>
            </w:tcMar>
            <w:vAlign w:val="bottom"/>
          </w:tcPr>
          <w:p w14:paraId="00000400" w14:textId="77777777" w:rsidR="0039297D" w:rsidRDefault="004273CA" w:rsidP="000F15C3">
            <w:pPr>
              <w:spacing w:after="0"/>
              <w:jc w:val="right"/>
              <w:rPr>
                <w:b/>
                <w:color w:val="000000"/>
                <w:sz w:val="18"/>
                <w:szCs w:val="18"/>
              </w:rPr>
            </w:pPr>
            <w:r>
              <w:rPr>
                <w:b/>
                <w:color w:val="000000"/>
                <w:sz w:val="18"/>
                <w:szCs w:val="18"/>
              </w:rPr>
              <w:t>200.52</w:t>
            </w:r>
          </w:p>
        </w:tc>
        <w:tc>
          <w:tcPr>
            <w:tcW w:w="1485" w:type="dxa"/>
            <w:tcBorders>
              <w:top w:val="single" w:sz="8" w:space="0" w:color="000000"/>
              <w:left w:val="nil"/>
              <w:bottom w:val="single" w:sz="8" w:space="0" w:color="000000"/>
              <w:right w:val="single" w:sz="4" w:space="0" w:color="000000"/>
            </w:tcBorders>
            <w:shd w:val="clear" w:color="auto" w:fill="auto"/>
            <w:vAlign w:val="bottom"/>
          </w:tcPr>
          <w:p w14:paraId="00000401" w14:textId="77777777" w:rsidR="0039297D" w:rsidRDefault="004273CA">
            <w:pPr>
              <w:spacing w:after="0"/>
              <w:jc w:val="left"/>
              <w:rPr>
                <w:b/>
                <w:color w:val="000000"/>
                <w:sz w:val="18"/>
                <w:szCs w:val="18"/>
              </w:rPr>
            </w:pPr>
            <w:r>
              <w:rPr>
                <w:b/>
                <w:color w:val="000000"/>
                <w:sz w:val="18"/>
                <w:szCs w:val="18"/>
              </w:rPr>
              <w:t> </w:t>
            </w:r>
          </w:p>
        </w:tc>
        <w:tc>
          <w:tcPr>
            <w:tcW w:w="825" w:type="dxa"/>
            <w:tcBorders>
              <w:top w:val="single" w:sz="8" w:space="0" w:color="000000"/>
              <w:left w:val="nil"/>
              <w:bottom w:val="single" w:sz="8" w:space="0" w:color="000000"/>
              <w:right w:val="single" w:sz="4" w:space="0" w:color="000000"/>
            </w:tcBorders>
            <w:shd w:val="clear" w:color="auto" w:fill="auto"/>
            <w:tcMar>
              <w:left w:w="28" w:type="dxa"/>
              <w:right w:w="85" w:type="dxa"/>
            </w:tcMar>
            <w:vAlign w:val="bottom"/>
          </w:tcPr>
          <w:p w14:paraId="00000402" w14:textId="77777777" w:rsidR="0039297D" w:rsidRDefault="004273CA" w:rsidP="000F15C3">
            <w:pPr>
              <w:spacing w:after="0"/>
              <w:jc w:val="right"/>
              <w:rPr>
                <w:b/>
                <w:color w:val="000000"/>
                <w:sz w:val="18"/>
                <w:szCs w:val="18"/>
              </w:rPr>
            </w:pPr>
            <w:r>
              <w:rPr>
                <w:b/>
                <w:color w:val="000000"/>
                <w:sz w:val="18"/>
                <w:szCs w:val="18"/>
              </w:rPr>
              <w:t>591.65</w:t>
            </w:r>
          </w:p>
        </w:tc>
        <w:tc>
          <w:tcPr>
            <w:tcW w:w="1425" w:type="dxa"/>
            <w:tcBorders>
              <w:top w:val="single" w:sz="8" w:space="0" w:color="000000"/>
              <w:left w:val="nil"/>
              <w:bottom w:val="single" w:sz="8" w:space="0" w:color="000000"/>
              <w:right w:val="single" w:sz="4" w:space="0" w:color="000000"/>
            </w:tcBorders>
            <w:shd w:val="clear" w:color="auto" w:fill="auto"/>
            <w:tcMar>
              <w:left w:w="57" w:type="dxa"/>
              <w:right w:w="57" w:type="dxa"/>
            </w:tcMar>
            <w:vAlign w:val="bottom"/>
          </w:tcPr>
          <w:p w14:paraId="00000403" w14:textId="77777777" w:rsidR="0039297D" w:rsidRDefault="004273CA">
            <w:pPr>
              <w:spacing w:after="0"/>
              <w:jc w:val="left"/>
              <w:rPr>
                <w:b/>
                <w:color w:val="000000"/>
                <w:sz w:val="18"/>
                <w:szCs w:val="18"/>
              </w:rPr>
            </w:pPr>
            <w:r>
              <w:rPr>
                <w:b/>
                <w:color w:val="000000"/>
                <w:sz w:val="18"/>
                <w:szCs w:val="18"/>
              </w:rPr>
              <w:t> </w:t>
            </w:r>
          </w:p>
        </w:tc>
        <w:tc>
          <w:tcPr>
            <w:tcW w:w="825" w:type="dxa"/>
            <w:tcBorders>
              <w:top w:val="single" w:sz="8" w:space="0" w:color="000000"/>
              <w:left w:val="nil"/>
              <w:bottom w:val="single" w:sz="8" w:space="0" w:color="000000"/>
              <w:right w:val="single" w:sz="4" w:space="0" w:color="000000"/>
            </w:tcBorders>
            <w:shd w:val="clear" w:color="auto" w:fill="auto"/>
            <w:vAlign w:val="bottom"/>
          </w:tcPr>
          <w:p w14:paraId="00000404" w14:textId="77777777" w:rsidR="0039297D" w:rsidRDefault="004273CA" w:rsidP="000F15C3">
            <w:pPr>
              <w:spacing w:after="0"/>
              <w:jc w:val="right"/>
              <w:rPr>
                <w:b/>
                <w:color w:val="000000"/>
                <w:sz w:val="18"/>
                <w:szCs w:val="18"/>
              </w:rPr>
            </w:pPr>
            <w:r>
              <w:rPr>
                <w:b/>
                <w:color w:val="000000"/>
                <w:sz w:val="18"/>
                <w:szCs w:val="18"/>
              </w:rPr>
              <w:t>473.23</w:t>
            </w:r>
          </w:p>
        </w:tc>
        <w:tc>
          <w:tcPr>
            <w:tcW w:w="1446" w:type="dxa"/>
            <w:tcBorders>
              <w:top w:val="single" w:sz="8" w:space="0" w:color="000000"/>
              <w:left w:val="nil"/>
              <w:bottom w:val="single" w:sz="8" w:space="0" w:color="000000"/>
              <w:right w:val="single" w:sz="4" w:space="0" w:color="000000"/>
            </w:tcBorders>
            <w:shd w:val="clear" w:color="auto" w:fill="auto"/>
            <w:tcMar>
              <w:left w:w="57" w:type="dxa"/>
              <w:right w:w="57" w:type="dxa"/>
            </w:tcMar>
            <w:vAlign w:val="bottom"/>
          </w:tcPr>
          <w:p w14:paraId="00000405" w14:textId="77777777" w:rsidR="0039297D" w:rsidRDefault="004273CA">
            <w:pPr>
              <w:spacing w:after="0"/>
              <w:jc w:val="left"/>
              <w:rPr>
                <w:b/>
                <w:color w:val="000000"/>
                <w:sz w:val="18"/>
                <w:szCs w:val="18"/>
              </w:rPr>
            </w:pPr>
            <w:r>
              <w:rPr>
                <w:b/>
                <w:color w:val="000000"/>
                <w:sz w:val="18"/>
                <w:szCs w:val="18"/>
              </w:rPr>
              <w:t> </w:t>
            </w:r>
          </w:p>
        </w:tc>
        <w:tc>
          <w:tcPr>
            <w:tcW w:w="810" w:type="dxa"/>
            <w:tcBorders>
              <w:top w:val="single" w:sz="8" w:space="0" w:color="000000"/>
              <w:left w:val="nil"/>
              <w:bottom w:val="single" w:sz="8" w:space="0" w:color="000000"/>
              <w:right w:val="single" w:sz="4" w:space="0" w:color="000000"/>
            </w:tcBorders>
            <w:shd w:val="clear" w:color="auto" w:fill="auto"/>
            <w:tcMar>
              <w:right w:w="85" w:type="dxa"/>
            </w:tcMar>
            <w:vAlign w:val="bottom"/>
          </w:tcPr>
          <w:p w14:paraId="00000406" w14:textId="77777777" w:rsidR="0039297D" w:rsidRDefault="004273CA" w:rsidP="000F15C3">
            <w:pPr>
              <w:spacing w:after="0"/>
              <w:jc w:val="right"/>
              <w:rPr>
                <w:b/>
                <w:color w:val="000000"/>
                <w:sz w:val="18"/>
                <w:szCs w:val="18"/>
              </w:rPr>
            </w:pPr>
            <w:r>
              <w:rPr>
                <w:b/>
                <w:color w:val="000000"/>
                <w:sz w:val="18"/>
                <w:szCs w:val="18"/>
              </w:rPr>
              <w:t>394.74</w:t>
            </w:r>
          </w:p>
        </w:tc>
        <w:tc>
          <w:tcPr>
            <w:tcW w:w="1425" w:type="dxa"/>
            <w:tcBorders>
              <w:top w:val="single" w:sz="8" w:space="0" w:color="000000"/>
              <w:left w:val="nil"/>
              <w:bottom w:val="single" w:sz="8" w:space="0" w:color="000000"/>
              <w:right w:val="single" w:sz="4" w:space="0" w:color="000000"/>
            </w:tcBorders>
            <w:shd w:val="clear" w:color="auto" w:fill="auto"/>
            <w:vAlign w:val="bottom"/>
          </w:tcPr>
          <w:p w14:paraId="00000407" w14:textId="77777777" w:rsidR="0039297D" w:rsidRDefault="004273CA">
            <w:pPr>
              <w:spacing w:after="0"/>
              <w:jc w:val="left"/>
              <w:rPr>
                <w:b/>
                <w:color w:val="000000"/>
                <w:sz w:val="18"/>
                <w:szCs w:val="18"/>
              </w:rPr>
            </w:pPr>
            <w:r>
              <w:rPr>
                <w:b/>
                <w:color w:val="000000"/>
                <w:sz w:val="18"/>
                <w:szCs w:val="18"/>
              </w:rPr>
              <w:t> </w:t>
            </w:r>
          </w:p>
        </w:tc>
        <w:tc>
          <w:tcPr>
            <w:tcW w:w="885" w:type="dxa"/>
            <w:tcBorders>
              <w:top w:val="single" w:sz="8" w:space="0" w:color="000000"/>
              <w:left w:val="nil"/>
              <w:bottom w:val="single" w:sz="8" w:space="0" w:color="000000"/>
              <w:right w:val="single" w:sz="8" w:space="0" w:color="000000"/>
            </w:tcBorders>
            <w:shd w:val="clear" w:color="auto" w:fill="auto"/>
            <w:vAlign w:val="bottom"/>
          </w:tcPr>
          <w:p w14:paraId="00000408" w14:textId="77777777" w:rsidR="0039297D" w:rsidRDefault="004273CA" w:rsidP="000F15C3">
            <w:pPr>
              <w:spacing w:after="0"/>
              <w:jc w:val="right"/>
              <w:rPr>
                <w:b/>
                <w:color w:val="000000"/>
                <w:sz w:val="18"/>
                <w:szCs w:val="18"/>
              </w:rPr>
            </w:pPr>
            <w:r>
              <w:rPr>
                <w:b/>
                <w:color w:val="000000"/>
                <w:sz w:val="18"/>
                <w:szCs w:val="18"/>
              </w:rPr>
              <w:t>257.80</w:t>
            </w:r>
          </w:p>
        </w:tc>
      </w:tr>
    </w:tbl>
    <w:p w14:paraId="00000409" w14:textId="77777777" w:rsidR="0039297D" w:rsidRDefault="0039297D">
      <w:pPr>
        <w:pBdr>
          <w:top w:val="nil"/>
          <w:left w:val="nil"/>
          <w:bottom w:val="nil"/>
          <w:right w:val="nil"/>
          <w:between w:val="nil"/>
        </w:pBdr>
        <w:spacing w:after="0"/>
        <w:rPr>
          <w:i/>
          <w:color w:val="44546A"/>
          <w:sz w:val="18"/>
          <w:szCs w:val="18"/>
        </w:rPr>
      </w:pPr>
    </w:p>
    <w:p w14:paraId="0000040A" w14:textId="4B4F7300" w:rsidR="0039297D" w:rsidRPr="000F15C3" w:rsidRDefault="004273CA">
      <w:pPr>
        <w:pBdr>
          <w:top w:val="nil"/>
          <w:left w:val="nil"/>
          <w:bottom w:val="nil"/>
          <w:right w:val="nil"/>
          <w:between w:val="nil"/>
        </w:pBdr>
        <w:spacing w:after="200"/>
        <w:rPr>
          <w:iCs/>
          <w:sz w:val="24"/>
          <w:szCs w:val="24"/>
        </w:rPr>
      </w:pPr>
      <w:r w:rsidRPr="000F15C3">
        <w:rPr>
          <w:iCs/>
        </w:rPr>
        <w:t>Source: Authors’ computations based on data from ITC, 2021</w:t>
      </w:r>
    </w:p>
    <w:p w14:paraId="0000040B" w14:textId="77777777" w:rsidR="0039297D" w:rsidRDefault="0039297D">
      <w:pPr>
        <w:spacing w:after="0"/>
        <w:rPr>
          <w:sz w:val="22"/>
          <w:szCs w:val="22"/>
        </w:rPr>
      </w:pPr>
    </w:p>
    <w:p w14:paraId="0000040C" w14:textId="41FB93A7" w:rsidR="0039297D" w:rsidRDefault="004273CA" w:rsidP="000F15C3">
      <w:pPr>
        <w:spacing w:line="259" w:lineRule="auto"/>
        <w:rPr>
          <w:sz w:val="22"/>
          <w:szCs w:val="22"/>
        </w:rPr>
      </w:pPr>
      <w:r>
        <w:rPr>
          <w:sz w:val="22"/>
          <w:szCs w:val="22"/>
        </w:rPr>
        <w:t>Given the prominence of China, the US and the UK on the import side of South Africa’s cultural goods trade and the importance of the US and the UK on the export side, it is instructive to look briefly at trends in cultural goods exports, imports and the trade balance for these key trading partners over the period 2001 to 2020.</w:t>
      </w:r>
      <w:r w:rsidR="007E16E4">
        <w:rPr>
          <w:sz w:val="22"/>
          <w:szCs w:val="22"/>
        </w:rPr>
        <w:t xml:space="preserve"> </w:t>
      </w:r>
      <w:r>
        <w:rPr>
          <w:sz w:val="22"/>
          <w:szCs w:val="22"/>
        </w:rPr>
        <w:t>These are graphed in Figures 17</w:t>
      </w:r>
      <w:r w:rsidR="008C72EA">
        <w:rPr>
          <w:sz w:val="22"/>
          <w:szCs w:val="22"/>
        </w:rPr>
        <w:t>–</w:t>
      </w:r>
      <w:r>
        <w:rPr>
          <w:sz w:val="22"/>
          <w:szCs w:val="22"/>
        </w:rPr>
        <w:t>19 below.</w:t>
      </w:r>
      <w:r w:rsidR="007E16E4">
        <w:rPr>
          <w:sz w:val="22"/>
          <w:szCs w:val="22"/>
        </w:rPr>
        <w:t xml:space="preserve"> </w:t>
      </w:r>
      <w:r>
        <w:rPr>
          <w:sz w:val="22"/>
          <w:szCs w:val="22"/>
        </w:rPr>
        <w:t>Figure 17 clearly depicts the dominance of the US market as a destination for South Africa’s cultural goods exports.</w:t>
      </w:r>
      <w:r w:rsidR="007E16E4">
        <w:rPr>
          <w:sz w:val="22"/>
          <w:szCs w:val="22"/>
        </w:rPr>
        <w:t xml:space="preserve"> </w:t>
      </w:r>
      <w:r>
        <w:rPr>
          <w:sz w:val="22"/>
          <w:szCs w:val="22"/>
        </w:rPr>
        <w:t>This was discussed in greater detail in Chapter 3 of the mapping study.</w:t>
      </w:r>
      <w:r w:rsidR="007E16E4">
        <w:rPr>
          <w:sz w:val="22"/>
          <w:szCs w:val="22"/>
        </w:rPr>
        <w:t xml:space="preserve"> </w:t>
      </w:r>
      <w:r>
        <w:rPr>
          <w:sz w:val="22"/>
          <w:szCs w:val="22"/>
        </w:rPr>
        <w:t>Notable is the acceleration of cultural good export growth after 2011 and again from 2015.</w:t>
      </w:r>
      <w:r w:rsidR="007E16E4">
        <w:rPr>
          <w:sz w:val="22"/>
          <w:szCs w:val="22"/>
        </w:rPr>
        <w:t xml:space="preserve"> </w:t>
      </w:r>
      <w:r>
        <w:rPr>
          <w:sz w:val="22"/>
          <w:szCs w:val="22"/>
        </w:rPr>
        <w:lastRenderedPageBreak/>
        <w:t>Despite a dip in 2017, exports recovered and even increased slightly in 2020 during the pandemic.</w:t>
      </w:r>
      <w:r w:rsidR="007E16E4">
        <w:rPr>
          <w:sz w:val="22"/>
          <w:szCs w:val="22"/>
        </w:rPr>
        <w:t xml:space="preserve"> </w:t>
      </w:r>
      <w:r>
        <w:rPr>
          <w:sz w:val="22"/>
          <w:szCs w:val="22"/>
        </w:rPr>
        <w:t>Exports to the UK have been relatively stable over the period under study, although much lower compared to the US in absolute terms.</w:t>
      </w:r>
    </w:p>
    <w:p w14:paraId="0000040D" w14:textId="4D24C3ED" w:rsidR="0039297D" w:rsidRDefault="004273CA" w:rsidP="000F15C3">
      <w:pPr>
        <w:spacing w:line="259" w:lineRule="auto"/>
        <w:rPr>
          <w:sz w:val="22"/>
          <w:szCs w:val="22"/>
        </w:rPr>
      </w:pPr>
      <w:r>
        <w:rPr>
          <w:sz w:val="22"/>
          <w:szCs w:val="22"/>
        </w:rPr>
        <w:t>As noted above, apart from a few outliers in particular years, China is not a prominent destination for South Africa’s cultural goods exports.</w:t>
      </w:r>
      <w:r w:rsidR="007E16E4">
        <w:rPr>
          <w:sz w:val="22"/>
          <w:szCs w:val="22"/>
        </w:rPr>
        <w:t xml:space="preserve"> </w:t>
      </w:r>
      <w:r>
        <w:rPr>
          <w:sz w:val="22"/>
          <w:szCs w:val="22"/>
        </w:rPr>
        <w:t>The impact of the outliers on South Africa’s cultural goods exports to China can be seen in Figure 17 in 2008 and 2017</w:t>
      </w:r>
      <w:r w:rsidR="008C72EA">
        <w:rPr>
          <w:sz w:val="22"/>
          <w:szCs w:val="22"/>
        </w:rPr>
        <w:t>–</w:t>
      </w:r>
      <w:r>
        <w:rPr>
          <w:sz w:val="22"/>
          <w:szCs w:val="22"/>
        </w:rPr>
        <w:t>2019.</w:t>
      </w:r>
      <w:r w:rsidR="007E16E4">
        <w:rPr>
          <w:sz w:val="22"/>
          <w:szCs w:val="22"/>
        </w:rPr>
        <w:t xml:space="preserve"> </w:t>
      </w:r>
      <w:r>
        <w:rPr>
          <w:sz w:val="22"/>
          <w:szCs w:val="22"/>
        </w:rPr>
        <w:t>The export spikes are due to a once-off increase in HS code 970600 (“Antiques of &gt; 100 years old”) in 2008 and increases in HS code 711319 (“Articles of jewellery and parts thereof, of precious metal other than silver”) in 2017</w:t>
      </w:r>
      <w:r w:rsidR="008C72EA">
        <w:rPr>
          <w:sz w:val="22"/>
          <w:szCs w:val="22"/>
        </w:rPr>
        <w:t>–</w:t>
      </w:r>
      <w:r>
        <w:rPr>
          <w:sz w:val="22"/>
          <w:szCs w:val="22"/>
        </w:rPr>
        <w:t>2019 which peaked in 2018.</w:t>
      </w:r>
      <w:r w:rsidR="007E16E4">
        <w:rPr>
          <w:sz w:val="22"/>
          <w:szCs w:val="22"/>
        </w:rPr>
        <w:t xml:space="preserve"> </w:t>
      </w:r>
      <w:r>
        <w:rPr>
          <w:sz w:val="22"/>
          <w:szCs w:val="22"/>
        </w:rPr>
        <w:t>In terms of the Comprehensive Strategic Partnership Agreement between South Africa and China, signed in 2010, China has committed to addressing the commodity composition of trade with South Africa which is highly skewed in favour of China in terms of the value-added content of trade.</w:t>
      </w:r>
      <w:r w:rsidR="007E16E4">
        <w:rPr>
          <w:sz w:val="22"/>
          <w:szCs w:val="22"/>
        </w:rPr>
        <w:t xml:space="preserve"> </w:t>
      </w:r>
      <w:r>
        <w:rPr>
          <w:sz w:val="22"/>
          <w:szCs w:val="22"/>
        </w:rPr>
        <w:t>There should be scope for developing cultural goods export trade with China further, with a view to promoting higher value-added cultural products in particular.</w:t>
      </w:r>
    </w:p>
    <w:p w14:paraId="0000040E" w14:textId="77777777" w:rsidR="0039297D" w:rsidRDefault="004273CA">
      <w:pPr>
        <w:spacing w:after="0"/>
        <w:rPr>
          <w:sz w:val="22"/>
          <w:szCs w:val="22"/>
        </w:rPr>
      </w:pPr>
      <w:r>
        <w:rPr>
          <w:noProof/>
          <w:lang w:val="en-ZA"/>
        </w:rPr>
        <w:drawing>
          <wp:inline distT="0" distB="0" distL="0" distR="0" wp14:anchorId="47AC4D73" wp14:editId="382417E9">
            <wp:extent cx="5731510" cy="3121660"/>
            <wp:effectExtent l="0" t="0" r="0" b="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000040F" w14:textId="5C47EE27" w:rsidR="0039297D" w:rsidRPr="000F15C3" w:rsidRDefault="004273CA" w:rsidP="000F15C3">
      <w:pPr>
        <w:pBdr>
          <w:top w:val="nil"/>
          <w:left w:val="nil"/>
          <w:bottom w:val="nil"/>
          <w:right w:val="nil"/>
          <w:between w:val="nil"/>
        </w:pBdr>
        <w:spacing w:before="120" w:line="259" w:lineRule="auto"/>
        <w:rPr>
          <w:i/>
          <w:color w:val="44546A"/>
        </w:rPr>
      </w:pPr>
      <w:bookmarkStart w:id="83" w:name="_heading=h.2zbgiuw" w:colFirst="0" w:colLast="0"/>
      <w:bookmarkEnd w:id="83"/>
      <w:r w:rsidRPr="000F15C3">
        <w:rPr>
          <w:i/>
          <w:color w:val="44546A"/>
        </w:rPr>
        <w:t>Figure 17: South Africa</w:t>
      </w:r>
      <w:r w:rsidR="00792E6B" w:rsidRPr="000F15C3">
        <w:rPr>
          <w:i/>
          <w:color w:val="44546A"/>
        </w:rPr>
        <w:t>’</w:t>
      </w:r>
      <w:r w:rsidRPr="000F15C3">
        <w:rPr>
          <w:i/>
          <w:color w:val="44546A"/>
        </w:rPr>
        <w:t>s cultural goods exports to the USA, UK and China 2001</w:t>
      </w:r>
      <w:r w:rsidR="008C72EA">
        <w:rPr>
          <w:i/>
          <w:color w:val="44546A"/>
        </w:rPr>
        <w:t>–</w:t>
      </w:r>
      <w:r w:rsidRPr="000F15C3">
        <w:rPr>
          <w:i/>
          <w:color w:val="44546A"/>
        </w:rPr>
        <w:t>2020 (US$ millions)</w:t>
      </w:r>
    </w:p>
    <w:p w14:paraId="00000410" w14:textId="58CFA242" w:rsidR="0039297D" w:rsidRPr="000F15C3" w:rsidRDefault="004273CA" w:rsidP="000F15C3">
      <w:pPr>
        <w:pBdr>
          <w:top w:val="nil"/>
          <w:left w:val="nil"/>
          <w:bottom w:val="nil"/>
          <w:right w:val="nil"/>
          <w:between w:val="nil"/>
        </w:pBdr>
        <w:spacing w:line="259" w:lineRule="auto"/>
        <w:rPr>
          <w:iCs/>
          <w:sz w:val="24"/>
          <w:szCs w:val="24"/>
        </w:rPr>
      </w:pPr>
      <w:r w:rsidRPr="000F15C3">
        <w:rPr>
          <w:iCs/>
        </w:rPr>
        <w:t>Source: Authors’ computations based on data from ITC, 2021</w:t>
      </w:r>
    </w:p>
    <w:p w14:paraId="00000411" w14:textId="77777777" w:rsidR="0039297D" w:rsidRDefault="0039297D">
      <w:pPr>
        <w:spacing w:after="0"/>
        <w:rPr>
          <w:sz w:val="22"/>
          <w:szCs w:val="22"/>
        </w:rPr>
      </w:pPr>
    </w:p>
    <w:p w14:paraId="00000412" w14:textId="77777777" w:rsidR="0039297D" w:rsidRDefault="004273CA">
      <w:pPr>
        <w:spacing w:after="0"/>
        <w:rPr>
          <w:sz w:val="22"/>
          <w:szCs w:val="22"/>
        </w:rPr>
      </w:pPr>
      <w:r>
        <w:rPr>
          <w:noProof/>
          <w:lang w:val="en-ZA"/>
        </w:rPr>
        <w:lastRenderedPageBreak/>
        <w:drawing>
          <wp:inline distT="0" distB="0" distL="0" distR="0" wp14:anchorId="5BB60508" wp14:editId="70EBF75E">
            <wp:extent cx="5731510" cy="3135630"/>
            <wp:effectExtent l="0" t="0" r="0" b="0"/>
            <wp:docPr id="60" name="Chart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000413" w14:textId="39479A21" w:rsidR="0039297D" w:rsidRPr="000F15C3" w:rsidRDefault="004273CA" w:rsidP="000F15C3">
      <w:pPr>
        <w:pBdr>
          <w:top w:val="nil"/>
          <w:left w:val="nil"/>
          <w:bottom w:val="nil"/>
          <w:right w:val="nil"/>
          <w:between w:val="nil"/>
        </w:pBdr>
        <w:spacing w:before="120" w:line="259" w:lineRule="auto"/>
        <w:rPr>
          <w:i/>
          <w:color w:val="44546A"/>
        </w:rPr>
      </w:pPr>
      <w:bookmarkStart w:id="84" w:name="_heading=h.1egqt2p" w:colFirst="0" w:colLast="0"/>
      <w:bookmarkEnd w:id="84"/>
      <w:r w:rsidRPr="000F15C3">
        <w:rPr>
          <w:i/>
          <w:color w:val="44546A"/>
        </w:rPr>
        <w:t>Figure 18: South Africa</w:t>
      </w:r>
      <w:r w:rsidR="00792E6B" w:rsidRPr="000F15C3">
        <w:rPr>
          <w:i/>
          <w:color w:val="44546A"/>
        </w:rPr>
        <w:t>’</w:t>
      </w:r>
      <w:r w:rsidRPr="000F15C3">
        <w:rPr>
          <w:i/>
          <w:color w:val="44546A"/>
        </w:rPr>
        <w:t>s cultural goods imports from the USA, UK and China 2001</w:t>
      </w:r>
      <w:r w:rsidR="008C72EA" w:rsidRPr="000F15C3">
        <w:rPr>
          <w:i/>
          <w:color w:val="44546A"/>
        </w:rPr>
        <w:t>–</w:t>
      </w:r>
      <w:r w:rsidRPr="000F15C3">
        <w:rPr>
          <w:i/>
          <w:color w:val="44546A"/>
        </w:rPr>
        <w:t>2020 (US$ millions)</w:t>
      </w:r>
    </w:p>
    <w:p w14:paraId="00000414" w14:textId="4EEED3DD" w:rsidR="0039297D" w:rsidRPr="000F15C3" w:rsidRDefault="004273CA" w:rsidP="000F15C3">
      <w:pPr>
        <w:pBdr>
          <w:top w:val="nil"/>
          <w:left w:val="nil"/>
          <w:bottom w:val="nil"/>
          <w:right w:val="nil"/>
          <w:between w:val="nil"/>
        </w:pBdr>
        <w:spacing w:line="259" w:lineRule="auto"/>
        <w:rPr>
          <w:sz w:val="22"/>
          <w:szCs w:val="22"/>
        </w:rPr>
      </w:pPr>
      <w:r w:rsidRPr="000F15C3">
        <w:rPr>
          <w:iCs/>
        </w:rPr>
        <w:t>Source: Authors’ computations based on data from ITC, 2021</w:t>
      </w:r>
    </w:p>
    <w:p w14:paraId="00000416" w14:textId="056A9CDF" w:rsidR="0039297D" w:rsidRDefault="004273CA" w:rsidP="000F15C3">
      <w:pPr>
        <w:spacing w:line="259" w:lineRule="auto"/>
        <w:rPr>
          <w:sz w:val="22"/>
          <w:szCs w:val="22"/>
        </w:rPr>
      </w:pPr>
      <w:r>
        <w:rPr>
          <w:sz w:val="22"/>
          <w:szCs w:val="22"/>
        </w:rPr>
        <w:t>Figure 18 illustrates how cultural goods imports from China have come to dominate South Africa’s cultural import trade.</w:t>
      </w:r>
      <w:r w:rsidR="007E16E4">
        <w:rPr>
          <w:sz w:val="22"/>
          <w:szCs w:val="22"/>
        </w:rPr>
        <w:t xml:space="preserve"> </w:t>
      </w:r>
      <w:r>
        <w:rPr>
          <w:sz w:val="22"/>
          <w:szCs w:val="22"/>
        </w:rPr>
        <w:t>China first overtook the UK as South Africa’s main source of cultural goods imports in 2007</w:t>
      </w:r>
      <w:r w:rsidR="008C72EA">
        <w:rPr>
          <w:sz w:val="22"/>
          <w:szCs w:val="22"/>
        </w:rPr>
        <w:t>–</w:t>
      </w:r>
      <w:r>
        <w:rPr>
          <w:sz w:val="22"/>
          <w:szCs w:val="22"/>
        </w:rPr>
        <w:t>2008.</w:t>
      </w:r>
      <w:r w:rsidR="007E16E4">
        <w:rPr>
          <w:sz w:val="22"/>
          <w:szCs w:val="22"/>
        </w:rPr>
        <w:t xml:space="preserve"> </w:t>
      </w:r>
      <w:r>
        <w:rPr>
          <w:sz w:val="22"/>
          <w:szCs w:val="22"/>
        </w:rPr>
        <w:t>After a decline in 2009 associated with the trade impact of the financial crisis, imports from China dominated for the remainder of the period under study despite a sharp decline from 2018. The graph also shows that the UK was a more significant source of imports than the US throughout the 2001</w:t>
      </w:r>
      <w:r w:rsidR="008C72EA">
        <w:rPr>
          <w:sz w:val="22"/>
          <w:szCs w:val="22"/>
        </w:rPr>
        <w:t>–</w:t>
      </w:r>
      <w:r>
        <w:rPr>
          <w:sz w:val="22"/>
          <w:szCs w:val="22"/>
        </w:rPr>
        <w:t>2020 period.</w:t>
      </w:r>
      <w:r w:rsidR="007E16E4">
        <w:rPr>
          <w:sz w:val="22"/>
          <w:szCs w:val="22"/>
        </w:rPr>
        <w:t xml:space="preserve"> </w:t>
      </w:r>
      <w:r>
        <w:rPr>
          <w:sz w:val="22"/>
          <w:szCs w:val="22"/>
        </w:rPr>
        <w:t>Imports from the UK and US both experienced a downward trend in the 2010s.</w:t>
      </w:r>
      <w:r w:rsidR="007E16E4">
        <w:rPr>
          <w:sz w:val="22"/>
          <w:szCs w:val="22"/>
        </w:rPr>
        <w:t xml:space="preserve"> </w:t>
      </w:r>
      <w:r>
        <w:rPr>
          <w:sz w:val="22"/>
          <w:szCs w:val="22"/>
        </w:rPr>
        <w:t>All three of the import series were affected to some extent by the statistical reallocation of the “Video games” category (in 2012</w:t>
      </w:r>
      <w:r w:rsidR="008C72EA">
        <w:rPr>
          <w:sz w:val="22"/>
          <w:szCs w:val="22"/>
        </w:rPr>
        <w:t>–</w:t>
      </w:r>
      <w:r>
        <w:rPr>
          <w:sz w:val="22"/>
          <w:szCs w:val="22"/>
        </w:rPr>
        <w:t>2013 in Figure 18), but this did not appear to affect cultural goods imports from China to a great degree, as they still increased in the 2012</w:t>
      </w:r>
      <w:r w:rsidR="008C72EA">
        <w:rPr>
          <w:sz w:val="22"/>
          <w:szCs w:val="22"/>
        </w:rPr>
        <w:t>–</w:t>
      </w:r>
      <w:r>
        <w:rPr>
          <w:sz w:val="22"/>
          <w:szCs w:val="22"/>
        </w:rPr>
        <w:t>2013 period.</w:t>
      </w:r>
    </w:p>
    <w:p w14:paraId="00000418" w14:textId="2AB6CBCB" w:rsidR="0039297D" w:rsidRDefault="004273CA" w:rsidP="000F15C3">
      <w:pPr>
        <w:spacing w:line="259" w:lineRule="auto"/>
        <w:rPr>
          <w:sz w:val="22"/>
          <w:szCs w:val="22"/>
        </w:rPr>
      </w:pPr>
      <w:r>
        <w:rPr>
          <w:sz w:val="22"/>
          <w:szCs w:val="22"/>
        </w:rPr>
        <w:t>Finally, Figure 19 below shows trends in South Africa’s cultural goods trade balance with the three countries (measured as cultural goods exports minus cultural goods imports).</w:t>
      </w:r>
      <w:r w:rsidR="007E16E4">
        <w:rPr>
          <w:sz w:val="22"/>
          <w:szCs w:val="22"/>
        </w:rPr>
        <w:t xml:space="preserve"> </w:t>
      </w:r>
      <w:r>
        <w:rPr>
          <w:sz w:val="22"/>
          <w:szCs w:val="22"/>
        </w:rPr>
        <w:t>South Africa had a surplus in its cultural goods trade with the US for most of the period under study, except for 2007</w:t>
      </w:r>
      <w:r w:rsidR="008C72EA">
        <w:rPr>
          <w:sz w:val="22"/>
          <w:szCs w:val="22"/>
        </w:rPr>
        <w:t>–</w:t>
      </w:r>
      <w:r>
        <w:rPr>
          <w:sz w:val="22"/>
          <w:szCs w:val="22"/>
        </w:rPr>
        <w:t>2013.</w:t>
      </w:r>
      <w:r w:rsidR="007E16E4">
        <w:rPr>
          <w:sz w:val="22"/>
          <w:szCs w:val="22"/>
        </w:rPr>
        <w:t xml:space="preserve"> </w:t>
      </w:r>
      <w:r>
        <w:rPr>
          <w:sz w:val="22"/>
          <w:szCs w:val="22"/>
        </w:rPr>
        <w:t>The surplus has grown since 2013, except for a small decline in 2016</w:t>
      </w:r>
      <w:r w:rsidR="008C72EA">
        <w:rPr>
          <w:sz w:val="22"/>
          <w:szCs w:val="22"/>
        </w:rPr>
        <w:t>–</w:t>
      </w:r>
      <w:r>
        <w:rPr>
          <w:sz w:val="22"/>
          <w:szCs w:val="22"/>
        </w:rPr>
        <w:t>2017.</w:t>
      </w:r>
      <w:r w:rsidR="007E16E4">
        <w:rPr>
          <w:sz w:val="22"/>
          <w:szCs w:val="22"/>
        </w:rPr>
        <w:t xml:space="preserve"> </w:t>
      </w:r>
      <w:r>
        <w:rPr>
          <w:sz w:val="22"/>
          <w:szCs w:val="22"/>
        </w:rPr>
        <w:t>Cultural goods trade with the UK and China has consistently been in deficit, although the deficit with the UK has narrowed significantly in recent years.</w:t>
      </w:r>
      <w:r w:rsidR="007E16E4">
        <w:rPr>
          <w:sz w:val="22"/>
          <w:szCs w:val="22"/>
        </w:rPr>
        <w:t xml:space="preserve"> </w:t>
      </w:r>
      <w:r>
        <w:rPr>
          <w:sz w:val="22"/>
          <w:szCs w:val="22"/>
        </w:rPr>
        <w:t>South Africa’s cultural goods trade deficit with China has mostly widened since 2009.</w:t>
      </w:r>
      <w:r w:rsidR="007E16E4">
        <w:rPr>
          <w:sz w:val="22"/>
          <w:szCs w:val="22"/>
        </w:rPr>
        <w:t xml:space="preserve"> </w:t>
      </w:r>
      <w:r>
        <w:rPr>
          <w:sz w:val="22"/>
          <w:szCs w:val="22"/>
        </w:rPr>
        <w:t>This should be addressed bilaterally in line with the provisions of the 2010 Comprehensive Strategic Partnership Agreement between the two countries, as well as through appropriate industrial policy.</w:t>
      </w:r>
      <w:r w:rsidR="007E16E4">
        <w:rPr>
          <w:sz w:val="22"/>
          <w:szCs w:val="22"/>
        </w:rPr>
        <w:t xml:space="preserve"> </w:t>
      </w:r>
      <w:r>
        <w:rPr>
          <w:sz w:val="22"/>
          <w:szCs w:val="22"/>
        </w:rPr>
        <w:t>The creative sector Master Plan for South Africa can make a valuable contribution to the policy debate in this regard.</w:t>
      </w:r>
      <w:r>
        <w:rPr>
          <w:sz w:val="22"/>
          <w:szCs w:val="22"/>
        </w:rPr>
        <w:tab/>
      </w:r>
      <w:r>
        <w:rPr>
          <w:sz w:val="22"/>
          <w:szCs w:val="22"/>
        </w:rPr>
        <w:tab/>
      </w:r>
      <w:r>
        <w:rPr>
          <w:sz w:val="22"/>
          <w:szCs w:val="22"/>
        </w:rPr>
        <w:tab/>
      </w:r>
    </w:p>
    <w:p w14:paraId="0000041A" w14:textId="77777777" w:rsidR="0039297D" w:rsidRDefault="004273CA">
      <w:pPr>
        <w:spacing w:after="0"/>
        <w:rPr>
          <w:sz w:val="22"/>
          <w:szCs w:val="22"/>
        </w:rPr>
      </w:pPr>
      <w:r>
        <w:rPr>
          <w:noProof/>
          <w:lang w:val="en-ZA"/>
        </w:rPr>
        <w:lastRenderedPageBreak/>
        <w:drawing>
          <wp:inline distT="0" distB="0" distL="0" distR="0" wp14:anchorId="277DCDD5" wp14:editId="204E2173">
            <wp:extent cx="5731510" cy="2686050"/>
            <wp:effectExtent l="0" t="0" r="0" b="0"/>
            <wp:docPr id="61" name="Chart 6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000041B" w14:textId="578C4B07" w:rsidR="0039297D" w:rsidRPr="000F15C3" w:rsidRDefault="004273CA" w:rsidP="000F15C3">
      <w:pPr>
        <w:pBdr>
          <w:top w:val="nil"/>
          <w:left w:val="nil"/>
          <w:bottom w:val="nil"/>
          <w:right w:val="nil"/>
          <w:between w:val="nil"/>
        </w:pBdr>
        <w:spacing w:before="120" w:line="259" w:lineRule="auto"/>
        <w:rPr>
          <w:i/>
          <w:color w:val="44546A"/>
        </w:rPr>
      </w:pPr>
      <w:bookmarkStart w:id="85" w:name="_heading=h.3ygebqi" w:colFirst="0" w:colLast="0"/>
      <w:bookmarkEnd w:id="85"/>
      <w:r w:rsidRPr="000F15C3">
        <w:rPr>
          <w:i/>
          <w:color w:val="44546A"/>
        </w:rPr>
        <w:t>Figure 19: South Africa</w:t>
      </w:r>
      <w:r w:rsidR="00792E6B" w:rsidRPr="000F15C3">
        <w:rPr>
          <w:i/>
          <w:color w:val="44546A"/>
        </w:rPr>
        <w:t>’</w:t>
      </w:r>
      <w:r w:rsidRPr="000F15C3">
        <w:rPr>
          <w:i/>
          <w:color w:val="44546A"/>
        </w:rPr>
        <w:t>s cultural goods trade balance with the USA, UK and China 2001</w:t>
      </w:r>
      <w:r w:rsidR="008C72EA">
        <w:rPr>
          <w:i/>
          <w:color w:val="44546A"/>
        </w:rPr>
        <w:t>–</w:t>
      </w:r>
      <w:r w:rsidRPr="000F15C3">
        <w:rPr>
          <w:i/>
          <w:color w:val="44546A"/>
        </w:rPr>
        <w:t>2020 (US$ millions)</w:t>
      </w:r>
    </w:p>
    <w:p w14:paraId="0000041C" w14:textId="44E3317F" w:rsidR="0039297D" w:rsidRPr="000F15C3" w:rsidRDefault="004273CA" w:rsidP="000F15C3">
      <w:pPr>
        <w:pBdr>
          <w:top w:val="nil"/>
          <w:left w:val="nil"/>
          <w:bottom w:val="nil"/>
          <w:right w:val="nil"/>
          <w:between w:val="nil"/>
        </w:pBdr>
        <w:spacing w:line="259" w:lineRule="auto"/>
        <w:rPr>
          <w:iCs/>
          <w:sz w:val="24"/>
          <w:szCs w:val="24"/>
        </w:rPr>
      </w:pPr>
      <w:r w:rsidRPr="000F15C3">
        <w:rPr>
          <w:iCs/>
        </w:rPr>
        <w:t>Source: Authors’ computations based on data from ITC, 2021</w:t>
      </w:r>
    </w:p>
    <w:p w14:paraId="0000041D" w14:textId="77777777" w:rsidR="0039297D" w:rsidRDefault="0039297D">
      <w:pPr>
        <w:spacing w:after="0"/>
        <w:rPr>
          <w:sz w:val="22"/>
          <w:szCs w:val="22"/>
        </w:rPr>
      </w:pPr>
    </w:p>
    <w:p w14:paraId="0000041F" w14:textId="77777777" w:rsidR="0039297D" w:rsidRDefault="004273CA">
      <w:pPr>
        <w:pStyle w:val="Heading1"/>
      </w:pPr>
      <w:bookmarkStart w:id="86" w:name="_Toc90193716"/>
      <w:bookmarkStart w:id="87" w:name="_Toc90193737"/>
      <w:bookmarkStart w:id="88" w:name="_Toc90193764"/>
      <w:r>
        <w:t>Conclusions and some implications of the findings</w:t>
      </w:r>
      <w:bookmarkEnd w:id="86"/>
      <w:bookmarkEnd w:id="87"/>
      <w:bookmarkEnd w:id="88"/>
    </w:p>
    <w:p w14:paraId="00000420" w14:textId="2797D40C" w:rsidR="0039297D" w:rsidRDefault="004273CA">
      <w:pPr>
        <w:spacing w:line="259" w:lineRule="auto"/>
        <w:rPr>
          <w:sz w:val="22"/>
          <w:szCs w:val="22"/>
        </w:rPr>
      </w:pPr>
      <w:r>
        <w:rPr>
          <w:sz w:val="22"/>
          <w:szCs w:val="22"/>
        </w:rPr>
        <w:t xml:space="preserve">An important part of understanding the creative economy is the ability to track developments over longer time periods. Chapter 5 of the Mapping Study </w:t>
      </w:r>
      <w:sdt>
        <w:sdtPr>
          <w:tag w:val="goog_rdk_7"/>
          <w:id w:val="-304006614"/>
        </w:sdtPr>
        <w:sdtEndPr/>
        <w:sdtContent/>
      </w:sdt>
      <w:r>
        <w:rPr>
          <w:sz w:val="22"/>
          <w:szCs w:val="22"/>
        </w:rPr>
        <w:t xml:space="preserve">provides </w:t>
      </w:r>
      <w:r w:rsidR="00987687">
        <w:rPr>
          <w:sz w:val="22"/>
          <w:szCs w:val="22"/>
        </w:rPr>
        <w:t xml:space="preserve">a </w:t>
      </w:r>
      <w:r>
        <w:rPr>
          <w:sz w:val="22"/>
          <w:szCs w:val="22"/>
        </w:rPr>
        <w:t>longer-term analysis of the contribution of the Cultural and Creative Industries (CCIs) to South Africa’s GDP, employment and transformation, and international trade in cultural goods. Data is from a variety of national and international databases that provide reliable national data over time (further described in Chapters 1, 2, and 3 of the Mapping Study).</w:t>
      </w:r>
    </w:p>
    <w:p w14:paraId="00000421" w14:textId="463FDAD5" w:rsidR="0039297D" w:rsidRDefault="004273CA">
      <w:pPr>
        <w:spacing w:line="259" w:lineRule="auto"/>
        <w:rPr>
          <w:sz w:val="22"/>
          <w:szCs w:val="22"/>
        </w:rPr>
      </w:pPr>
      <w:r>
        <w:rPr>
          <w:sz w:val="22"/>
          <w:szCs w:val="22"/>
        </w:rPr>
        <w:t xml:space="preserve">The direct contribution of the CCIs to the GDP of South Africa increased steadily from 1996 (2%) to a high of nearly 3% in 2010. The financial crisis of 2008/9 and the slowing growth rate of the overall economy have also resulted in a decline in CCI growth rate. In terms of GDP contribution, the largest and fastest growing domains are Audio-visual and Interactive Media, and Design and Creative Services. As expected from domains with higher levels of cultural and intrinsic value, the contribution of Performance and Celebration, and Cultural and Natural Heritage is lower, but they have maintained a steady growth rate over time. Of concern is that two of the larger domains, Books and Press, and Visual Arts and Crafts, have </w:t>
      </w:r>
      <w:r w:rsidR="00377D18">
        <w:rPr>
          <w:sz w:val="22"/>
          <w:szCs w:val="22"/>
        </w:rPr>
        <w:t xml:space="preserve">had </w:t>
      </w:r>
      <w:r>
        <w:rPr>
          <w:sz w:val="22"/>
          <w:szCs w:val="22"/>
        </w:rPr>
        <w:t xml:space="preserve">declining GDP contributions since 2012. </w:t>
      </w:r>
    </w:p>
    <w:p w14:paraId="00000422" w14:textId="77777777" w:rsidR="0039297D" w:rsidRDefault="004273CA">
      <w:pPr>
        <w:spacing w:line="259" w:lineRule="auto"/>
        <w:rPr>
          <w:sz w:val="22"/>
          <w:szCs w:val="22"/>
        </w:rPr>
      </w:pPr>
      <w:r>
        <w:rPr>
          <w:sz w:val="22"/>
          <w:szCs w:val="22"/>
        </w:rPr>
        <w:t xml:space="preserve">In 2008, before the financial crisis, cultural occupations provided 475 000 jobs, and made up 2.6% of the workforce. The following year saw a significant drop in both the number and percentage of cultural occupations, which reached a low point in 2015 with 323 500 people in cultural occupations (2% of the workforce). Since 2015, there has been significant recovery, although never reaching the pre-financial-crisis levels. The number of people working in cultural occupations in South Africa in 2019 was 385 600, which made up 2.3% of the workforce. </w:t>
      </w:r>
    </w:p>
    <w:p w14:paraId="00000423" w14:textId="385218E2" w:rsidR="0039297D" w:rsidRDefault="004273CA">
      <w:pPr>
        <w:spacing w:line="259" w:lineRule="auto"/>
        <w:rPr>
          <w:sz w:val="22"/>
          <w:szCs w:val="22"/>
        </w:rPr>
      </w:pPr>
      <w:r>
        <w:rPr>
          <w:sz w:val="22"/>
          <w:szCs w:val="22"/>
        </w:rPr>
        <w:t xml:space="preserve">The largest domains in terms of employment are Visual Arts and Crafts and Books and Press. Of concern is that, as with their GDP contributions, the number of people employed in these </w:t>
      </w:r>
      <w:sdt>
        <w:sdtPr>
          <w:tag w:val="goog_rdk_8"/>
          <w:id w:val="849375018"/>
        </w:sdtPr>
        <w:sdtEndPr/>
        <w:sdtContent/>
      </w:sdt>
      <w:r>
        <w:rPr>
          <w:sz w:val="22"/>
          <w:szCs w:val="22"/>
        </w:rPr>
        <w:t xml:space="preserve">domains is declining over time. Real wages in Book and Press have also fallen over time, while they remain lowest in Visual Arts and Crafts. Although the gender bias is still evident, </w:t>
      </w:r>
      <w:r>
        <w:rPr>
          <w:sz w:val="22"/>
          <w:szCs w:val="22"/>
        </w:rPr>
        <w:lastRenderedPageBreak/>
        <w:t>there is some evidence of ongoing transformation: The percentage of black African, coloured and people of Indian or Asian origin in cultural occupations has increased from an average of 81.5% in the 2005-2009 period to 84.3% in 2015–2018. There has also been a remarkable increase in the proportion of people in cultural occupations with tertiary education over this period, from 19.7% in 2005–2009, to 27.2% in 2015–2018.</w:t>
      </w:r>
    </w:p>
    <w:p w14:paraId="00000424" w14:textId="619AEFDF" w:rsidR="0039297D" w:rsidRDefault="004273CA">
      <w:pPr>
        <w:spacing w:line="259" w:lineRule="auto"/>
        <w:rPr>
          <w:sz w:val="22"/>
          <w:szCs w:val="22"/>
        </w:rPr>
      </w:pPr>
      <w:r>
        <w:rPr>
          <w:sz w:val="22"/>
          <w:szCs w:val="22"/>
        </w:rPr>
        <w:t>International trade in cultural goods fell sharply in response to the 2008/9 crisis, although the recovery (particularly of exports) was quick. For the first time in the last 20 years, South Africa had a cultural goods trade surplus of US$58 million in 2020, as imports fell more quickly than exports. Cultural goods exports rose as a share of total export earnings from 2012 (0.25%) to 2018 (0.47%), declining to 0.37% in 2020.</w:t>
      </w:r>
    </w:p>
    <w:p w14:paraId="00000425" w14:textId="77777777" w:rsidR="0039297D" w:rsidRDefault="004273CA">
      <w:pPr>
        <w:spacing w:line="259" w:lineRule="auto"/>
        <w:rPr>
          <w:sz w:val="22"/>
          <w:szCs w:val="22"/>
        </w:rPr>
      </w:pPr>
      <w:r>
        <w:rPr>
          <w:sz w:val="22"/>
          <w:szCs w:val="22"/>
        </w:rPr>
        <w:t>Contrary to their declining share of GDP and employment, cultural goods exports are dominated by Books and Press, and Visual Arts and Crafts (although the latter has been falling since 2018). These were also the largest import domains. Although smaller, the Cultural and Natural Heritage domain shows a consistent trade surplus over time.</w:t>
      </w:r>
    </w:p>
    <w:p w14:paraId="00000426" w14:textId="1F735CEE" w:rsidR="0039297D" w:rsidRDefault="004273CA">
      <w:pPr>
        <w:spacing w:line="259" w:lineRule="auto"/>
        <w:rPr>
          <w:sz w:val="22"/>
          <w:szCs w:val="22"/>
        </w:rPr>
      </w:pPr>
      <w:r>
        <w:rPr>
          <w:sz w:val="22"/>
          <w:szCs w:val="22"/>
        </w:rPr>
        <w:t xml:space="preserve">South Africa’s largest trading partner of its cultural goods exports in the last 20 years is the US, followed by the UK, although the latter is becoming less important over time. The importance of the African continent and China as export destinations for South African cultural goods is growing over time. Cultural </w:t>
      </w:r>
      <w:sdt>
        <w:sdtPr>
          <w:tag w:val="goog_rdk_9"/>
          <w:id w:val="-1249422564"/>
        </w:sdtPr>
        <w:sdtEndPr/>
        <w:sdtContent/>
      </w:sdt>
      <w:r>
        <w:rPr>
          <w:sz w:val="22"/>
          <w:szCs w:val="22"/>
        </w:rPr>
        <w:t>good</w:t>
      </w:r>
      <w:r w:rsidR="00987687">
        <w:rPr>
          <w:sz w:val="22"/>
          <w:szCs w:val="22"/>
        </w:rPr>
        <w:t>s</w:t>
      </w:r>
      <w:r>
        <w:rPr>
          <w:sz w:val="22"/>
          <w:szCs w:val="22"/>
        </w:rPr>
        <w:t xml:space="preserve"> imports are </w:t>
      </w:r>
      <w:sdt>
        <w:sdtPr>
          <w:tag w:val="goog_rdk_10"/>
          <w:id w:val="1156957411"/>
        </w:sdtPr>
        <w:sdtEndPr/>
        <w:sdtContent/>
      </w:sdt>
      <w:r>
        <w:rPr>
          <w:sz w:val="22"/>
          <w:szCs w:val="22"/>
        </w:rPr>
        <w:t>source</w:t>
      </w:r>
      <w:r w:rsidR="00987687">
        <w:rPr>
          <w:sz w:val="22"/>
          <w:szCs w:val="22"/>
        </w:rPr>
        <w:t>d</w:t>
      </w:r>
      <w:r>
        <w:rPr>
          <w:sz w:val="22"/>
          <w:szCs w:val="22"/>
        </w:rPr>
        <w:t xml:space="preserve"> mainly from the same three countries (US, UK, and China). China has the largest share of South African cultural goods imports, and its dominance is growing over time. While South Africa has a cultural goods trade surplus with the US over most of the time period studied, it has a large and growing cultural goods trade deficit with China.</w:t>
      </w:r>
    </w:p>
    <w:p w14:paraId="00000427" w14:textId="77777777" w:rsidR="0039297D" w:rsidRDefault="004273CA">
      <w:pPr>
        <w:spacing w:line="259" w:lineRule="auto"/>
        <w:rPr>
          <w:sz w:val="22"/>
          <w:szCs w:val="22"/>
        </w:rPr>
      </w:pPr>
      <w:r>
        <w:rPr>
          <w:sz w:val="22"/>
          <w:szCs w:val="22"/>
        </w:rPr>
        <w:t>There are some important implications of the historical analysis of South Africa’s cultural economy that could feed into policy:</w:t>
      </w:r>
    </w:p>
    <w:p w14:paraId="00000428" w14:textId="77777777" w:rsidR="0039297D" w:rsidRDefault="004273CA">
      <w:pPr>
        <w:spacing w:line="259" w:lineRule="auto"/>
        <w:rPr>
          <w:sz w:val="22"/>
          <w:szCs w:val="22"/>
        </w:rPr>
      </w:pPr>
      <w:r>
        <w:rPr>
          <w:sz w:val="22"/>
          <w:szCs w:val="22"/>
        </w:rPr>
        <w:t xml:space="preserve">Both the analysis of the GDP and employment contribution of the CCIs show that the sector tends to move with the overall GDP of the country. Since the adoption of the first post-apartheid White Paper on Arts, Cultural and Heritage in 1996 until the financial crisis in 2008/9, the CCIs in South Africa have shown steady growth, both in terms of their GDP contribution, growth in cultural goods trade, and in terms of job creation. </w:t>
      </w:r>
    </w:p>
    <w:p w14:paraId="00000429" w14:textId="1C81A09F" w:rsidR="0039297D" w:rsidRDefault="004273CA">
      <w:pPr>
        <w:spacing w:line="259" w:lineRule="auto"/>
        <w:rPr>
          <w:sz w:val="22"/>
          <w:szCs w:val="22"/>
        </w:rPr>
      </w:pPr>
      <w:r>
        <w:rPr>
          <w:sz w:val="22"/>
          <w:szCs w:val="22"/>
        </w:rPr>
        <w:t xml:space="preserve">While there are indications that the shift in cultural policy focus to the cultural and creative industries has helped to grow and support the sector from 2010, this may have been offset by events </w:t>
      </w:r>
      <w:r w:rsidR="00377D18">
        <w:rPr>
          <w:sz w:val="22"/>
          <w:szCs w:val="22"/>
        </w:rPr>
        <w:t xml:space="preserve">such as </w:t>
      </w:r>
      <w:r>
        <w:rPr>
          <w:sz w:val="22"/>
          <w:szCs w:val="22"/>
        </w:rPr>
        <w:t xml:space="preserve">the 2008/9 financial crisis, and the slow-down in economic growth in the post-2015 period. Even before the COVID-19 crisis of 2020, there were indications that the South African creative economy was slowing down: GDP contribution in real terms remained the same between 2018 and 2019 (Figure 4), while the number of cultural occupations declined slightly (Figure 8), and the value of both cultural goods imports and exports started to fall. </w:t>
      </w:r>
    </w:p>
    <w:p w14:paraId="0000042A" w14:textId="33FBADC2" w:rsidR="0039297D" w:rsidRDefault="004273CA">
      <w:pPr>
        <w:spacing w:line="259" w:lineRule="auto"/>
        <w:rPr>
          <w:sz w:val="22"/>
          <w:szCs w:val="22"/>
        </w:rPr>
      </w:pPr>
      <w:r>
        <w:rPr>
          <w:sz w:val="22"/>
          <w:szCs w:val="22"/>
        </w:rPr>
        <w:t>The more commercial application domains (Design and Creative Services, and Audio-visual and Interactive Media), which also have the best opportunities to capitalise on digitisation, are nevertheless showing signs of output and employment growth. (The dematerialisation of production and consumption in these domains means that data on international cultural goods trade does not present a full picture of their contribution in this area, as discussed further in Chapter 3</w:t>
      </w:r>
      <w:r w:rsidR="00377D18">
        <w:rPr>
          <w:sz w:val="22"/>
          <w:szCs w:val="22"/>
        </w:rPr>
        <w:t>.</w:t>
      </w:r>
      <w:r>
        <w:rPr>
          <w:sz w:val="22"/>
          <w:szCs w:val="22"/>
        </w:rPr>
        <w:t>) These could be key in post-COVID creative economy recovery.</w:t>
      </w:r>
    </w:p>
    <w:p w14:paraId="0000042B" w14:textId="77777777" w:rsidR="0039297D" w:rsidRDefault="004273CA">
      <w:pPr>
        <w:spacing w:line="259" w:lineRule="auto"/>
        <w:rPr>
          <w:sz w:val="22"/>
          <w:szCs w:val="22"/>
        </w:rPr>
      </w:pPr>
      <w:r>
        <w:rPr>
          <w:sz w:val="22"/>
          <w:szCs w:val="22"/>
        </w:rPr>
        <w:t xml:space="preserve">Of concern are the next largest domains, Visual Arts and Crafts, and Books and Press, which have been declining over time in both GDP contribution and employment. Visual Arts and Crafts makes up 13.9% of the CCI contribution to GDP but accounted for more than 40% of all cultural occupations over the period of study. While these jobs have much lower average </w:t>
      </w:r>
      <w:r>
        <w:rPr>
          <w:sz w:val="22"/>
          <w:szCs w:val="22"/>
        </w:rPr>
        <w:lastRenderedPageBreak/>
        <w:t xml:space="preserve">real incomes than other domains, they provide an important entry point for those with lower levels of education, and need to be supported going forward. Books and Press is also struggling to maintain its share of GDP and employment, with falling average real wages. </w:t>
      </w:r>
    </w:p>
    <w:p w14:paraId="0000042C" w14:textId="77777777" w:rsidR="0039297D" w:rsidRDefault="004273CA">
      <w:pPr>
        <w:spacing w:line="259" w:lineRule="auto"/>
        <w:rPr>
          <w:b/>
          <w:color w:val="2E75B5"/>
          <w:sz w:val="32"/>
          <w:szCs w:val="32"/>
        </w:rPr>
      </w:pPr>
      <w:r>
        <w:rPr>
          <w:sz w:val="22"/>
          <w:szCs w:val="22"/>
        </w:rPr>
        <w:t xml:space="preserve">However, both these domains make up a large share of cultural goods exports which were growing until 2018. Policies that build on the rising importance of African markets in these domains, and assistance with export promotion and readiness, could help to revive both these sectors in the future. </w:t>
      </w:r>
      <w:r>
        <w:br w:type="page"/>
      </w:r>
    </w:p>
    <w:p w14:paraId="0000042D" w14:textId="77777777" w:rsidR="0039297D" w:rsidRDefault="004273CA" w:rsidP="00987687">
      <w:pPr>
        <w:pStyle w:val="Heading1"/>
        <w:numPr>
          <w:ilvl w:val="0"/>
          <w:numId w:val="0"/>
        </w:numPr>
        <w:ind w:left="432" w:hanging="432"/>
      </w:pPr>
      <w:bookmarkStart w:id="89" w:name="_Toc90193717"/>
      <w:bookmarkStart w:id="90" w:name="_Toc90193738"/>
      <w:bookmarkStart w:id="91" w:name="_Toc90193765"/>
      <w:r>
        <w:lastRenderedPageBreak/>
        <w:t>References</w:t>
      </w:r>
      <w:bookmarkEnd w:id="89"/>
      <w:bookmarkEnd w:id="90"/>
      <w:bookmarkEnd w:id="91"/>
    </w:p>
    <w:p w14:paraId="0000042E" w14:textId="77777777" w:rsidR="0039297D" w:rsidRDefault="0039297D">
      <w:pPr>
        <w:rPr>
          <w:sz w:val="22"/>
          <w:szCs w:val="22"/>
        </w:rPr>
      </w:pPr>
    </w:p>
    <w:p w14:paraId="0000042F" w14:textId="77777777" w:rsidR="0039297D" w:rsidRDefault="004273CA" w:rsidP="000F15C3">
      <w:pPr>
        <w:spacing w:line="259" w:lineRule="auto"/>
        <w:jc w:val="left"/>
        <w:rPr>
          <w:sz w:val="22"/>
          <w:szCs w:val="22"/>
        </w:rPr>
      </w:pPr>
      <w:r>
        <w:rPr>
          <w:sz w:val="22"/>
          <w:szCs w:val="22"/>
        </w:rPr>
        <w:t>Chang, H-J. and Andreoni, A. (2020). Industrial policy in the 21</w:t>
      </w:r>
      <w:r>
        <w:rPr>
          <w:sz w:val="22"/>
          <w:szCs w:val="22"/>
          <w:vertAlign w:val="superscript"/>
        </w:rPr>
        <w:t>st</w:t>
      </w:r>
      <w:r>
        <w:rPr>
          <w:sz w:val="22"/>
          <w:szCs w:val="22"/>
        </w:rPr>
        <w:t xml:space="preserve"> Century. </w:t>
      </w:r>
      <w:r>
        <w:rPr>
          <w:i/>
          <w:sz w:val="22"/>
          <w:szCs w:val="22"/>
        </w:rPr>
        <w:t>Development and Change</w:t>
      </w:r>
      <w:r>
        <w:rPr>
          <w:sz w:val="22"/>
          <w:szCs w:val="22"/>
        </w:rPr>
        <w:t>, 51(2): 324–351. DOI: 10.1111/dech.12570</w:t>
      </w:r>
    </w:p>
    <w:p w14:paraId="00000430" w14:textId="72321FCD" w:rsidR="0039297D" w:rsidRDefault="004273CA" w:rsidP="000F15C3">
      <w:pPr>
        <w:spacing w:line="259" w:lineRule="auto"/>
        <w:jc w:val="left"/>
        <w:rPr>
          <w:sz w:val="22"/>
          <w:szCs w:val="22"/>
        </w:rPr>
      </w:pPr>
      <w:r>
        <w:rPr>
          <w:sz w:val="22"/>
          <w:szCs w:val="22"/>
        </w:rPr>
        <w:t xml:space="preserve">CAJ. (2008). </w:t>
      </w:r>
      <w:r w:rsidR="00E5021B">
        <w:t xml:space="preserve">The Creative Industries in South Africa. Creative Industries Sector Report, prepared by  Joffe, A. and Newton, M. for the HSRC. Online. [Available] </w:t>
      </w:r>
      <w:hyperlink r:id="rId29" w:history="1">
        <w:r w:rsidR="00E5021B" w:rsidRPr="005B025D">
          <w:rPr>
            <w:rStyle w:val="Hyperlink"/>
            <w:sz w:val="22"/>
            <w:szCs w:val="22"/>
          </w:rPr>
          <w:t>https://www.researchgate.net/publication/261875016_Human_Sciences_THE_CREATIVE_INDUSTRIES_IN_SOUTH_AFRICA</w:t>
        </w:r>
      </w:hyperlink>
    </w:p>
    <w:p w14:paraId="79D02952" w14:textId="4BE03493" w:rsidR="00D05713" w:rsidRDefault="00D05713" w:rsidP="000F15C3">
      <w:pPr>
        <w:spacing w:line="259" w:lineRule="auto"/>
        <w:jc w:val="left"/>
        <w:rPr>
          <w:sz w:val="22"/>
          <w:szCs w:val="22"/>
        </w:rPr>
      </w:pPr>
      <w:r>
        <w:rPr>
          <w:sz w:val="22"/>
          <w:szCs w:val="22"/>
        </w:rPr>
        <w:t xml:space="preserve">Department of Arts, Culture, Science and Technology. (1996). </w:t>
      </w:r>
      <w:r w:rsidRPr="000F15C3">
        <w:rPr>
          <w:i/>
          <w:iCs/>
          <w:sz w:val="22"/>
          <w:szCs w:val="22"/>
        </w:rPr>
        <w:t>White Paper on Arts, Culture and Heritage</w:t>
      </w:r>
      <w:r>
        <w:rPr>
          <w:sz w:val="22"/>
          <w:szCs w:val="22"/>
        </w:rPr>
        <w:t xml:space="preserve">. Online [Available] </w:t>
      </w:r>
      <w:hyperlink r:id="rId30">
        <w:r>
          <w:rPr>
            <w:color w:val="0563C1"/>
            <w:sz w:val="22"/>
            <w:szCs w:val="22"/>
            <w:u w:val="single"/>
          </w:rPr>
          <w:t>http://www.dac.gov.za/content/white-paper-arts-culture-and-heritage</w:t>
        </w:r>
      </w:hyperlink>
      <w:r>
        <w:rPr>
          <w:sz w:val="22"/>
          <w:szCs w:val="22"/>
        </w:rPr>
        <w:t xml:space="preserve"> </w:t>
      </w:r>
    </w:p>
    <w:p w14:paraId="41CE3AD5" w14:textId="23C73227" w:rsidR="00D05713" w:rsidRDefault="00D05713" w:rsidP="000F15C3">
      <w:pPr>
        <w:spacing w:line="259" w:lineRule="auto"/>
        <w:jc w:val="left"/>
        <w:rPr>
          <w:sz w:val="22"/>
          <w:szCs w:val="22"/>
        </w:rPr>
      </w:pPr>
      <w:r>
        <w:rPr>
          <w:sz w:val="22"/>
          <w:szCs w:val="22"/>
        </w:rPr>
        <w:t>Department of Arts</w:t>
      </w:r>
      <w:r w:rsidR="00DE1A31">
        <w:rPr>
          <w:sz w:val="22"/>
          <w:szCs w:val="22"/>
        </w:rPr>
        <w:t xml:space="preserve"> and</w:t>
      </w:r>
      <w:r>
        <w:rPr>
          <w:sz w:val="22"/>
          <w:szCs w:val="22"/>
        </w:rPr>
        <w:t xml:space="preserve"> Culture. (2013). </w:t>
      </w:r>
      <w:r w:rsidRPr="000F15C3">
        <w:rPr>
          <w:i/>
          <w:iCs/>
          <w:sz w:val="22"/>
          <w:szCs w:val="22"/>
        </w:rPr>
        <w:t>Revised White Paper on Arts and Culture</w:t>
      </w:r>
      <w:r>
        <w:rPr>
          <w:i/>
          <w:iCs/>
          <w:sz w:val="22"/>
          <w:szCs w:val="22"/>
        </w:rPr>
        <w:t>.</w:t>
      </w:r>
      <w:r>
        <w:rPr>
          <w:sz w:val="22"/>
          <w:szCs w:val="22"/>
        </w:rPr>
        <w:t xml:space="preserve"> Online [Available] </w:t>
      </w:r>
      <w:hyperlink r:id="rId31" w:tgtFrame="_blank" w:history="1">
        <w:r w:rsidR="00E5021B" w:rsidRPr="00E5021B">
          <w:rPr>
            <w:rStyle w:val="Hyperlink"/>
            <w:sz w:val="22"/>
            <w:szCs w:val="22"/>
          </w:rPr>
          <w:t>http://www.dac.gov.za/sites/default/files/REVISEDWHITEPAPER04062013.pdf</w:t>
        </w:r>
      </w:hyperlink>
    </w:p>
    <w:p w14:paraId="1FB3C397" w14:textId="3025749B" w:rsidR="00D05713" w:rsidRDefault="00D05713" w:rsidP="000F15C3">
      <w:pPr>
        <w:spacing w:line="259" w:lineRule="auto"/>
        <w:jc w:val="left"/>
        <w:rPr>
          <w:sz w:val="22"/>
          <w:szCs w:val="22"/>
        </w:rPr>
      </w:pPr>
      <w:r>
        <w:rPr>
          <w:sz w:val="22"/>
          <w:szCs w:val="22"/>
        </w:rPr>
        <w:t>Department of Arts</w:t>
      </w:r>
      <w:r w:rsidR="00DE1A31">
        <w:rPr>
          <w:sz w:val="22"/>
          <w:szCs w:val="22"/>
        </w:rPr>
        <w:t xml:space="preserve"> and </w:t>
      </w:r>
      <w:r>
        <w:rPr>
          <w:sz w:val="22"/>
          <w:szCs w:val="22"/>
        </w:rPr>
        <w:t>Culture</w:t>
      </w:r>
      <w:r w:rsidR="00DE1A31">
        <w:rPr>
          <w:sz w:val="22"/>
          <w:szCs w:val="22"/>
        </w:rPr>
        <w:t xml:space="preserve"> (DAC)</w:t>
      </w:r>
      <w:r>
        <w:rPr>
          <w:sz w:val="22"/>
          <w:szCs w:val="22"/>
        </w:rPr>
        <w:t xml:space="preserve">. (2017). </w:t>
      </w:r>
      <w:r w:rsidRPr="000F15C3">
        <w:rPr>
          <w:i/>
          <w:iCs/>
          <w:sz w:val="22"/>
          <w:szCs w:val="22"/>
        </w:rPr>
        <w:t>Revised White Paper on Arts</w:t>
      </w:r>
      <w:r w:rsidR="00DE1A31">
        <w:rPr>
          <w:i/>
          <w:iCs/>
          <w:sz w:val="22"/>
          <w:szCs w:val="22"/>
        </w:rPr>
        <w:t>,</w:t>
      </w:r>
      <w:r w:rsidRPr="000F15C3">
        <w:rPr>
          <w:i/>
          <w:iCs/>
          <w:sz w:val="22"/>
          <w:szCs w:val="22"/>
        </w:rPr>
        <w:t xml:space="preserve"> Culture</w:t>
      </w:r>
      <w:r>
        <w:rPr>
          <w:sz w:val="22"/>
          <w:szCs w:val="22"/>
        </w:rPr>
        <w:t xml:space="preserve"> </w:t>
      </w:r>
      <w:r w:rsidR="00DE1A31">
        <w:rPr>
          <w:sz w:val="22"/>
          <w:szCs w:val="22"/>
        </w:rPr>
        <w:t xml:space="preserve">and Heritage </w:t>
      </w:r>
      <w:r>
        <w:rPr>
          <w:sz w:val="22"/>
          <w:szCs w:val="22"/>
        </w:rPr>
        <w:t>(</w:t>
      </w:r>
      <w:r w:rsidR="00DE1A31">
        <w:rPr>
          <w:sz w:val="22"/>
          <w:szCs w:val="22"/>
        </w:rPr>
        <w:t>4</w:t>
      </w:r>
      <w:r w:rsidR="00DE1A31" w:rsidRPr="000F15C3">
        <w:rPr>
          <w:sz w:val="22"/>
          <w:szCs w:val="22"/>
          <w:vertAlign w:val="superscript"/>
        </w:rPr>
        <w:t>th</w:t>
      </w:r>
      <w:r>
        <w:rPr>
          <w:sz w:val="22"/>
          <w:szCs w:val="22"/>
        </w:rPr>
        <w:t xml:space="preserve"> draft)</w:t>
      </w:r>
      <w:r w:rsidR="00DE1A31">
        <w:rPr>
          <w:sz w:val="22"/>
          <w:szCs w:val="22"/>
        </w:rPr>
        <w:t>.</w:t>
      </w:r>
      <w:r>
        <w:rPr>
          <w:sz w:val="22"/>
          <w:szCs w:val="22"/>
        </w:rPr>
        <w:t xml:space="preserve"> Online [Available</w:t>
      </w:r>
      <w:r w:rsidR="00E5021B">
        <w:rPr>
          <w:sz w:val="22"/>
          <w:szCs w:val="22"/>
        </w:rPr>
        <w:t xml:space="preserve">] </w:t>
      </w:r>
      <w:hyperlink r:id="rId32" w:tgtFrame="_blank" w:history="1">
        <w:r w:rsidR="00E5021B" w:rsidRPr="00E5021B">
          <w:rPr>
            <w:rStyle w:val="Hyperlink"/>
            <w:sz w:val="22"/>
            <w:szCs w:val="22"/>
          </w:rPr>
          <w:t>http://www.dac.gov.za/sites/default/files/Legislations%20Files/Revised%203rd%20Draft%20RWP%20on%20ACH%20FEBRUARY%202017_0.pdf</w:t>
        </w:r>
      </w:hyperlink>
    </w:p>
    <w:p w14:paraId="25648B00" w14:textId="49B16C68" w:rsidR="001F7C95" w:rsidRDefault="001F7C95" w:rsidP="000F15C3">
      <w:pPr>
        <w:spacing w:line="259" w:lineRule="auto"/>
        <w:jc w:val="left"/>
        <w:rPr>
          <w:sz w:val="22"/>
          <w:szCs w:val="22"/>
        </w:rPr>
      </w:pPr>
      <w:r w:rsidRPr="001F7C95">
        <w:rPr>
          <w:sz w:val="22"/>
          <w:szCs w:val="22"/>
          <w:lang w:val="en-ZA"/>
        </w:rPr>
        <w:t>Gouvea</w:t>
      </w:r>
      <w:r>
        <w:rPr>
          <w:sz w:val="22"/>
          <w:szCs w:val="22"/>
          <w:lang w:val="en-ZA"/>
        </w:rPr>
        <w:t xml:space="preserve">, R. and </w:t>
      </w:r>
      <w:r w:rsidRPr="001F7C95">
        <w:rPr>
          <w:sz w:val="22"/>
          <w:szCs w:val="22"/>
          <w:lang w:val="en-ZA"/>
        </w:rPr>
        <w:t>Vora</w:t>
      </w:r>
      <w:r>
        <w:rPr>
          <w:sz w:val="22"/>
          <w:szCs w:val="22"/>
          <w:lang w:val="en-ZA"/>
        </w:rPr>
        <w:t>, G.</w:t>
      </w:r>
      <w:r w:rsidRPr="001F7C95">
        <w:rPr>
          <w:sz w:val="22"/>
          <w:szCs w:val="22"/>
          <w:lang w:val="en-ZA"/>
        </w:rPr>
        <w:t xml:space="preserve"> (2018)</w:t>
      </w:r>
      <w:r w:rsidR="00C75F04">
        <w:rPr>
          <w:sz w:val="22"/>
          <w:szCs w:val="22"/>
          <w:lang w:val="en-ZA"/>
        </w:rPr>
        <w:t>.</w:t>
      </w:r>
      <w:r w:rsidRPr="001F7C95">
        <w:rPr>
          <w:sz w:val="22"/>
          <w:szCs w:val="22"/>
          <w:lang w:val="en-ZA"/>
        </w:rPr>
        <w:t xml:space="preserve"> Creative industries and economic growth:</w:t>
      </w:r>
      <w:r>
        <w:rPr>
          <w:sz w:val="22"/>
          <w:szCs w:val="22"/>
          <w:lang w:val="en-ZA"/>
        </w:rPr>
        <w:t xml:space="preserve"> </w:t>
      </w:r>
      <w:r w:rsidRPr="001F7C95">
        <w:rPr>
          <w:sz w:val="22"/>
          <w:szCs w:val="22"/>
          <w:lang w:val="en-ZA"/>
        </w:rPr>
        <w:t>stability of creative products exports earnings</w:t>
      </w:r>
      <w:r>
        <w:rPr>
          <w:sz w:val="22"/>
          <w:szCs w:val="22"/>
          <w:lang w:val="en-ZA"/>
        </w:rPr>
        <w:t>.</w:t>
      </w:r>
      <w:r w:rsidRPr="001F7C95">
        <w:rPr>
          <w:sz w:val="22"/>
          <w:szCs w:val="22"/>
          <w:lang w:val="en-ZA"/>
        </w:rPr>
        <w:t xml:space="preserve"> </w:t>
      </w:r>
      <w:r w:rsidRPr="000F15C3">
        <w:rPr>
          <w:i/>
          <w:iCs/>
          <w:sz w:val="22"/>
          <w:szCs w:val="22"/>
          <w:lang w:val="en-ZA"/>
        </w:rPr>
        <w:t>Creative Industries Journal</w:t>
      </w:r>
      <w:r w:rsidR="00DD6C53">
        <w:rPr>
          <w:sz w:val="22"/>
          <w:szCs w:val="22"/>
          <w:lang w:val="en-ZA"/>
        </w:rPr>
        <w:t>,</w:t>
      </w:r>
      <w:r w:rsidRPr="001F7C95">
        <w:rPr>
          <w:sz w:val="22"/>
          <w:szCs w:val="22"/>
          <w:lang w:val="en-ZA"/>
        </w:rPr>
        <w:t xml:space="preserve"> 11</w:t>
      </w:r>
      <w:r w:rsidR="00DD6C53">
        <w:rPr>
          <w:sz w:val="22"/>
          <w:szCs w:val="22"/>
          <w:lang w:val="en-ZA"/>
        </w:rPr>
        <w:t>(</w:t>
      </w:r>
      <w:r w:rsidRPr="001F7C95">
        <w:rPr>
          <w:sz w:val="22"/>
          <w:szCs w:val="22"/>
          <w:lang w:val="en-ZA"/>
        </w:rPr>
        <w:t>1</w:t>
      </w:r>
      <w:r w:rsidR="00DD6C53">
        <w:rPr>
          <w:sz w:val="22"/>
          <w:szCs w:val="22"/>
          <w:lang w:val="en-ZA"/>
        </w:rPr>
        <w:t>)</w:t>
      </w:r>
      <w:r>
        <w:rPr>
          <w:sz w:val="22"/>
          <w:szCs w:val="22"/>
          <w:lang w:val="en-ZA"/>
        </w:rPr>
        <w:t xml:space="preserve">: </w:t>
      </w:r>
      <w:r w:rsidRPr="001F7C95">
        <w:rPr>
          <w:sz w:val="22"/>
          <w:szCs w:val="22"/>
          <w:lang w:val="en-ZA"/>
        </w:rPr>
        <w:t>22</w:t>
      </w:r>
      <w:r w:rsidR="00DD6C53">
        <w:rPr>
          <w:sz w:val="22"/>
          <w:szCs w:val="22"/>
          <w:lang w:val="en-ZA"/>
        </w:rPr>
        <w:t>–</w:t>
      </w:r>
      <w:r w:rsidRPr="001F7C95">
        <w:rPr>
          <w:sz w:val="22"/>
          <w:szCs w:val="22"/>
          <w:lang w:val="en-ZA"/>
        </w:rPr>
        <w:t>53</w:t>
      </w:r>
      <w:r>
        <w:rPr>
          <w:sz w:val="22"/>
          <w:szCs w:val="22"/>
          <w:lang w:val="en-ZA"/>
        </w:rPr>
        <w:t>.</w:t>
      </w:r>
    </w:p>
    <w:p w14:paraId="415F775B" w14:textId="77777777" w:rsidR="00DD37B8" w:rsidRPr="009C73BE" w:rsidRDefault="00DD37B8" w:rsidP="00DD37B8">
      <w:pPr>
        <w:jc w:val="left"/>
        <w:rPr>
          <w:sz w:val="22"/>
        </w:rPr>
      </w:pPr>
      <w:r w:rsidRPr="009C73BE">
        <w:rPr>
          <w:sz w:val="22"/>
        </w:rPr>
        <w:t xml:space="preserve">Kerr, A. and Wittenberg, M. (2017). A Guide to Version 3.2 of the Post-Apartheid Labour Market Series (PALMS).October. </w:t>
      </w:r>
      <w:r>
        <w:rPr>
          <w:sz w:val="22"/>
        </w:rPr>
        <w:t xml:space="preserve">Online [Available] </w:t>
      </w:r>
      <w:r w:rsidRPr="009C73BE">
        <w:rPr>
          <w:sz w:val="22"/>
        </w:rPr>
        <w:t xml:space="preserve"> </w:t>
      </w:r>
      <w:hyperlink r:id="rId33" w:tooltip="palms-v3.2-1993-2017-guide.pdf" w:history="1">
        <w:r w:rsidRPr="009C73BE">
          <w:rPr>
            <w:rStyle w:val="Hyperlink"/>
            <w:sz w:val="22"/>
          </w:rPr>
          <w:t>https://www.datafirst.uct.ac.za/dataportal/index.php/catalog/434/download/9089</w:t>
        </w:r>
      </w:hyperlink>
      <w:r w:rsidRPr="009C73BE">
        <w:rPr>
          <w:sz w:val="22"/>
        </w:rPr>
        <w:t xml:space="preserve"> </w:t>
      </w:r>
    </w:p>
    <w:p w14:paraId="49C49957" w14:textId="4783484F" w:rsidR="0022585A" w:rsidRPr="004273CA" w:rsidRDefault="0022585A" w:rsidP="000F15C3">
      <w:pPr>
        <w:spacing w:line="259" w:lineRule="auto"/>
        <w:jc w:val="left"/>
        <w:rPr>
          <w:sz w:val="22"/>
          <w:szCs w:val="22"/>
          <w:lang w:val="en-US"/>
        </w:rPr>
      </w:pPr>
      <w:r w:rsidRPr="004273CA">
        <w:rPr>
          <w:sz w:val="22"/>
          <w:szCs w:val="22"/>
          <w:lang w:val="en-US"/>
        </w:rPr>
        <w:t>Kerr, A. and Wittenberg, M.</w:t>
      </w:r>
      <w:r>
        <w:rPr>
          <w:sz w:val="22"/>
          <w:szCs w:val="22"/>
          <w:lang w:val="en-US"/>
        </w:rPr>
        <w:t xml:space="preserve"> (</w:t>
      </w:r>
      <w:r w:rsidRPr="004273CA">
        <w:rPr>
          <w:sz w:val="22"/>
          <w:szCs w:val="22"/>
          <w:lang w:val="en-US"/>
        </w:rPr>
        <w:t>2019</w:t>
      </w:r>
      <w:r>
        <w:rPr>
          <w:sz w:val="22"/>
          <w:szCs w:val="22"/>
          <w:lang w:val="en-US"/>
        </w:rPr>
        <w:t>)</w:t>
      </w:r>
      <w:r w:rsidR="00C75F04">
        <w:rPr>
          <w:sz w:val="22"/>
          <w:szCs w:val="22"/>
          <w:lang w:val="en-US"/>
        </w:rPr>
        <w:t>.</w:t>
      </w:r>
      <w:r w:rsidRPr="004273CA">
        <w:rPr>
          <w:sz w:val="22"/>
          <w:szCs w:val="22"/>
          <w:lang w:val="en-US"/>
        </w:rPr>
        <w:t xml:space="preserve"> A Guide to Version 3.3 of the Post-Apartheid Labour Market Series (PALMS)</w:t>
      </w:r>
      <w:r>
        <w:rPr>
          <w:sz w:val="22"/>
          <w:szCs w:val="22"/>
          <w:lang w:val="en-US"/>
        </w:rPr>
        <w:t xml:space="preserve"> Online. </w:t>
      </w:r>
      <w:r w:rsidRPr="004273CA">
        <w:rPr>
          <w:sz w:val="22"/>
          <w:szCs w:val="22"/>
          <w:lang w:val="en-US"/>
        </w:rPr>
        <w:t>Available</w:t>
      </w:r>
      <w:r>
        <w:rPr>
          <w:sz w:val="22"/>
          <w:szCs w:val="22"/>
          <w:lang w:val="en-US"/>
        </w:rPr>
        <w:t>:</w:t>
      </w:r>
      <w:r w:rsidRPr="004273CA">
        <w:rPr>
          <w:sz w:val="22"/>
          <w:szCs w:val="22"/>
          <w:lang w:val="en-US"/>
        </w:rPr>
        <w:t xml:space="preserve"> </w:t>
      </w:r>
      <w:hyperlink r:id="rId34" w:history="1">
        <w:r w:rsidRPr="000D5CE9">
          <w:rPr>
            <w:rStyle w:val="Hyperlink"/>
            <w:sz w:val="22"/>
            <w:szCs w:val="22"/>
            <w:lang w:val="en-US"/>
          </w:rPr>
          <w:t>https://www.datafirst.uct.ac.za/dataportal/index.php/catalog/434</w:t>
        </w:r>
      </w:hyperlink>
      <w:r w:rsidR="007E16E4">
        <w:rPr>
          <w:sz w:val="22"/>
          <w:szCs w:val="22"/>
          <w:lang w:val="en-US"/>
        </w:rPr>
        <w:t xml:space="preserve"> </w:t>
      </w:r>
    </w:p>
    <w:p w14:paraId="00000431" w14:textId="3698AC72" w:rsidR="0039297D" w:rsidRDefault="004273CA" w:rsidP="000F15C3">
      <w:pPr>
        <w:spacing w:line="259" w:lineRule="auto"/>
        <w:jc w:val="left"/>
        <w:rPr>
          <w:sz w:val="22"/>
          <w:szCs w:val="22"/>
        </w:rPr>
      </w:pPr>
      <w:r>
        <w:rPr>
          <w:sz w:val="22"/>
          <w:szCs w:val="22"/>
        </w:rPr>
        <w:t xml:space="preserve">Mazzucato, M. and Kattel, R. </w:t>
      </w:r>
      <w:r w:rsidR="00C75F04">
        <w:rPr>
          <w:sz w:val="22"/>
          <w:szCs w:val="22"/>
        </w:rPr>
        <w:t>(</w:t>
      </w:r>
      <w:r>
        <w:rPr>
          <w:sz w:val="22"/>
          <w:szCs w:val="22"/>
        </w:rPr>
        <w:t>2020</w:t>
      </w:r>
      <w:r w:rsidR="00C75F04">
        <w:rPr>
          <w:sz w:val="22"/>
          <w:szCs w:val="22"/>
        </w:rPr>
        <w:t>)</w:t>
      </w:r>
      <w:r>
        <w:rPr>
          <w:sz w:val="22"/>
          <w:szCs w:val="22"/>
        </w:rPr>
        <w:t xml:space="preserve">. COVID-19 and public-sector capacity. </w:t>
      </w:r>
      <w:r>
        <w:rPr>
          <w:i/>
          <w:sz w:val="22"/>
          <w:szCs w:val="22"/>
        </w:rPr>
        <w:t>Oxford Review of Economic Policy</w:t>
      </w:r>
      <w:r>
        <w:rPr>
          <w:sz w:val="22"/>
          <w:szCs w:val="22"/>
        </w:rPr>
        <w:t>, 36(S1): S256–S269. DOI:10.1093/oxrep/graa031</w:t>
      </w:r>
    </w:p>
    <w:p w14:paraId="6039D14F" w14:textId="26C6E6FE" w:rsidR="00C35486" w:rsidRPr="00C35486" w:rsidRDefault="00C35486" w:rsidP="00C35486">
      <w:pPr>
        <w:spacing w:line="259" w:lineRule="auto"/>
        <w:jc w:val="left"/>
        <w:rPr>
          <w:sz w:val="22"/>
          <w:szCs w:val="22"/>
          <w:lang w:val="en-ZA"/>
        </w:rPr>
      </w:pPr>
      <w:r w:rsidRPr="00C35486">
        <w:rPr>
          <w:sz w:val="22"/>
          <w:szCs w:val="22"/>
          <w:lang w:val="en-ZA"/>
        </w:rPr>
        <w:t>Rindzevičiūtė,</w:t>
      </w:r>
      <w:r>
        <w:rPr>
          <w:sz w:val="22"/>
          <w:szCs w:val="22"/>
          <w:lang w:val="en-ZA"/>
        </w:rPr>
        <w:t>E.,</w:t>
      </w:r>
      <w:r w:rsidRPr="00C35486">
        <w:rPr>
          <w:sz w:val="22"/>
          <w:szCs w:val="22"/>
          <w:lang w:val="en-ZA"/>
        </w:rPr>
        <w:t xml:space="preserve"> Svensson</w:t>
      </w:r>
      <w:r>
        <w:rPr>
          <w:sz w:val="22"/>
          <w:szCs w:val="22"/>
          <w:lang w:val="en-ZA"/>
        </w:rPr>
        <w:t>, J.</w:t>
      </w:r>
      <w:r w:rsidRPr="00C35486">
        <w:rPr>
          <w:sz w:val="22"/>
          <w:szCs w:val="22"/>
          <w:lang w:val="en-ZA"/>
        </w:rPr>
        <w:t xml:space="preserve"> </w:t>
      </w:r>
      <w:r>
        <w:rPr>
          <w:sz w:val="22"/>
          <w:szCs w:val="22"/>
          <w:lang w:val="en-ZA"/>
        </w:rPr>
        <w:t>and</w:t>
      </w:r>
      <w:r w:rsidRPr="00C35486">
        <w:rPr>
          <w:sz w:val="22"/>
          <w:szCs w:val="22"/>
          <w:lang w:val="en-ZA"/>
        </w:rPr>
        <w:t xml:space="preserve"> Tomson</w:t>
      </w:r>
      <w:r>
        <w:rPr>
          <w:sz w:val="22"/>
          <w:szCs w:val="22"/>
          <w:lang w:val="en-ZA"/>
        </w:rPr>
        <w:t>, K.</w:t>
      </w:r>
      <w:r w:rsidRPr="00C35486">
        <w:rPr>
          <w:sz w:val="22"/>
          <w:szCs w:val="22"/>
          <w:lang w:val="en-ZA"/>
        </w:rPr>
        <w:t xml:space="preserve"> (2016)</w:t>
      </w:r>
      <w:r>
        <w:rPr>
          <w:sz w:val="22"/>
          <w:szCs w:val="22"/>
          <w:lang w:val="en-ZA"/>
        </w:rPr>
        <w:t>.</w:t>
      </w:r>
      <w:r w:rsidRPr="00C35486">
        <w:rPr>
          <w:sz w:val="22"/>
          <w:szCs w:val="22"/>
          <w:lang w:val="en-ZA"/>
        </w:rPr>
        <w:t xml:space="preserve"> The international transfer of creative industries as a policy idea</w:t>
      </w:r>
      <w:r>
        <w:rPr>
          <w:sz w:val="22"/>
          <w:szCs w:val="22"/>
          <w:lang w:val="en-ZA"/>
        </w:rPr>
        <w:t>.</w:t>
      </w:r>
      <w:r w:rsidRPr="00C35486">
        <w:rPr>
          <w:sz w:val="22"/>
          <w:szCs w:val="22"/>
          <w:lang w:val="en-ZA"/>
        </w:rPr>
        <w:t xml:space="preserve"> International Journal of Cultural Policy, 22:4, 594-610, DOI: </w:t>
      </w:r>
      <w:hyperlink r:id="rId35" w:history="1">
        <w:r w:rsidRPr="00C35486">
          <w:rPr>
            <w:rStyle w:val="Hyperlink"/>
            <w:sz w:val="22"/>
            <w:szCs w:val="22"/>
            <w:lang w:val="en-ZA"/>
          </w:rPr>
          <w:t>10.1080/10286632.2015.1025067</w:t>
        </w:r>
      </w:hyperlink>
      <w:r w:rsidRPr="00C35486">
        <w:rPr>
          <w:sz w:val="22"/>
          <w:szCs w:val="22"/>
          <w:lang w:val="en-ZA"/>
        </w:rPr>
        <w:t xml:space="preserve"> </w:t>
      </w:r>
    </w:p>
    <w:p w14:paraId="148654EC" w14:textId="570821DF" w:rsidR="000252B9" w:rsidRDefault="000252B9" w:rsidP="000F15C3">
      <w:pPr>
        <w:spacing w:line="259" w:lineRule="auto"/>
        <w:jc w:val="left"/>
        <w:rPr>
          <w:sz w:val="22"/>
          <w:szCs w:val="22"/>
        </w:rPr>
      </w:pPr>
      <w:r>
        <w:rPr>
          <w:sz w:val="22"/>
          <w:szCs w:val="22"/>
        </w:rPr>
        <w:t xml:space="preserve">SARB (2016). South African Reserve Bank Quarterly Bulletin: June 2016. Online. [Available] </w:t>
      </w:r>
      <w:hyperlink r:id="rId36" w:history="1">
        <w:r w:rsidRPr="005B025D">
          <w:rPr>
            <w:rStyle w:val="Hyperlink"/>
            <w:sz w:val="22"/>
            <w:szCs w:val="22"/>
          </w:rPr>
          <w:t>https://www.resbank.co.za/en/home/publications/publication-detail-pages/quarterly-bulletins/quarterly-bulletin-publications/2016/7195</w:t>
        </w:r>
      </w:hyperlink>
      <w:r>
        <w:rPr>
          <w:sz w:val="22"/>
          <w:szCs w:val="22"/>
        </w:rPr>
        <w:t xml:space="preserve"> </w:t>
      </w:r>
    </w:p>
    <w:p w14:paraId="00000436" w14:textId="4BE46869" w:rsidR="0039297D" w:rsidRDefault="004273CA" w:rsidP="000F15C3">
      <w:pPr>
        <w:spacing w:line="259" w:lineRule="auto"/>
        <w:jc w:val="left"/>
        <w:rPr>
          <w:sz w:val="22"/>
          <w:szCs w:val="22"/>
        </w:rPr>
      </w:pPr>
      <w:r>
        <w:rPr>
          <w:sz w:val="22"/>
          <w:szCs w:val="22"/>
        </w:rPr>
        <w:t>UNCTAD</w:t>
      </w:r>
      <w:r w:rsidR="00C75F04">
        <w:rPr>
          <w:sz w:val="22"/>
          <w:szCs w:val="22"/>
        </w:rPr>
        <w:t>.</w:t>
      </w:r>
      <w:r>
        <w:rPr>
          <w:sz w:val="22"/>
          <w:szCs w:val="22"/>
        </w:rPr>
        <w:t xml:space="preserve"> (2018). </w:t>
      </w:r>
      <w:r>
        <w:rPr>
          <w:i/>
          <w:sz w:val="22"/>
          <w:szCs w:val="22"/>
        </w:rPr>
        <w:t>Creative Economy Outlook: Trends in international trade in creative industries 2002</w:t>
      </w:r>
      <w:r w:rsidR="00C75F04">
        <w:rPr>
          <w:i/>
          <w:sz w:val="22"/>
          <w:szCs w:val="22"/>
        </w:rPr>
        <w:t>–</w:t>
      </w:r>
      <w:r>
        <w:rPr>
          <w:i/>
          <w:sz w:val="22"/>
          <w:szCs w:val="22"/>
        </w:rPr>
        <w:t>2015.</w:t>
      </w:r>
      <w:r>
        <w:rPr>
          <w:sz w:val="22"/>
          <w:szCs w:val="22"/>
        </w:rPr>
        <w:t xml:space="preserve"> United National Conference on Trade and Development (UNCTAD), Geneva.</w:t>
      </w:r>
    </w:p>
    <w:p w14:paraId="58489F27" w14:textId="77777777" w:rsidR="00E267B1" w:rsidRPr="00E267B1" w:rsidRDefault="00E267B1" w:rsidP="00E267B1">
      <w:pPr>
        <w:spacing w:line="259" w:lineRule="auto"/>
        <w:jc w:val="left"/>
        <w:rPr>
          <w:sz w:val="22"/>
          <w:szCs w:val="22"/>
          <w:lang w:val="en-ZA"/>
        </w:rPr>
      </w:pPr>
      <w:r w:rsidRPr="00E267B1">
        <w:rPr>
          <w:sz w:val="22"/>
          <w:szCs w:val="22"/>
          <w:lang w:val="en-ZA"/>
        </w:rPr>
        <w:t xml:space="preserve">UNESCO. (2009). UNESCO Framework for Cultural Statistics. UNESCO, Montreal. Online [Available] </w:t>
      </w:r>
      <w:hyperlink r:id="rId37" w:tgtFrame="_blank" w:history="1">
        <w:r w:rsidRPr="00E267B1">
          <w:rPr>
            <w:rStyle w:val="Hyperlink"/>
            <w:sz w:val="22"/>
            <w:szCs w:val="22"/>
            <w:lang w:val="en-ZA"/>
          </w:rPr>
          <w:t>http://uis.unesco.org/sites/default/files/documents/unesco-framework-for-cultural-statistics-2009-en_0.pdf</w:t>
        </w:r>
      </w:hyperlink>
    </w:p>
    <w:p w14:paraId="0000043E" w14:textId="0138B821" w:rsidR="0039297D" w:rsidRDefault="004273CA" w:rsidP="00370893">
      <w:pPr>
        <w:spacing w:line="259" w:lineRule="auto"/>
        <w:jc w:val="left"/>
        <w:rPr>
          <w:sz w:val="22"/>
          <w:szCs w:val="22"/>
        </w:rPr>
      </w:pPr>
      <w:r>
        <w:rPr>
          <w:sz w:val="22"/>
          <w:szCs w:val="22"/>
        </w:rPr>
        <w:t>UNESCO</w:t>
      </w:r>
      <w:r w:rsidR="00C75F04">
        <w:rPr>
          <w:sz w:val="22"/>
          <w:szCs w:val="22"/>
        </w:rPr>
        <w:t>.</w:t>
      </w:r>
      <w:r>
        <w:rPr>
          <w:sz w:val="22"/>
          <w:szCs w:val="22"/>
        </w:rPr>
        <w:t xml:space="preserve"> (2016). </w:t>
      </w:r>
      <w:r>
        <w:rPr>
          <w:i/>
          <w:sz w:val="22"/>
          <w:szCs w:val="22"/>
        </w:rPr>
        <w:t>The globalisation of cultural trade: a shift in consumption</w:t>
      </w:r>
      <w:r>
        <w:rPr>
          <w:sz w:val="22"/>
          <w:szCs w:val="22"/>
        </w:rPr>
        <w:t>.</w:t>
      </w:r>
      <w:r w:rsidR="007E16E4">
        <w:rPr>
          <w:sz w:val="22"/>
          <w:szCs w:val="22"/>
        </w:rPr>
        <w:t xml:space="preserve"> </w:t>
      </w:r>
      <w:r w:rsidR="00C75F04">
        <w:rPr>
          <w:sz w:val="22"/>
          <w:szCs w:val="22"/>
        </w:rPr>
        <w:t xml:space="preserve">Montreal: </w:t>
      </w:r>
      <w:r>
        <w:rPr>
          <w:sz w:val="22"/>
          <w:szCs w:val="22"/>
        </w:rPr>
        <w:t>United Nations Educational, Scientific and Cultural Organization</w:t>
      </w:r>
      <w:r w:rsidR="00C75F04">
        <w:rPr>
          <w:sz w:val="22"/>
          <w:szCs w:val="22"/>
        </w:rPr>
        <w:t>.</w:t>
      </w:r>
    </w:p>
    <w:sectPr w:rsidR="0039297D" w:rsidSect="00190DDA">
      <w:footerReference w:type="default" r:id="rId3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4BFB84" w14:textId="77777777" w:rsidR="001A71CF" w:rsidRDefault="001A71CF">
      <w:pPr>
        <w:spacing w:after="0"/>
      </w:pPr>
      <w:r>
        <w:separator/>
      </w:r>
    </w:p>
  </w:endnote>
  <w:endnote w:type="continuationSeparator" w:id="0">
    <w:p w14:paraId="5C94006A" w14:textId="77777777" w:rsidR="001A71CF" w:rsidRDefault="001A71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GSMinchoE">
    <w:charset w:val="80"/>
    <w:family w:val="roman"/>
    <w:pitch w:val="variable"/>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49" w14:textId="2B80D572" w:rsidR="003A0522" w:rsidRDefault="003A0522">
    <w:pPr>
      <w:pBdr>
        <w:top w:val="nil"/>
        <w:left w:val="nil"/>
        <w:bottom w:val="nil"/>
        <w:right w:val="nil"/>
        <w:between w:val="nil"/>
      </w:pBdr>
      <w:tabs>
        <w:tab w:val="center" w:pos="4513"/>
        <w:tab w:val="right" w:pos="9026"/>
      </w:tabs>
      <w:spacing w:after="0"/>
      <w:jc w:val="right"/>
      <w:rPr>
        <w:color w:val="000000"/>
      </w:rPr>
    </w:pPr>
    <w:r>
      <w:rPr>
        <w:color w:val="000000"/>
      </w:rPr>
      <w:fldChar w:fldCharType="begin"/>
    </w:r>
    <w:r>
      <w:rPr>
        <w:color w:val="000000"/>
      </w:rPr>
      <w:instrText>PAGE</w:instrText>
    </w:r>
    <w:r>
      <w:rPr>
        <w:color w:val="000000"/>
      </w:rPr>
      <w:fldChar w:fldCharType="separate"/>
    </w:r>
    <w:r w:rsidR="0059631D">
      <w:rPr>
        <w:noProof/>
        <w:color w:val="000000"/>
      </w:rPr>
      <w:t>i</w:t>
    </w:r>
    <w:r>
      <w:rPr>
        <w:color w:val="000000"/>
      </w:rPr>
      <w:fldChar w:fldCharType="end"/>
    </w:r>
  </w:p>
  <w:p w14:paraId="0000044A" w14:textId="77777777" w:rsidR="003A0522" w:rsidRDefault="003A0522">
    <w:pPr>
      <w:pBdr>
        <w:top w:val="nil"/>
        <w:left w:val="nil"/>
        <w:bottom w:val="nil"/>
        <w:right w:val="nil"/>
        <w:between w:val="nil"/>
      </w:pBdr>
      <w:tabs>
        <w:tab w:val="center" w:pos="4513"/>
        <w:tab w:val="right" w:pos="9026"/>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8781995"/>
      <w:docPartObj>
        <w:docPartGallery w:val="Page Numbers (Bottom of Page)"/>
        <w:docPartUnique/>
      </w:docPartObj>
    </w:sdtPr>
    <w:sdtEndPr>
      <w:rPr>
        <w:noProof/>
      </w:rPr>
    </w:sdtEndPr>
    <w:sdtContent>
      <w:p w14:paraId="09855FF9" w14:textId="5EC5653B" w:rsidR="003A0522" w:rsidRDefault="003A0522">
        <w:pPr>
          <w:pStyle w:val="Footer"/>
          <w:jc w:val="right"/>
        </w:pPr>
        <w:r>
          <w:fldChar w:fldCharType="begin"/>
        </w:r>
        <w:r>
          <w:instrText xml:space="preserve"> PAGE   \* MERGEFORMAT </w:instrText>
        </w:r>
        <w:r>
          <w:fldChar w:fldCharType="separate"/>
        </w:r>
        <w:r w:rsidR="0059631D">
          <w:rPr>
            <w:noProof/>
          </w:rPr>
          <w:t>14</w:t>
        </w:r>
        <w:r>
          <w:rPr>
            <w:noProof/>
          </w:rPr>
          <w:fldChar w:fldCharType="end"/>
        </w:r>
      </w:p>
    </w:sdtContent>
  </w:sdt>
  <w:p w14:paraId="54A2DA68" w14:textId="77777777" w:rsidR="003A0522" w:rsidRDefault="003A0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4C45A" w14:textId="77777777" w:rsidR="001A71CF" w:rsidRDefault="001A71CF">
      <w:pPr>
        <w:spacing w:after="0"/>
      </w:pPr>
      <w:r>
        <w:separator/>
      </w:r>
    </w:p>
  </w:footnote>
  <w:footnote w:type="continuationSeparator" w:id="0">
    <w:p w14:paraId="30267960" w14:textId="77777777" w:rsidR="001A71CF" w:rsidRDefault="001A71CF">
      <w:pPr>
        <w:spacing w:after="0"/>
      </w:pPr>
      <w:r>
        <w:continuationSeparator/>
      </w:r>
    </w:p>
  </w:footnote>
  <w:footnote w:id="1">
    <w:p w14:paraId="0000043F" w14:textId="015E7B48" w:rsidR="003A0522"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4A5365">
        <w:rPr>
          <w:rFonts w:ascii="Calibri" w:eastAsia="Calibri" w:hAnsi="Calibri" w:cs="Calibri"/>
          <w:color w:val="000000"/>
          <w:sz w:val="18"/>
          <w:szCs w:val="18"/>
        </w:rPr>
        <w:t xml:space="preserve"> </w:t>
      </w:r>
      <w:r w:rsidRPr="004A5365">
        <w:rPr>
          <w:color w:val="000000"/>
          <w:sz w:val="18"/>
          <w:szCs w:val="18"/>
        </w:rPr>
        <w:t>The</w:t>
      </w:r>
      <w:r>
        <w:rPr>
          <w:color w:val="000000"/>
          <w:sz w:val="18"/>
          <w:szCs w:val="18"/>
        </w:rPr>
        <w:t xml:space="preserve"> PALMS contains the following South African surveys: The Project for Statistics on Living Standards and Development (from 1993); the October Household Survey (1994 to 1999); the Labour Force Survey (2000 to 2007); and the Quarterly Labour Force Survey (2008 to 2018).</w:t>
      </w:r>
    </w:p>
  </w:footnote>
  <w:footnote w:id="2">
    <w:p w14:paraId="00000440" w14:textId="77777777" w:rsidR="003A0522" w:rsidRPr="004A5365"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4A5365">
        <w:rPr>
          <w:color w:val="000000"/>
          <w:sz w:val="18"/>
          <w:szCs w:val="18"/>
        </w:rPr>
        <w:t xml:space="preserve"> As noted in Cattaneo and Snowball (2020: 14), the data in the ITC database is itself based on UN Comtrade data. </w:t>
      </w:r>
    </w:p>
  </w:footnote>
  <w:footnote w:id="3">
    <w:p w14:paraId="00000441" w14:textId="6ACC2EDC" w:rsidR="003A0522"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4A5365">
        <w:rPr>
          <w:color w:val="000000"/>
          <w:sz w:val="18"/>
          <w:szCs w:val="18"/>
        </w:rPr>
        <w:t xml:space="preserve"> There are a number of sectors that share this problem with CCIs including tourism, sport, and ICTs, where satellite accounts are often estimated by the various statistical agencies because they form part of a number of the SNA sectors according to SIC.</w:t>
      </w:r>
    </w:p>
  </w:footnote>
  <w:footnote w:id="4">
    <w:p w14:paraId="00000442" w14:textId="77777777" w:rsidR="003A0522" w:rsidRPr="00D56D65"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D56D65">
        <w:rPr>
          <w:color w:val="000000"/>
          <w:sz w:val="18"/>
          <w:szCs w:val="18"/>
        </w:rPr>
        <w:t xml:space="preserve"> Please note that the axes have specifically been drawn to show changes. It is important to take cognisance that the real change is not as dramatic as the graph depicts.</w:t>
      </w:r>
    </w:p>
  </w:footnote>
  <w:footnote w:id="5">
    <w:p w14:paraId="00000443" w14:textId="77777777" w:rsidR="003A0522" w:rsidRDefault="003A0522">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From 2017 onwards, the cultural trade data is affected by the reallocation of HS </w:t>
      </w:r>
      <w:sdt>
        <w:sdtPr>
          <w:tag w:val="goog_rdk_11"/>
          <w:id w:val="-1671399872"/>
        </w:sdtPr>
        <w:sdtEndPr/>
        <w:sdtContent/>
      </w:sdt>
      <w:r>
        <w:rPr>
          <w:color w:val="000000"/>
          <w:sz w:val="18"/>
          <w:szCs w:val="18"/>
        </w:rPr>
        <w:t>sub-heading 950410 (“Video games of a kind used with a television receiver”) into a broader HS category that is not classified as cultural goods trade in the 2009 UNESCO FCS. This has a once-off impact on the trend, and one that is greater on the import side than the export side. However, even without this factor, the cultural trade deficit narrow</w:t>
      </w:r>
      <w:r>
        <w:rPr>
          <w:sz w:val="18"/>
          <w:szCs w:val="18"/>
        </w:rPr>
        <w:t>ed</w:t>
      </w:r>
      <w:r>
        <w:rPr>
          <w:color w:val="000000"/>
          <w:sz w:val="18"/>
          <w:szCs w:val="18"/>
        </w:rPr>
        <w:t xml:space="preserve"> markedly from 2017.</w:t>
      </w:r>
    </w:p>
  </w:footnote>
  <w:footnote w:id="6">
    <w:p w14:paraId="00000444" w14:textId="76E5E604" w:rsidR="003A0522" w:rsidRPr="00A74F53"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A74F53">
        <w:rPr>
          <w:color w:val="000000"/>
          <w:sz w:val="18"/>
          <w:szCs w:val="18"/>
        </w:rPr>
        <w:t xml:space="preserve"> A common pattern found in other countries is that the cultural economy is more volatile than other </w:t>
      </w:r>
      <w:sdt>
        <w:sdtPr>
          <w:rPr>
            <w:sz w:val="18"/>
            <w:szCs w:val="18"/>
          </w:rPr>
          <w:tag w:val="goog_rdk_12"/>
          <w:id w:val="-784886884"/>
        </w:sdtPr>
        <w:sdtEndPr/>
        <w:sdtContent/>
      </w:sdt>
      <w:r w:rsidRPr="000F15C3">
        <w:rPr>
          <w:color w:val="000000"/>
          <w:sz w:val="18"/>
          <w:szCs w:val="18"/>
        </w:rPr>
        <w:t>sectors (</w:t>
      </w:r>
      <w:r w:rsidRPr="00A74F53">
        <w:rPr>
          <w:color w:val="000000"/>
          <w:sz w:val="18"/>
          <w:szCs w:val="18"/>
        </w:rPr>
        <w:t>Gouvae and Vora, 2018). This suggests that cultural goods trade might be subject to greater variation than total commodity trade during periods of crisis or economic volatility, contracting more sharply but also sometimes recovering more quickly. This could be seen to some extent in the import contraction and export recovery of cultural goods trade in the 2010</w:t>
      </w:r>
      <w:r>
        <w:rPr>
          <w:color w:val="000000"/>
          <w:sz w:val="18"/>
          <w:szCs w:val="18"/>
        </w:rPr>
        <w:t>–</w:t>
      </w:r>
      <w:r w:rsidRPr="00A74F53">
        <w:rPr>
          <w:color w:val="000000"/>
          <w:sz w:val="18"/>
          <w:szCs w:val="18"/>
        </w:rPr>
        <w:t>2018 period described above.</w:t>
      </w:r>
    </w:p>
  </w:footnote>
  <w:footnote w:id="7">
    <w:p w14:paraId="00000445" w14:textId="1E8B228A" w:rsidR="003A0522" w:rsidRDefault="003A0522">
      <w:pPr>
        <w:pBdr>
          <w:top w:val="nil"/>
          <w:left w:val="nil"/>
          <w:bottom w:val="nil"/>
          <w:right w:val="nil"/>
          <w:between w:val="nil"/>
        </w:pBdr>
        <w:spacing w:after="0"/>
        <w:rPr>
          <w:color w:val="000000"/>
          <w:sz w:val="18"/>
          <w:szCs w:val="18"/>
        </w:rPr>
      </w:pPr>
      <w:r>
        <w:rPr>
          <w:rStyle w:val="FootnoteReference"/>
        </w:rPr>
        <w:footnoteRef/>
      </w:r>
      <w:r>
        <w:rPr>
          <w:color w:val="000000"/>
          <w:sz w:val="18"/>
          <w:szCs w:val="18"/>
        </w:rPr>
        <w:t xml:space="preserve"> The share of cultural goods imports in total commodity imports was affected by the reallocation, noted earlier, of HS code 950410 (“Video games of a kind used with a television receiver”) away from cultural goods trade. Even after taking this into account, however, there was a downward trend in the import share from 2016.</w:t>
      </w:r>
    </w:p>
  </w:footnote>
  <w:footnote w:id="8">
    <w:p w14:paraId="00000446" w14:textId="77777777" w:rsidR="003A0522" w:rsidRPr="00315911"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315911">
        <w:rPr>
          <w:color w:val="000000"/>
          <w:sz w:val="18"/>
          <w:szCs w:val="18"/>
        </w:rPr>
        <w:t xml:space="preserve"> The outliers are discussed further below with reference to Figure 17.</w:t>
      </w:r>
    </w:p>
  </w:footnote>
  <w:footnote w:id="9">
    <w:p w14:paraId="00000447" w14:textId="77777777" w:rsidR="003A0522" w:rsidRPr="00315911"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315911">
        <w:rPr>
          <w:color w:val="000000"/>
          <w:sz w:val="18"/>
          <w:szCs w:val="18"/>
        </w:rPr>
        <w:t xml:space="preserve"> One reason for the absence of South Africa’s SACU partners in the 2002 rankings, but their prominence thereafter, could be that intra-SACU trade was only reported separately from 2010.</w:t>
      </w:r>
    </w:p>
  </w:footnote>
  <w:footnote w:id="10">
    <w:p w14:paraId="00000448" w14:textId="77777777" w:rsidR="003A0522" w:rsidRDefault="003A0522">
      <w:pPr>
        <w:pBdr>
          <w:top w:val="nil"/>
          <w:left w:val="nil"/>
          <w:bottom w:val="nil"/>
          <w:right w:val="nil"/>
          <w:between w:val="nil"/>
        </w:pBdr>
        <w:spacing w:after="0"/>
        <w:rPr>
          <w:color w:val="000000"/>
          <w:sz w:val="18"/>
          <w:szCs w:val="18"/>
        </w:rPr>
      </w:pPr>
      <w:r w:rsidRPr="000F15C3">
        <w:rPr>
          <w:rStyle w:val="FootnoteReference"/>
          <w:sz w:val="18"/>
          <w:szCs w:val="18"/>
        </w:rPr>
        <w:footnoteRef/>
      </w:r>
      <w:r w:rsidRPr="00315911">
        <w:rPr>
          <w:color w:val="000000"/>
          <w:sz w:val="18"/>
          <w:szCs w:val="18"/>
        </w:rPr>
        <w:t xml:space="preserve"> In Chapter 3 of the mapping study, the relative importance of the different regions in South Africa’s cultural goods trade is discussed with reference to theoretical determinants of cultural trade, including “cultural proximity”.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23AAB"/>
    <w:multiLevelType w:val="multilevel"/>
    <w:tmpl w:val="E1563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ED4AC2"/>
    <w:multiLevelType w:val="multilevel"/>
    <w:tmpl w:val="7186C1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631276"/>
    <w:multiLevelType w:val="multilevel"/>
    <w:tmpl w:val="D7F67F5C"/>
    <w:lvl w:ilvl="0">
      <w:start w:val="1"/>
      <w:numFmt w:val="decimal"/>
      <w:pStyle w:val="Heading1"/>
      <w:lvlText w:val="%1"/>
      <w:lvlJc w:val="left"/>
      <w:pPr>
        <w:ind w:left="432" w:hanging="432"/>
      </w:pPr>
    </w:lvl>
    <w:lvl w:ilvl="1">
      <w:start w:val="1"/>
      <w:numFmt w:val="decimal"/>
      <w:pStyle w:val="Heading2"/>
      <w:lvlText w:val="%1.%2"/>
      <w:lvlJc w:val="left"/>
      <w:pPr>
        <w:ind w:left="1428" w:hanging="575"/>
      </w:pPr>
    </w:lvl>
    <w:lvl w:ilvl="2">
      <w:start w:val="1"/>
      <w:numFmt w:val="decimal"/>
      <w:pStyle w:val="Heading3"/>
      <w:lvlText w:val="%1.%2.%3"/>
      <w:lvlJc w:val="left"/>
      <w:pPr>
        <w:ind w:left="1004"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476C2C21"/>
    <w:multiLevelType w:val="multilevel"/>
    <w:tmpl w:val="6B10D07C"/>
    <w:lvl w:ilvl="0">
      <w:start w:val="1"/>
      <w:numFmt w:val="decimal"/>
      <w:pStyle w:val="ListParagraph"/>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5A646867"/>
    <w:multiLevelType w:val="hybridMultilevel"/>
    <w:tmpl w:val="759449A8"/>
    <w:lvl w:ilvl="0" w:tplc="119E4D50">
      <w:start w:val="1"/>
      <w:numFmt w:val="bullet"/>
      <w:lvlText w:val=""/>
      <w:lvlJc w:val="left"/>
      <w:pPr>
        <w:ind w:left="539" w:hanging="397"/>
      </w:pPr>
      <w:rPr>
        <w:rFonts w:ascii="Wingdings" w:hAnsi="Wingdings" w:hint="default"/>
      </w:rPr>
    </w:lvl>
    <w:lvl w:ilvl="1" w:tplc="1C090003" w:tentative="1">
      <w:start w:val="1"/>
      <w:numFmt w:val="bullet"/>
      <w:lvlText w:val="o"/>
      <w:lvlJc w:val="left"/>
      <w:pPr>
        <w:ind w:left="1411" w:hanging="360"/>
      </w:pPr>
      <w:rPr>
        <w:rFonts w:ascii="Courier New" w:hAnsi="Courier New" w:cs="Courier New" w:hint="default"/>
      </w:rPr>
    </w:lvl>
    <w:lvl w:ilvl="2" w:tplc="1C090005" w:tentative="1">
      <w:start w:val="1"/>
      <w:numFmt w:val="bullet"/>
      <w:lvlText w:val=""/>
      <w:lvlJc w:val="left"/>
      <w:pPr>
        <w:ind w:left="2131" w:hanging="360"/>
      </w:pPr>
      <w:rPr>
        <w:rFonts w:ascii="Wingdings" w:hAnsi="Wingdings" w:hint="default"/>
      </w:rPr>
    </w:lvl>
    <w:lvl w:ilvl="3" w:tplc="1C090001" w:tentative="1">
      <w:start w:val="1"/>
      <w:numFmt w:val="bullet"/>
      <w:lvlText w:val=""/>
      <w:lvlJc w:val="left"/>
      <w:pPr>
        <w:ind w:left="2851" w:hanging="360"/>
      </w:pPr>
      <w:rPr>
        <w:rFonts w:ascii="Symbol" w:hAnsi="Symbol" w:hint="default"/>
      </w:rPr>
    </w:lvl>
    <w:lvl w:ilvl="4" w:tplc="1C090003" w:tentative="1">
      <w:start w:val="1"/>
      <w:numFmt w:val="bullet"/>
      <w:lvlText w:val="o"/>
      <w:lvlJc w:val="left"/>
      <w:pPr>
        <w:ind w:left="3571" w:hanging="360"/>
      </w:pPr>
      <w:rPr>
        <w:rFonts w:ascii="Courier New" w:hAnsi="Courier New" w:cs="Courier New" w:hint="default"/>
      </w:rPr>
    </w:lvl>
    <w:lvl w:ilvl="5" w:tplc="1C090005" w:tentative="1">
      <w:start w:val="1"/>
      <w:numFmt w:val="bullet"/>
      <w:lvlText w:val=""/>
      <w:lvlJc w:val="left"/>
      <w:pPr>
        <w:ind w:left="4291" w:hanging="360"/>
      </w:pPr>
      <w:rPr>
        <w:rFonts w:ascii="Wingdings" w:hAnsi="Wingdings" w:hint="default"/>
      </w:rPr>
    </w:lvl>
    <w:lvl w:ilvl="6" w:tplc="1C090001" w:tentative="1">
      <w:start w:val="1"/>
      <w:numFmt w:val="bullet"/>
      <w:lvlText w:val=""/>
      <w:lvlJc w:val="left"/>
      <w:pPr>
        <w:ind w:left="5011" w:hanging="360"/>
      </w:pPr>
      <w:rPr>
        <w:rFonts w:ascii="Symbol" w:hAnsi="Symbol" w:hint="default"/>
      </w:rPr>
    </w:lvl>
    <w:lvl w:ilvl="7" w:tplc="1C090003" w:tentative="1">
      <w:start w:val="1"/>
      <w:numFmt w:val="bullet"/>
      <w:lvlText w:val="o"/>
      <w:lvlJc w:val="left"/>
      <w:pPr>
        <w:ind w:left="5731" w:hanging="360"/>
      </w:pPr>
      <w:rPr>
        <w:rFonts w:ascii="Courier New" w:hAnsi="Courier New" w:cs="Courier New" w:hint="default"/>
      </w:rPr>
    </w:lvl>
    <w:lvl w:ilvl="8" w:tplc="1C090005" w:tentative="1">
      <w:start w:val="1"/>
      <w:numFmt w:val="bullet"/>
      <w:lvlText w:val=""/>
      <w:lvlJc w:val="left"/>
      <w:pPr>
        <w:ind w:left="6451" w:hanging="360"/>
      </w:pPr>
      <w:rPr>
        <w:rFonts w:ascii="Wingdings" w:hAnsi="Wingdings" w:hint="default"/>
      </w:rPr>
    </w:lvl>
  </w:abstractNum>
  <w:abstractNum w:abstractNumId="5" w15:restartNumberingAfterBreak="0">
    <w:nsid w:val="747A2FB9"/>
    <w:multiLevelType w:val="hybridMultilevel"/>
    <w:tmpl w:val="09DEE5D2"/>
    <w:lvl w:ilvl="0" w:tplc="1C090001">
      <w:start w:val="1"/>
      <w:numFmt w:val="bullet"/>
      <w:lvlText w:val=""/>
      <w:lvlJc w:val="left"/>
      <w:pPr>
        <w:ind w:left="1116" w:hanging="360"/>
      </w:pPr>
      <w:rPr>
        <w:rFonts w:ascii="Symbol" w:hAnsi="Symbol" w:hint="default"/>
      </w:rPr>
    </w:lvl>
    <w:lvl w:ilvl="1" w:tplc="1C090003" w:tentative="1">
      <w:start w:val="1"/>
      <w:numFmt w:val="bullet"/>
      <w:lvlText w:val="o"/>
      <w:lvlJc w:val="left"/>
      <w:pPr>
        <w:ind w:left="1836" w:hanging="360"/>
      </w:pPr>
      <w:rPr>
        <w:rFonts w:ascii="Courier New" w:hAnsi="Courier New" w:cs="Courier New" w:hint="default"/>
      </w:rPr>
    </w:lvl>
    <w:lvl w:ilvl="2" w:tplc="1C090005" w:tentative="1">
      <w:start w:val="1"/>
      <w:numFmt w:val="bullet"/>
      <w:lvlText w:val=""/>
      <w:lvlJc w:val="left"/>
      <w:pPr>
        <w:ind w:left="2556" w:hanging="360"/>
      </w:pPr>
      <w:rPr>
        <w:rFonts w:ascii="Wingdings" w:hAnsi="Wingdings" w:hint="default"/>
      </w:rPr>
    </w:lvl>
    <w:lvl w:ilvl="3" w:tplc="1C090001" w:tentative="1">
      <w:start w:val="1"/>
      <w:numFmt w:val="bullet"/>
      <w:lvlText w:val=""/>
      <w:lvlJc w:val="left"/>
      <w:pPr>
        <w:ind w:left="3276" w:hanging="360"/>
      </w:pPr>
      <w:rPr>
        <w:rFonts w:ascii="Symbol" w:hAnsi="Symbol" w:hint="default"/>
      </w:rPr>
    </w:lvl>
    <w:lvl w:ilvl="4" w:tplc="1C090003" w:tentative="1">
      <w:start w:val="1"/>
      <w:numFmt w:val="bullet"/>
      <w:lvlText w:val="o"/>
      <w:lvlJc w:val="left"/>
      <w:pPr>
        <w:ind w:left="3996" w:hanging="360"/>
      </w:pPr>
      <w:rPr>
        <w:rFonts w:ascii="Courier New" w:hAnsi="Courier New" w:cs="Courier New" w:hint="default"/>
      </w:rPr>
    </w:lvl>
    <w:lvl w:ilvl="5" w:tplc="1C090005" w:tentative="1">
      <w:start w:val="1"/>
      <w:numFmt w:val="bullet"/>
      <w:lvlText w:val=""/>
      <w:lvlJc w:val="left"/>
      <w:pPr>
        <w:ind w:left="4716" w:hanging="360"/>
      </w:pPr>
      <w:rPr>
        <w:rFonts w:ascii="Wingdings" w:hAnsi="Wingdings" w:hint="default"/>
      </w:rPr>
    </w:lvl>
    <w:lvl w:ilvl="6" w:tplc="1C090001" w:tentative="1">
      <w:start w:val="1"/>
      <w:numFmt w:val="bullet"/>
      <w:lvlText w:val=""/>
      <w:lvlJc w:val="left"/>
      <w:pPr>
        <w:ind w:left="5436" w:hanging="360"/>
      </w:pPr>
      <w:rPr>
        <w:rFonts w:ascii="Symbol" w:hAnsi="Symbol" w:hint="default"/>
      </w:rPr>
    </w:lvl>
    <w:lvl w:ilvl="7" w:tplc="1C090003" w:tentative="1">
      <w:start w:val="1"/>
      <w:numFmt w:val="bullet"/>
      <w:lvlText w:val="o"/>
      <w:lvlJc w:val="left"/>
      <w:pPr>
        <w:ind w:left="6156" w:hanging="360"/>
      </w:pPr>
      <w:rPr>
        <w:rFonts w:ascii="Courier New" w:hAnsi="Courier New" w:cs="Courier New" w:hint="default"/>
      </w:rPr>
    </w:lvl>
    <w:lvl w:ilvl="8" w:tplc="1C090005" w:tentative="1">
      <w:start w:val="1"/>
      <w:numFmt w:val="bullet"/>
      <w:lvlText w:val=""/>
      <w:lvlJc w:val="left"/>
      <w:pPr>
        <w:ind w:left="6876"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97D"/>
    <w:rsid w:val="000252B9"/>
    <w:rsid w:val="00030E37"/>
    <w:rsid w:val="00037AD3"/>
    <w:rsid w:val="00043EE8"/>
    <w:rsid w:val="000623BF"/>
    <w:rsid w:val="00077809"/>
    <w:rsid w:val="00081A72"/>
    <w:rsid w:val="00091E8B"/>
    <w:rsid w:val="000A6989"/>
    <w:rsid w:val="000E0B16"/>
    <w:rsid w:val="000E3F72"/>
    <w:rsid w:val="000F15C3"/>
    <w:rsid w:val="00110100"/>
    <w:rsid w:val="00190DDA"/>
    <w:rsid w:val="001A08B7"/>
    <w:rsid w:val="001A71CF"/>
    <w:rsid w:val="001F7C95"/>
    <w:rsid w:val="0022585A"/>
    <w:rsid w:val="00226672"/>
    <w:rsid w:val="00252731"/>
    <w:rsid w:val="0027096F"/>
    <w:rsid w:val="002C3992"/>
    <w:rsid w:val="0030372A"/>
    <w:rsid w:val="00304C1E"/>
    <w:rsid w:val="0031060E"/>
    <w:rsid w:val="00315911"/>
    <w:rsid w:val="00317A7E"/>
    <w:rsid w:val="0032333C"/>
    <w:rsid w:val="00323E12"/>
    <w:rsid w:val="00331A96"/>
    <w:rsid w:val="003644A7"/>
    <w:rsid w:val="00366ED5"/>
    <w:rsid w:val="00370893"/>
    <w:rsid w:val="00373C47"/>
    <w:rsid w:val="00377D18"/>
    <w:rsid w:val="0039297D"/>
    <w:rsid w:val="003A0522"/>
    <w:rsid w:val="003A76EC"/>
    <w:rsid w:val="003B1DC6"/>
    <w:rsid w:val="003D49F5"/>
    <w:rsid w:val="003E14FC"/>
    <w:rsid w:val="004253A5"/>
    <w:rsid w:val="004273CA"/>
    <w:rsid w:val="00447495"/>
    <w:rsid w:val="004542A4"/>
    <w:rsid w:val="004925EE"/>
    <w:rsid w:val="004A5365"/>
    <w:rsid w:val="004D115E"/>
    <w:rsid w:val="00553126"/>
    <w:rsid w:val="00583127"/>
    <w:rsid w:val="00586F3F"/>
    <w:rsid w:val="0059631D"/>
    <w:rsid w:val="005B3991"/>
    <w:rsid w:val="005F46C7"/>
    <w:rsid w:val="00673A87"/>
    <w:rsid w:val="006B0C9C"/>
    <w:rsid w:val="006B473C"/>
    <w:rsid w:val="006E6023"/>
    <w:rsid w:val="007178FA"/>
    <w:rsid w:val="007319F2"/>
    <w:rsid w:val="0075477D"/>
    <w:rsid w:val="0075580B"/>
    <w:rsid w:val="00764BD4"/>
    <w:rsid w:val="00792E6B"/>
    <w:rsid w:val="007A1320"/>
    <w:rsid w:val="007E16E4"/>
    <w:rsid w:val="008B1B62"/>
    <w:rsid w:val="008C6AE5"/>
    <w:rsid w:val="008C72EA"/>
    <w:rsid w:val="00967692"/>
    <w:rsid w:val="00987354"/>
    <w:rsid w:val="00987687"/>
    <w:rsid w:val="009C4CA4"/>
    <w:rsid w:val="009C7CC1"/>
    <w:rsid w:val="00A42A79"/>
    <w:rsid w:val="00A52107"/>
    <w:rsid w:val="00A74F53"/>
    <w:rsid w:val="00A96711"/>
    <w:rsid w:val="00AC0734"/>
    <w:rsid w:val="00AC757F"/>
    <w:rsid w:val="00AD3A6F"/>
    <w:rsid w:val="00AD437D"/>
    <w:rsid w:val="00AE6355"/>
    <w:rsid w:val="00B15329"/>
    <w:rsid w:val="00B66853"/>
    <w:rsid w:val="00BB176C"/>
    <w:rsid w:val="00BD0C3D"/>
    <w:rsid w:val="00BD696A"/>
    <w:rsid w:val="00BE240A"/>
    <w:rsid w:val="00C013D5"/>
    <w:rsid w:val="00C35486"/>
    <w:rsid w:val="00C507D3"/>
    <w:rsid w:val="00C75F04"/>
    <w:rsid w:val="00C9172C"/>
    <w:rsid w:val="00C972BA"/>
    <w:rsid w:val="00CB46C5"/>
    <w:rsid w:val="00CD2CAF"/>
    <w:rsid w:val="00D02019"/>
    <w:rsid w:val="00D05713"/>
    <w:rsid w:val="00D119BE"/>
    <w:rsid w:val="00D31B1F"/>
    <w:rsid w:val="00D423EB"/>
    <w:rsid w:val="00D52C5C"/>
    <w:rsid w:val="00D5673A"/>
    <w:rsid w:val="00D56D65"/>
    <w:rsid w:val="00DA3345"/>
    <w:rsid w:val="00DB7F70"/>
    <w:rsid w:val="00DD37B8"/>
    <w:rsid w:val="00DD6C53"/>
    <w:rsid w:val="00DE1208"/>
    <w:rsid w:val="00DE1A31"/>
    <w:rsid w:val="00E267B1"/>
    <w:rsid w:val="00E5021B"/>
    <w:rsid w:val="00E55B0B"/>
    <w:rsid w:val="00E74864"/>
    <w:rsid w:val="00E93196"/>
    <w:rsid w:val="00EA151F"/>
    <w:rsid w:val="00EB059B"/>
    <w:rsid w:val="00EE08A8"/>
    <w:rsid w:val="00EF5C61"/>
    <w:rsid w:val="00F14C96"/>
    <w:rsid w:val="00F75B6D"/>
    <w:rsid w:val="00F9766A"/>
    <w:rsid w:val="00FD1E26"/>
    <w:rsid w:val="00FF2282"/>
    <w:rsid w:val="00FF3A60"/>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2BC36"/>
  <w15:docId w15:val="{83EC11BF-B5F3-4CEB-A7A6-7F1EAEFA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ZA"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EE8"/>
  </w:style>
  <w:style w:type="paragraph" w:styleId="Heading1">
    <w:name w:val="heading 1"/>
    <w:basedOn w:val="Normal"/>
    <w:next w:val="Normal"/>
    <w:link w:val="Heading1Char"/>
    <w:uiPriority w:val="9"/>
    <w:qFormat/>
    <w:rsid w:val="00445640"/>
    <w:pPr>
      <w:keepNext/>
      <w:keepLines/>
      <w:numPr>
        <w:numId w:val="3"/>
      </w:numPr>
      <w:spacing w:before="240" w:after="0" w:line="360" w:lineRule="auto"/>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445640"/>
    <w:pPr>
      <w:keepNext/>
      <w:keepLines/>
      <w:numPr>
        <w:ilvl w:val="1"/>
        <w:numId w:val="3"/>
      </w:numPr>
      <w:spacing w:before="40" w:after="0" w:line="360" w:lineRule="auto"/>
      <w:ind w:left="1001"/>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semiHidden/>
    <w:unhideWhenUsed/>
    <w:qFormat/>
    <w:rsid w:val="00445640"/>
    <w:pPr>
      <w:keepNext/>
      <w:keepLines/>
      <w:numPr>
        <w:ilvl w:val="2"/>
        <w:numId w:val="3"/>
      </w:numPr>
      <w:spacing w:before="40" w:after="0" w:line="360" w:lineRule="auto"/>
      <w:outlineLvl w:val="2"/>
    </w:pPr>
    <w:rPr>
      <w:rFonts w:eastAsiaTheme="majorEastAsia" w:cstheme="majorBidi"/>
      <w:color w:val="1F4D78" w:themeColor="accent1" w:themeShade="7F"/>
      <w:sz w:val="26"/>
      <w:szCs w:val="24"/>
    </w:rPr>
  </w:style>
  <w:style w:type="paragraph" w:styleId="Heading4">
    <w:name w:val="heading 4"/>
    <w:basedOn w:val="Normal"/>
    <w:next w:val="Normal"/>
    <w:link w:val="Heading4Char"/>
    <w:uiPriority w:val="9"/>
    <w:semiHidden/>
    <w:unhideWhenUsed/>
    <w:qFormat/>
    <w:rsid w:val="00445640"/>
    <w:pPr>
      <w:keepNext/>
      <w:keepLines/>
      <w:numPr>
        <w:ilvl w:val="3"/>
        <w:numId w:val="3"/>
      </w:numPr>
      <w:spacing w:before="40" w:after="0" w:line="360" w:lineRule="auto"/>
      <w:outlineLvl w:val="3"/>
    </w:pPr>
    <w:rPr>
      <w:rFonts w:eastAsiaTheme="majorEastAsia" w:cstheme="majorBidi"/>
      <w:iCs/>
      <w:color w:val="2E74B5" w:themeColor="accent1" w:themeShade="BF"/>
      <w:sz w:val="24"/>
    </w:rPr>
  </w:style>
  <w:style w:type="paragraph" w:styleId="Heading5">
    <w:name w:val="heading 5"/>
    <w:basedOn w:val="Normal"/>
    <w:next w:val="Normal"/>
    <w:link w:val="Heading5Char"/>
    <w:uiPriority w:val="9"/>
    <w:semiHidden/>
    <w:unhideWhenUsed/>
    <w:qFormat/>
    <w:rsid w:val="00445640"/>
    <w:pPr>
      <w:keepNext/>
      <w:keepLines/>
      <w:numPr>
        <w:ilvl w:val="4"/>
        <w:numId w:val="3"/>
      </w:numPr>
      <w:spacing w:before="40" w:after="0" w:line="360" w:lineRule="auto"/>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445640"/>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45640"/>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45640"/>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45640"/>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45640"/>
    <w:pPr>
      <w:spacing w:after="0"/>
      <w:contextualSpacing/>
      <w:jc w:val="center"/>
    </w:pPr>
    <w:rPr>
      <w:rFonts w:eastAsiaTheme="majorEastAsia" w:cstheme="majorBidi"/>
      <w:b/>
      <w:spacing w:val="-10"/>
      <w:kern w:val="28"/>
      <w:sz w:val="48"/>
      <w:szCs w:val="56"/>
    </w:rPr>
  </w:style>
  <w:style w:type="character" w:customStyle="1" w:styleId="Heading1Char">
    <w:name w:val="Heading 1 Char"/>
    <w:basedOn w:val="DefaultParagraphFont"/>
    <w:link w:val="Heading1"/>
    <w:uiPriority w:val="9"/>
    <w:rsid w:val="00445640"/>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445640"/>
    <w:rPr>
      <w:rFonts w:ascii="Arial" w:eastAsiaTheme="majorEastAsia" w:hAnsi="Arial" w:cstheme="majorBidi"/>
      <w:b/>
      <w:color w:val="2E74B5" w:themeColor="accent1" w:themeShade="BF"/>
      <w:sz w:val="26"/>
      <w:szCs w:val="26"/>
    </w:rPr>
  </w:style>
  <w:style w:type="character" w:customStyle="1" w:styleId="Heading3Char">
    <w:name w:val="Heading 3 Char"/>
    <w:basedOn w:val="DefaultParagraphFont"/>
    <w:link w:val="Heading3"/>
    <w:uiPriority w:val="9"/>
    <w:rsid w:val="00445640"/>
    <w:rPr>
      <w:rFonts w:ascii="Arial" w:eastAsiaTheme="majorEastAsia" w:hAnsi="Arial" w:cstheme="majorBidi"/>
      <w:color w:val="1F4D78" w:themeColor="accent1" w:themeShade="7F"/>
      <w:sz w:val="26"/>
      <w:szCs w:val="24"/>
    </w:rPr>
  </w:style>
  <w:style w:type="character" w:customStyle="1" w:styleId="Heading4Char">
    <w:name w:val="Heading 4 Char"/>
    <w:basedOn w:val="DefaultParagraphFont"/>
    <w:link w:val="Heading4"/>
    <w:uiPriority w:val="9"/>
    <w:rsid w:val="00445640"/>
    <w:rPr>
      <w:rFonts w:ascii="Arial" w:eastAsiaTheme="majorEastAsia" w:hAnsi="Arial" w:cstheme="majorBidi"/>
      <w:iCs/>
      <w:color w:val="2E74B5" w:themeColor="accent1" w:themeShade="BF"/>
      <w:sz w:val="24"/>
    </w:rPr>
  </w:style>
  <w:style w:type="paragraph" w:styleId="Caption">
    <w:name w:val="caption"/>
    <w:basedOn w:val="Normal"/>
    <w:next w:val="Normal"/>
    <w:uiPriority w:val="35"/>
    <w:unhideWhenUsed/>
    <w:qFormat/>
    <w:rsid w:val="00445640"/>
    <w:pPr>
      <w:spacing w:after="200"/>
      <w:contextualSpacing/>
    </w:pPr>
    <w:rPr>
      <w:i/>
      <w:iCs/>
      <w:color w:val="44546A" w:themeColor="text2"/>
      <w:sz w:val="18"/>
      <w:szCs w:val="18"/>
    </w:rPr>
  </w:style>
  <w:style w:type="table" w:styleId="GridTable2-Accent5">
    <w:name w:val="Grid Table 2 Accent 5"/>
    <w:basedOn w:val="TableNormal"/>
    <w:uiPriority w:val="47"/>
    <w:rsid w:val="000A568F"/>
    <w:pPr>
      <w:spacing w:after="0"/>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1">
    <w:name w:val="Grid Table 2 Accent 1"/>
    <w:basedOn w:val="TableNormal"/>
    <w:uiPriority w:val="47"/>
    <w:rsid w:val="000A568F"/>
    <w:pPr>
      <w:spacing w:after="0"/>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BF0D0A"/>
    <w:pPr>
      <w:tabs>
        <w:tab w:val="center" w:pos="4513"/>
        <w:tab w:val="right" w:pos="9026"/>
      </w:tabs>
      <w:spacing w:after="0"/>
    </w:pPr>
  </w:style>
  <w:style w:type="character" w:customStyle="1" w:styleId="HeaderChar">
    <w:name w:val="Header Char"/>
    <w:basedOn w:val="DefaultParagraphFont"/>
    <w:link w:val="Header"/>
    <w:uiPriority w:val="99"/>
    <w:rsid w:val="00BF0D0A"/>
  </w:style>
  <w:style w:type="paragraph" w:styleId="Footer">
    <w:name w:val="footer"/>
    <w:basedOn w:val="Normal"/>
    <w:link w:val="FooterChar"/>
    <w:uiPriority w:val="99"/>
    <w:unhideWhenUsed/>
    <w:rsid w:val="00BF0D0A"/>
    <w:pPr>
      <w:tabs>
        <w:tab w:val="center" w:pos="4513"/>
        <w:tab w:val="right" w:pos="9026"/>
      </w:tabs>
      <w:spacing w:after="0"/>
    </w:pPr>
  </w:style>
  <w:style w:type="character" w:customStyle="1" w:styleId="FooterChar">
    <w:name w:val="Footer Char"/>
    <w:basedOn w:val="DefaultParagraphFont"/>
    <w:link w:val="Footer"/>
    <w:uiPriority w:val="99"/>
    <w:rsid w:val="00BF0D0A"/>
  </w:style>
  <w:style w:type="paragraph" w:styleId="EndnoteText">
    <w:name w:val="endnote text"/>
    <w:basedOn w:val="Normal"/>
    <w:link w:val="EndnoteTextChar"/>
    <w:uiPriority w:val="99"/>
    <w:semiHidden/>
    <w:unhideWhenUsed/>
    <w:rsid w:val="00A15574"/>
    <w:pPr>
      <w:spacing w:after="0"/>
    </w:pPr>
  </w:style>
  <w:style w:type="character" w:customStyle="1" w:styleId="EndnoteTextChar">
    <w:name w:val="Endnote Text Char"/>
    <w:basedOn w:val="DefaultParagraphFont"/>
    <w:link w:val="EndnoteText"/>
    <w:uiPriority w:val="99"/>
    <w:semiHidden/>
    <w:rsid w:val="00A15574"/>
    <w:rPr>
      <w:sz w:val="20"/>
      <w:szCs w:val="20"/>
    </w:rPr>
  </w:style>
  <w:style w:type="character" w:styleId="EndnoteReference">
    <w:name w:val="endnote reference"/>
    <w:basedOn w:val="DefaultParagraphFont"/>
    <w:uiPriority w:val="99"/>
    <w:semiHidden/>
    <w:unhideWhenUsed/>
    <w:rsid w:val="00A15574"/>
    <w:rPr>
      <w:vertAlign w:val="superscript"/>
    </w:rPr>
  </w:style>
  <w:style w:type="paragraph" w:styleId="FootnoteText">
    <w:name w:val="footnote text"/>
    <w:basedOn w:val="Normal"/>
    <w:link w:val="FootnoteTextChar"/>
    <w:uiPriority w:val="99"/>
    <w:unhideWhenUsed/>
    <w:rsid w:val="00445640"/>
    <w:pPr>
      <w:spacing w:after="0"/>
    </w:pPr>
    <w:rPr>
      <w:sz w:val="18"/>
    </w:rPr>
  </w:style>
  <w:style w:type="character" w:customStyle="1" w:styleId="FootnoteTextChar">
    <w:name w:val="Footnote Text Char"/>
    <w:basedOn w:val="DefaultParagraphFont"/>
    <w:link w:val="FootnoteText"/>
    <w:uiPriority w:val="99"/>
    <w:rsid w:val="00445640"/>
    <w:rPr>
      <w:rFonts w:ascii="Arial" w:hAnsi="Arial"/>
      <w:sz w:val="18"/>
      <w:szCs w:val="20"/>
    </w:rPr>
  </w:style>
  <w:style w:type="character" w:styleId="FootnoteReference">
    <w:name w:val="footnote reference"/>
    <w:basedOn w:val="DefaultParagraphFont"/>
    <w:uiPriority w:val="99"/>
    <w:unhideWhenUsed/>
    <w:rsid w:val="00445640"/>
    <w:rPr>
      <w:vertAlign w:val="superscript"/>
    </w:rPr>
  </w:style>
  <w:style w:type="character" w:customStyle="1" w:styleId="Heading5Char">
    <w:name w:val="Heading 5 Char"/>
    <w:basedOn w:val="DefaultParagraphFont"/>
    <w:link w:val="Heading5"/>
    <w:uiPriority w:val="9"/>
    <w:rsid w:val="00445640"/>
    <w:rPr>
      <w:rFonts w:ascii="Arial" w:eastAsiaTheme="majorEastAsia" w:hAnsi="Arial" w:cstheme="majorBidi"/>
      <w:color w:val="2E74B5" w:themeColor="accent1" w:themeShade="BF"/>
      <w:sz w:val="20"/>
    </w:rPr>
  </w:style>
  <w:style w:type="character" w:customStyle="1" w:styleId="Heading6Char">
    <w:name w:val="Heading 6 Char"/>
    <w:basedOn w:val="DefaultParagraphFont"/>
    <w:link w:val="Heading6"/>
    <w:uiPriority w:val="9"/>
    <w:semiHidden/>
    <w:rsid w:val="00445640"/>
    <w:rPr>
      <w:rFonts w:asciiTheme="majorHAnsi" w:eastAsiaTheme="majorEastAsia" w:hAnsiTheme="majorHAnsi" w:cstheme="majorBidi"/>
      <w:color w:val="1F4D78" w:themeColor="accent1" w:themeShade="7F"/>
      <w:sz w:val="20"/>
    </w:rPr>
  </w:style>
  <w:style w:type="character" w:customStyle="1" w:styleId="Heading7Char">
    <w:name w:val="Heading 7 Char"/>
    <w:basedOn w:val="DefaultParagraphFont"/>
    <w:link w:val="Heading7"/>
    <w:uiPriority w:val="9"/>
    <w:semiHidden/>
    <w:rsid w:val="00445640"/>
    <w:rPr>
      <w:rFonts w:asciiTheme="majorHAnsi" w:eastAsiaTheme="majorEastAsia" w:hAnsiTheme="majorHAnsi" w:cstheme="majorBidi"/>
      <w:i/>
      <w:iCs/>
      <w:color w:val="1F4D78" w:themeColor="accent1" w:themeShade="7F"/>
      <w:sz w:val="20"/>
    </w:rPr>
  </w:style>
  <w:style w:type="character" w:customStyle="1" w:styleId="Heading8Char">
    <w:name w:val="Heading 8 Char"/>
    <w:basedOn w:val="DefaultParagraphFont"/>
    <w:link w:val="Heading8"/>
    <w:uiPriority w:val="9"/>
    <w:semiHidden/>
    <w:rsid w:val="0044564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45640"/>
    <w:rPr>
      <w:rFonts w:asciiTheme="majorHAnsi" w:eastAsiaTheme="majorEastAsia" w:hAnsiTheme="majorHAnsi" w:cstheme="majorBidi"/>
      <w:i/>
      <w:iCs/>
      <w:color w:val="272727" w:themeColor="text1" w:themeTint="D8"/>
      <w:sz w:val="21"/>
      <w:szCs w:val="21"/>
    </w:rPr>
  </w:style>
  <w:style w:type="character" w:customStyle="1" w:styleId="TitleChar">
    <w:name w:val="Title Char"/>
    <w:basedOn w:val="DefaultParagraphFont"/>
    <w:link w:val="Title"/>
    <w:uiPriority w:val="10"/>
    <w:rsid w:val="00445640"/>
    <w:rPr>
      <w:rFonts w:ascii="Arial" w:eastAsiaTheme="majorEastAsia" w:hAnsi="Arial" w:cstheme="majorBidi"/>
      <w:b/>
      <w:spacing w:val="-10"/>
      <w:kern w:val="28"/>
      <w:sz w:val="48"/>
      <w:szCs w:val="56"/>
    </w:rPr>
  </w:style>
  <w:style w:type="paragraph" w:styleId="Subtitle">
    <w:name w:val="Subtitle"/>
    <w:basedOn w:val="Normal"/>
    <w:next w:val="Normal"/>
    <w:link w:val="SubtitleChar"/>
    <w:uiPriority w:val="11"/>
    <w:qFormat/>
    <w:pPr>
      <w:jc w:val="center"/>
    </w:pPr>
    <w:rPr>
      <w:b/>
      <w:sz w:val="36"/>
      <w:szCs w:val="36"/>
    </w:rPr>
  </w:style>
  <w:style w:type="character" w:customStyle="1" w:styleId="SubtitleChar">
    <w:name w:val="Subtitle Char"/>
    <w:basedOn w:val="DefaultParagraphFont"/>
    <w:link w:val="Subtitle"/>
    <w:uiPriority w:val="11"/>
    <w:rsid w:val="00445640"/>
    <w:rPr>
      <w:rFonts w:ascii="Arial" w:hAnsi="Arial"/>
      <w:b/>
      <w:sz w:val="36"/>
    </w:rPr>
  </w:style>
  <w:style w:type="paragraph" w:styleId="NoSpacing">
    <w:name w:val="No Spacing"/>
    <w:link w:val="NoSpacingChar"/>
    <w:uiPriority w:val="1"/>
    <w:qFormat/>
    <w:rsid w:val="002A1488"/>
    <w:pPr>
      <w:spacing w:after="0"/>
    </w:pPr>
    <w:rPr>
      <w:rFonts w:ascii="Palatino Linotype" w:eastAsia="HGSMinchoE" w:hAnsi="Palatino Linotype" w:cs="Times New Roman"/>
      <w:lang w:val="en-US"/>
    </w:rPr>
  </w:style>
  <w:style w:type="character" w:customStyle="1" w:styleId="NoSpacingChar">
    <w:name w:val="No Spacing Char"/>
    <w:basedOn w:val="DefaultParagraphFont"/>
    <w:link w:val="NoSpacing"/>
    <w:uiPriority w:val="1"/>
    <w:rsid w:val="002A1488"/>
    <w:rPr>
      <w:rFonts w:ascii="Palatino Linotype" w:eastAsia="HGSMinchoE" w:hAnsi="Palatino Linotype" w:cs="Times New Roman"/>
      <w:lang w:val="en-US"/>
    </w:rPr>
  </w:style>
  <w:style w:type="character" w:customStyle="1" w:styleId="BalloonTextChar">
    <w:name w:val="Balloon Text Char"/>
    <w:basedOn w:val="DefaultParagraphFont"/>
    <w:link w:val="BalloonText"/>
    <w:uiPriority w:val="99"/>
    <w:semiHidden/>
    <w:rsid w:val="002A1488"/>
    <w:rPr>
      <w:rFonts w:ascii="Tahoma" w:eastAsia="HGSMinchoE" w:hAnsi="Tahoma" w:cs="Tahoma"/>
      <w:sz w:val="16"/>
      <w:szCs w:val="16"/>
      <w:lang w:val="en-US"/>
    </w:rPr>
  </w:style>
  <w:style w:type="paragraph" w:styleId="BalloonText">
    <w:name w:val="Balloon Text"/>
    <w:basedOn w:val="Normal"/>
    <w:link w:val="BalloonTextChar"/>
    <w:uiPriority w:val="99"/>
    <w:semiHidden/>
    <w:unhideWhenUsed/>
    <w:rsid w:val="002A1488"/>
    <w:pPr>
      <w:spacing w:after="0"/>
    </w:pPr>
    <w:rPr>
      <w:rFonts w:ascii="Tahoma" w:eastAsia="HGSMinchoE" w:hAnsi="Tahoma" w:cs="Tahoma"/>
      <w:sz w:val="16"/>
      <w:szCs w:val="16"/>
      <w:lang w:val="en-US"/>
    </w:rPr>
  </w:style>
  <w:style w:type="character" w:styleId="Strong">
    <w:name w:val="Strong"/>
    <w:uiPriority w:val="22"/>
    <w:qFormat/>
    <w:rsid w:val="002A1488"/>
    <w:rPr>
      <w:b/>
      <w:bCs/>
    </w:rPr>
  </w:style>
  <w:style w:type="character" w:styleId="Emphasis">
    <w:name w:val="Emphasis"/>
    <w:uiPriority w:val="20"/>
    <w:qFormat/>
    <w:rsid w:val="002A1488"/>
    <w:rPr>
      <w:i/>
      <w:iCs/>
      <w:color w:val="auto"/>
    </w:rPr>
  </w:style>
  <w:style w:type="paragraph" w:styleId="ListParagraph">
    <w:name w:val="List Paragraph"/>
    <w:basedOn w:val="Normal"/>
    <w:uiPriority w:val="34"/>
    <w:qFormat/>
    <w:rsid w:val="00445640"/>
    <w:pPr>
      <w:numPr>
        <w:numId w:val="4"/>
      </w:numPr>
      <w:contextualSpacing/>
    </w:pPr>
  </w:style>
  <w:style w:type="paragraph" w:styleId="Quote">
    <w:name w:val="Quote"/>
    <w:basedOn w:val="Normal"/>
    <w:next w:val="Normal"/>
    <w:link w:val="QuoteChar"/>
    <w:uiPriority w:val="29"/>
    <w:qFormat/>
    <w:rsid w:val="002A1488"/>
    <w:pPr>
      <w:spacing w:before="160" w:line="300" w:lineRule="auto"/>
      <w:ind w:left="144" w:right="144"/>
      <w:jc w:val="center"/>
    </w:pPr>
    <w:rPr>
      <w:rFonts w:ascii="Century Gothic" w:eastAsia="HGSMinchoE" w:hAnsi="Century Gothic" w:cs="Times New Roman"/>
      <w:i/>
      <w:iCs/>
      <w:color w:val="6076B4"/>
      <w:sz w:val="24"/>
      <w:lang w:val="en-US" w:bidi="hi-IN"/>
    </w:rPr>
  </w:style>
  <w:style w:type="character" w:customStyle="1" w:styleId="QuoteChar">
    <w:name w:val="Quote Char"/>
    <w:basedOn w:val="DefaultParagraphFont"/>
    <w:link w:val="Quote"/>
    <w:uiPriority w:val="29"/>
    <w:rsid w:val="002A1488"/>
    <w:rPr>
      <w:rFonts w:ascii="Century Gothic" w:eastAsia="HGSMinchoE" w:hAnsi="Century Gothic" w:cs="Times New Roman"/>
      <w:i/>
      <w:iCs/>
      <w:color w:val="6076B4"/>
      <w:sz w:val="24"/>
      <w:lang w:val="en-US" w:bidi="hi-IN"/>
    </w:rPr>
  </w:style>
  <w:style w:type="paragraph" w:styleId="IntenseQuote">
    <w:name w:val="Intense Quote"/>
    <w:basedOn w:val="Normal"/>
    <w:next w:val="Normal"/>
    <w:link w:val="IntenseQuoteChar"/>
    <w:uiPriority w:val="30"/>
    <w:qFormat/>
    <w:rsid w:val="004456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445640"/>
    <w:rPr>
      <w:rFonts w:ascii="Arial" w:hAnsi="Arial"/>
      <w:i/>
      <w:iCs/>
      <w:color w:val="5B9BD5" w:themeColor="accent1"/>
    </w:rPr>
  </w:style>
  <w:style w:type="character" w:styleId="SubtleEmphasis">
    <w:name w:val="Subtle Emphasis"/>
    <w:uiPriority w:val="19"/>
    <w:qFormat/>
    <w:rsid w:val="002A1488"/>
    <w:rPr>
      <w:i/>
      <w:iCs/>
      <w:color w:val="auto"/>
    </w:rPr>
  </w:style>
  <w:style w:type="character" w:styleId="IntenseEmphasis">
    <w:name w:val="Intense Emphasis"/>
    <w:basedOn w:val="DefaultParagraphFont"/>
    <w:uiPriority w:val="21"/>
    <w:qFormat/>
    <w:rsid w:val="00445640"/>
    <w:rPr>
      <w:rFonts w:ascii="Arial" w:hAnsi="Arial"/>
      <w:i/>
      <w:iCs/>
      <w:color w:val="5B9BD5" w:themeColor="accent1"/>
      <w:sz w:val="22"/>
    </w:rPr>
  </w:style>
  <w:style w:type="character" w:styleId="SubtleReference">
    <w:name w:val="Subtle Reference"/>
    <w:basedOn w:val="DefaultParagraphFont"/>
    <w:uiPriority w:val="31"/>
    <w:qFormat/>
    <w:rsid w:val="00445640"/>
    <w:rPr>
      <w:rFonts w:ascii="Arial" w:hAnsi="Arial"/>
      <w:smallCaps/>
      <w:color w:val="5A5A5A" w:themeColor="text1" w:themeTint="A5"/>
      <w:sz w:val="20"/>
    </w:rPr>
  </w:style>
  <w:style w:type="character" w:styleId="IntenseReference">
    <w:name w:val="Intense Reference"/>
    <w:basedOn w:val="DefaultParagraphFont"/>
    <w:uiPriority w:val="32"/>
    <w:qFormat/>
    <w:rsid w:val="00445640"/>
    <w:rPr>
      <w:rFonts w:ascii="Arial" w:hAnsi="Arial"/>
      <w:b/>
      <w:bCs/>
      <w:smallCaps/>
      <w:color w:val="5B9BD5" w:themeColor="accent1"/>
      <w:spacing w:val="5"/>
      <w:sz w:val="20"/>
    </w:rPr>
  </w:style>
  <w:style w:type="character" w:styleId="BookTitle">
    <w:name w:val="Book Title"/>
    <w:basedOn w:val="DefaultParagraphFont"/>
    <w:uiPriority w:val="33"/>
    <w:qFormat/>
    <w:rsid w:val="00445640"/>
    <w:rPr>
      <w:rFonts w:ascii="Arial" w:hAnsi="Arial"/>
      <w:b/>
      <w:bCs/>
      <w:i/>
      <w:iCs/>
      <w:spacing w:val="5"/>
    </w:rPr>
  </w:style>
  <w:style w:type="paragraph" w:styleId="TOCHeading">
    <w:name w:val="TOC Heading"/>
    <w:basedOn w:val="Heading1"/>
    <w:next w:val="Normal"/>
    <w:uiPriority w:val="39"/>
    <w:unhideWhenUsed/>
    <w:qFormat/>
    <w:rsid w:val="00445640"/>
    <w:pPr>
      <w:numPr>
        <w:numId w:val="0"/>
      </w:numPr>
      <w:spacing w:line="259" w:lineRule="auto"/>
      <w:jc w:val="left"/>
      <w:outlineLvl w:val="9"/>
    </w:pPr>
    <w:rPr>
      <w:rFonts w:asciiTheme="majorHAnsi" w:hAnsiTheme="majorHAnsi"/>
      <w:b w:val="0"/>
      <w:lang w:val="en-US"/>
    </w:rPr>
  </w:style>
  <w:style w:type="character" w:styleId="Hyperlink">
    <w:name w:val="Hyperlink"/>
    <w:basedOn w:val="DefaultParagraphFont"/>
    <w:uiPriority w:val="99"/>
    <w:unhideWhenUsed/>
    <w:rsid w:val="00445640"/>
    <w:rPr>
      <w:color w:val="0563C1" w:themeColor="hyperlink"/>
      <w:u w:val="single"/>
    </w:rPr>
  </w:style>
  <w:style w:type="character" w:customStyle="1" w:styleId="BodyTextIndent2Char">
    <w:name w:val="Body Text Indent 2 Char"/>
    <w:basedOn w:val="DefaultParagraphFont"/>
    <w:link w:val="BodyTextIndent2"/>
    <w:semiHidden/>
    <w:rsid w:val="002A1488"/>
    <w:rPr>
      <w:rFonts w:ascii="Times New Roman" w:eastAsia="Times New Roman" w:hAnsi="Times New Roman" w:cs="Times New Roman"/>
      <w:sz w:val="24"/>
      <w:szCs w:val="24"/>
      <w:lang w:val="en-US"/>
    </w:rPr>
  </w:style>
  <w:style w:type="paragraph" w:styleId="BodyTextIndent2">
    <w:name w:val="Body Text Indent 2"/>
    <w:basedOn w:val="Normal"/>
    <w:link w:val="BodyTextIndent2Char"/>
    <w:semiHidden/>
    <w:unhideWhenUsed/>
    <w:rsid w:val="002A1488"/>
    <w:pPr>
      <w:spacing w:after="0" w:line="360" w:lineRule="auto"/>
      <w:ind w:left="720"/>
    </w:pPr>
    <w:rPr>
      <w:rFonts w:ascii="Times New Roman" w:eastAsia="Times New Roman" w:hAnsi="Times New Roman" w:cs="Times New Roman"/>
      <w:sz w:val="24"/>
      <w:szCs w:val="24"/>
      <w:lang w:val="en-US"/>
    </w:rPr>
  </w:style>
  <w:style w:type="table" w:styleId="TableGrid">
    <w:name w:val="Table Grid"/>
    <w:basedOn w:val="TableNormal"/>
    <w:uiPriority w:val="39"/>
    <w:rsid w:val="0044564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A42A79"/>
    <w:pPr>
      <w:tabs>
        <w:tab w:val="left" w:pos="440"/>
        <w:tab w:val="right" w:leader="dot" w:pos="9016"/>
      </w:tabs>
      <w:spacing w:after="100"/>
    </w:pPr>
  </w:style>
  <w:style w:type="paragraph" w:styleId="TOC2">
    <w:name w:val="toc 2"/>
    <w:basedOn w:val="Normal"/>
    <w:next w:val="Normal"/>
    <w:autoRedefine/>
    <w:uiPriority w:val="39"/>
    <w:unhideWhenUsed/>
    <w:rsid w:val="00445640"/>
    <w:pPr>
      <w:spacing w:after="100"/>
      <w:ind w:left="220"/>
    </w:pPr>
  </w:style>
  <w:style w:type="paragraph" w:styleId="BodyText">
    <w:name w:val="Body Text"/>
    <w:basedOn w:val="Normal"/>
    <w:link w:val="BodyTextChar"/>
    <w:uiPriority w:val="99"/>
    <w:semiHidden/>
    <w:unhideWhenUsed/>
    <w:rsid w:val="002A1488"/>
    <w:pPr>
      <w:spacing w:after="120" w:line="276" w:lineRule="auto"/>
    </w:pPr>
    <w:rPr>
      <w:rFonts w:ascii="Palatino Linotype" w:eastAsia="HGSMinchoE" w:hAnsi="Palatino Linotype" w:cs="Times New Roman"/>
      <w:lang w:val="en-US"/>
    </w:rPr>
  </w:style>
  <w:style w:type="character" w:customStyle="1" w:styleId="BodyTextChar">
    <w:name w:val="Body Text Char"/>
    <w:basedOn w:val="DefaultParagraphFont"/>
    <w:link w:val="BodyText"/>
    <w:uiPriority w:val="99"/>
    <w:semiHidden/>
    <w:rsid w:val="002A1488"/>
    <w:rPr>
      <w:rFonts w:ascii="Palatino Linotype" w:eastAsia="HGSMinchoE" w:hAnsi="Palatino Linotype" w:cs="Times New Roman"/>
      <w:lang w:val="en-US"/>
    </w:rPr>
  </w:style>
  <w:style w:type="character" w:customStyle="1" w:styleId="CommentTextChar">
    <w:name w:val="Comment Text Char"/>
    <w:basedOn w:val="DefaultParagraphFont"/>
    <w:link w:val="CommentText"/>
    <w:uiPriority w:val="99"/>
    <w:semiHidden/>
    <w:rsid w:val="002A1488"/>
    <w:rPr>
      <w:rFonts w:ascii="Palatino Linotype" w:eastAsia="HGSMinchoE" w:hAnsi="Palatino Linotype" w:cs="Times New Roman"/>
      <w:sz w:val="20"/>
      <w:szCs w:val="20"/>
      <w:lang w:val="en-US"/>
    </w:rPr>
  </w:style>
  <w:style w:type="paragraph" w:styleId="CommentText">
    <w:name w:val="annotation text"/>
    <w:basedOn w:val="Normal"/>
    <w:link w:val="CommentTextChar"/>
    <w:uiPriority w:val="99"/>
    <w:semiHidden/>
    <w:unhideWhenUsed/>
    <w:rsid w:val="002A1488"/>
    <w:pPr>
      <w:spacing w:after="200"/>
    </w:pPr>
    <w:rPr>
      <w:rFonts w:ascii="Palatino Linotype" w:eastAsia="HGSMinchoE" w:hAnsi="Palatino Linotype" w:cs="Times New Roman"/>
      <w:lang w:val="en-US"/>
    </w:rPr>
  </w:style>
  <w:style w:type="character" w:customStyle="1" w:styleId="CommentSubjectChar">
    <w:name w:val="Comment Subject Char"/>
    <w:basedOn w:val="CommentTextChar"/>
    <w:link w:val="CommentSubject"/>
    <w:uiPriority w:val="99"/>
    <w:semiHidden/>
    <w:rsid w:val="002A1488"/>
    <w:rPr>
      <w:rFonts w:ascii="Palatino Linotype" w:eastAsia="HGSMinchoE" w:hAnsi="Palatino Linotype" w:cs="Times New Roman"/>
      <w:b/>
      <w:bCs/>
      <w:sz w:val="20"/>
      <w:szCs w:val="20"/>
      <w:lang w:val="en-US"/>
    </w:rPr>
  </w:style>
  <w:style w:type="paragraph" w:styleId="CommentSubject">
    <w:name w:val="annotation subject"/>
    <w:basedOn w:val="CommentText"/>
    <w:next w:val="CommentText"/>
    <w:link w:val="CommentSubjectChar"/>
    <w:uiPriority w:val="99"/>
    <w:semiHidden/>
    <w:unhideWhenUsed/>
    <w:rsid w:val="002A1488"/>
    <w:rPr>
      <w:b/>
      <w:bCs/>
    </w:rPr>
  </w:style>
  <w:style w:type="paragraph" w:styleId="TOC3">
    <w:name w:val="toc 3"/>
    <w:basedOn w:val="Normal"/>
    <w:next w:val="Normal"/>
    <w:autoRedefine/>
    <w:uiPriority w:val="39"/>
    <w:unhideWhenUsed/>
    <w:rsid w:val="00445640"/>
    <w:pPr>
      <w:spacing w:after="100"/>
      <w:ind w:left="440"/>
    </w:pPr>
  </w:style>
  <w:style w:type="table" w:styleId="GridTable4-Accent1">
    <w:name w:val="Grid Table 4 Accent 1"/>
    <w:basedOn w:val="TableNormal"/>
    <w:uiPriority w:val="49"/>
    <w:rsid w:val="002A1488"/>
    <w:pPr>
      <w:spacing w:after="0"/>
    </w:pPr>
    <w:rPr>
      <w:rFonts w:ascii="Palatino Linotype" w:eastAsia="HGSMinchoE" w:hAnsi="Palatino Linotype" w:cs="Times New Roman"/>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TableofFigures">
    <w:name w:val="table of figures"/>
    <w:basedOn w:val="Normal"/>
    <w:next w:val="Normal"/>
    <w:uiPriority w:val="99"/>
    <w:unhideWhenUsed/>
    <w:rsid w:val="002A1488"/>
    <w:pPr>
      <w:spacing w:after="200" w:line="276" w:lineRule="auto"/>
    </w:pPr>
    <w:rPr>
      <w:rFonts w:ascii="Palatino Linotype" w:eastAsia="HGSMinchoE" w:hAnsi="Palatino Linotype" w:cs="Times New Roman"/>
      <w:lang w:val="en-US"/>
    </w:rPr>
  </w:style>
  <w:style w:type="character" w:styleId="HTMLCite">
    <w:name w:val="HTML Cite"/>
    <w:uiPriority w:val="99"/>
    <w:semiHidden/>
    <w:unhideWhenUsed/>
    <w:rsid w:val="002A1488"/>
    <w:rPr>
      <w:i/>
      <w:iCs/>
    </w:rPr>
  </w:style>
  <w:style w:type="character" w:styleId="CommentReference">
    <w:name w:val="annotation reference"/>
    <w:basedOn w:val="DefaultParagraphFont"/>
    <w:uiPriority w:val="99"/>
    <w:semiHidden/>
    <w:unhideWhenUsed/>
    <w:rsid w:val="00006690"/>
    <w:rPr>
      <w:sz w:val="18"/>
      <w:szCs w:val="18"/>
    </w:rPr>
  </w:style>
  <w:style w:type="paragraph" w:customStyle="1" w:styleId="Default">
    <w:name w:val="Default"/>
    <w:rsid w:val="00445640"/>
    <w:pPr>
      <w:autoSpaceDE w:val="0"/>
      <w:autoSpaceDN w:val="0"/>
      <w:adjustRightInd w:val="0"/>
      <w:spacing w:after="0"/>
    </w:pPr>
    <w:rPr>
      <w:rFonts w:ascii="Verdana" w:hAnsi="Verdana" w:cs="Verdana"/>
      <w:color w:val="000000"/>
      <w:sz w:val="24"/>
      <w:szCs w:val="24"/>
    </w:rPr>
  </w:style>
  <w:style w:type="table" w:styleId="GridTable4-Accent5">
    <w:name w:val="Grid Table 4 Accent 5"/>
    <w:basedOn w:val="TableNormal"/>
    <w:uiPriority w:val="49"/>
    <w:rsid w:val="00445640"/>
    <w:pPr>
      <w:spacing w:after="0"/>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Othertitlepage">
    <w:name w:val="Other title page"/>
    <w:basedOn w:val="Normal"/>
    <w:link w:val="OthertitlepageChar"/>
    <w:qFormat/>
    <w:rsid w:val="00445640"/>
    <w:rPr>
      <w:sz w:val="28"/>
    </w:rPr>
  </w:style>
  <w:style w:type="character" w:customStyle="1" w:styleId="OthertitlepageChar">
    <w:name w:val="Other title page Char"/>
    <w:basedOn w:val="DefaultParagraphFont"/>
    <w:link w:val="Othertitlepage"/>
    <w:rsid w:val="00445640"/>
    <w:rPr>
      <w:rFonts w:ascii="Arial" w:hAnsi="Arial"/>
      <w:sz w:val="28"/>
    </w:rPr>
  </w:style>
  <w:style w:type="numbering" w:customStyle="1" w:styleId="Style1">
    <w:name w:val="Style1"/>
    <w:uiPriority w:val="99"/>
    <w:rsid w:val="00445640"/>
  </w:style>
  <w:style w:type="table" w:styleId="GridTable5Dark-Accent1">
    <w:name w:val="Grid Table 5 Dark Accent 1"/>
    <w:basedOn w:val="TableNormal"/>
    <w:uiPriority w:val="50"/>
    <w:rsid w:val="001D46BD"/>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1">
    <w:name w:val="Table Grid1"/>
    <w:basedOn w:val="TableNormal"/>
    <w:next w:val="TableGrid"/>
    <w:uiPriority w:val="39"/>
    <w:rsid w:val="001D46BD"/>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1D46BD"/>
    <w:pPr>
      <w:spacing w:after="0"/>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5">
    <w:name w:val="List Table 4 Accent 5"/>
    <w:basedOn w:val="TableNormal"/>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Table4-Accent51">
    <w:name w:val="List Table 4 - Accent 51"/>
    <w:basedOn w:val="TableNormal"/>
    <w:next w:val="ListTable4-Accent5"/>
    <w:uiPriority w:val="49"/>
    <w:rsid w:val="001D46BD"/>
    <w:pPr>
      <w:spacing w:after="0"/>
    </w:pPr>
    <w:rPr>
      <w:lang w:val="en-US"/>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1D46BD"/>
    <w:rPr>
      <w:color w:val="954F72" w:themeColor="followedHyperlink"/>
      <w:u w:val="single"/>
    </w:rPr>
  </w:style>
  <w:style w:type="character" w:styleId="PageNumber">
    <w:name w:val="page number"/>
    <w:basedOn w:val="DefaultParagraphFont"/>
    <w:semiHidden/>
    <w:rsid w:val="001D46BD"/>
  </w:style>
  <w:style w:type="character" w:styleId="PlaceholderText">
    <w:name w:val="Placeholder Text"/>
    <w:basedOn w:val="DefaultParagraphFont"/>
    <w:uiPriority w:val="99"/>
    <w:semiHidden/>
    <w:rsid w:val="00027E33"/>
    <w:rPr>
      <w:color w:val="808080"/>
    </w:rPr>
  </w:style>
  <w:style w:type="table" w:customStyle="1" w:styleId="GridTable4-Accent11">
    <w:name w:val="Grid Table 4 - Accent 11"/>
    <w:basedOn w:val="TableNormal"/>
    <w:uiPriority w:val="49"/>
    <w:rsid w:val="00FA5234"/>
    <w:pPr>
      <w:spacing w:after="0"/>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Newparagraph">
    <w:name w:val="New paragraph"/>
    <w:basedOn w:val="Normal"/>
    <w:qFormat/>
    <w:rsid w:val="00163040"/>
    <w:pPr>
      <w:spacing w:after="0" w:line="480" w:lineRule="auto"/>
      <w:ind w:firstLine="720"/>
      <w:jc w:val="left"/>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6111F2"/>
    <w:rPr>
      <w:color w:val="605E5C"/>
      <w:shd w:val="clear" w:color="auto" w:fill="E1DFDD"/>
    </w:rPr>
  </w:style>
  <w:style w:type="character" w:customStyle="1" w:styleId="UnresolvedMention2">
    <w:name w:val="Unresolved Mention2"/>
    <w:basedOn w:val="DefaultParagraphFont"/>
    <w:uiPriority w:val="99"/>
    <w:semiHidden/>
    <w:unhideWhenUsed/>
    <w:rsid w:val="006B62A6"/>
    <w:rPr>
      <w:color w:val="605E5C"/>
      <w:shd w:val="clear" w:color="auto" w:fill="E1DFDD"/>
    </w:rPr>
  </w:style>
  <w:style w:type="table" w:customStyle="1" w:styleId="a">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0">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1">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2">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3">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4">
    <w:basedOn w:val="TableNormal"/>
    <w:pPr>
      <w:spacing w:after="0"/>
    </w:pPr>
    <w:rPr>
      <w:color w:val="2F5496"/>
    </w:rPr>
    <w:tblPr>
      <w:tblStyleRowBandSize w:val="1"/>
      <w:tblStyleColBandSize w:val="1"/>
      <w:tblCellMar>
        <w:left w:w="115" w:type="dxa"/>
        <w:right w:w="115" w:type="dxa"/>
      </w:tblCellMar>
    </w:tblPr>
    <w:tcPr>
      <w:shd w:val="clear" w:color="auto" w:fill="DEEBF6"/>
    </w:tc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Revision">
    <w:name w:val="Revision"/>
    <w:hidden/>
    <w:uiPriority w:val="99"/>
    <w:semiHidden/>
    <w:rsid w:val="00A96711"/>
    <w:pPr>
      <w:spacing w:after="0"/>
      <w:jc w:val="left"/>
    </w:pPr>
  </w:style>
  <w:style w:type="character" w:customStyle="1" w:styleId="UnresolvedMention">
    <w:name w:val="Unresolved Mention"/>
    <w:basedOn w:val="DefaultParagraphFont"/>
    <w:uiPriority w:val="99"/>
    <w:semiHidden/>
    <w:unhideWhenUsed/>
    <w:rsid w:val="00E50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1620204">
      <w:bodyDiv w:val="1"/>
      <w:marLeft w:val="0"/>
      <w:marRight w:val="0"/>
      <w:marTop w:val="0"/>
      <w:marBottom w:val="0"/>
      <w:divBdr>
        <w:top w:val="none" w:sz="0" w:space="0" w:color="auto"/>
        <w:left w:val="none" w:sz="0" w:space="0" w:color="auto"/>
        <w:bottom w:val="none" w:sz="0" w:space="0" w:color="auto"/>
        <w:right w:val="none" w:sz="0" w:space="0" w:color="auto"/>
      </w:divBdr>
      <w:divsChild>
        <w:div w:id="1467897124">
          <w:marLeft w:val="0"/>
          <w:marRight w:val="0"/>
          <w:marTop w:val="0"/>
          <w:marBottom w:val="0"/>
          <w:divBdr>
            <w:top w:val="none" w:sz="0" w:space="0" w:color="auto"/>
            <w:left w:val="none" w:sz="0" w:space="0" w:color="auto"/>
            <w:bottom w:val="none" w:sz="0" w:space="0" w:color="auto"/>
            <w:right w:val="none" w:sz="0" w:space="0" w:color="auto"/>
          </w:divBdr>
        </w:div>
      </w:divsChild>
    </w:div>
    <w:div w:id="2045473550">
      <w:bodyDiv w:val="1"/>
      <w:marLeft w:val="0"/>
      <w:marRight w:val="0"/>
      <w:marTop w:val="0"/>
      <w:marBottom w:val="0"/>
      <w:divBdr>
        <w:top w:val="none" w:sz="0" w:space="0" w:color="auto"/>
        <w:left w:val="none" w:sz="0" w:space="0" w:color="auto"/>
        <w:bottom w:val="none" w:sz="0" w:space="0" w:color="auto"/>
        <w:right w:val="none" w:sz="0" w:space="0" w:color="auto"/>
      </w:divBdr>
      <w:divsChild>
        <w:div w:id="131059340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7.xml"/><Relationship Id="rId26" Type="http://schemas.openxmlformats.org/officeDocument/2006/relationships/chart" Target="charts/chart15.xml"/><Relationship Id="rId39" Type="http://schemas.openxmlformats.org/officeDocument/2006/relationships/fontTable" Target="fontTable.xml"/><Relationship Id="rId21" Type="http://schemas.openxmlformats.org/officeDocument/2006/relationships/chart" Target="charts/chart10.xml"/><Relationship Id="rId34" Type="http://schemas.openxmlformats.org/officeDocument/2006/relationships/hyperlink" Target="https://www.datafirst.uct.ac.za/dataportal/index.php/catalog/434" TargetMode="External"/><Relationship Id="rId7" Type="http://schemas.openxmlformats.org/officeDocument/2006/relationships/footnotes" Target="footnotes.xml"/><Relationship Id="rId12" Type="http://schemas.openxmlformats.org/officeDocument/2006/relationships/chart" Target="charts/chart2.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hyperlink" Target="https://www.datafirst.uct.ac.za/dataportal/index.php/catalog/434/download/9089"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hyperlink" Target="https://www.researchgate.net/publication/261875016_Human_Sciences_THE_CREATIVE_INDUSTRIES_IN_SOUTH_AFRIC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24" Type="http://schemas.openxmlformats.org/officeDocument/2006/relationships/chart" Target="charts/chart13.xml"/><Relationship Id="rId32" Type="http://schemas.openxmlformats.org/officeDocument/2006/relationships/hyperlink" Target="http://www.dac.gov.za/sites/default/files/Legislations%20Files/Revised%203rd%20Draft%20RWP%20on%20ACH%20FEBRUARY%202017_0.pdf" TargetMode="External"/><Relationship Id="rId37" Type="http://schemas.openxmlformats.org/officeDocument/2006/relationships/hyperlink" Target="http://uis.unesco.org/sites/default/files/documents/unesco-framework-for-cultural-statistics-2009-en_0.pdf" TargetMode="Externa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hyperlink" Target="https://www.resbank.co.za/en/home/publications/publication-detail-pages/quarterly-bulletins/quarterly-bulletin-publications/2016/7195" TargetMode="External"/><Relationship Id="rId10" Type="http://schemas.openxmlformats.org/officeDocument/2006/relationships/footer" Target="footer1.xml"/><Relationship Id="rId19" Type="http://schemas.openxmlformats.org/officeDocument/2006/relationships/chart" Target="charts/chart8.xml"/><Relationship Id="rId31" Type="http://schemas.openxmlformats.org/officeDocument/2006/relationships/hyperlink" Target="http://www.dac.gov.za/sites/default/files/REVISEDWHITEPAPER04062013.pdf"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chart" Target="charts/chart4.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hyperlink" Target="http://www.dac.gov.za/content/white-paper-arts-culture-and-heritage" TargetMode="External"/><Relationship Id="rId35" Type="http://schemas.openxmlformats.org/officeDocument/2006/relationships/hyperlink" Target="https://doi.org/10.1080/10286632.2015.1025067" TargetMode="Externa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Creative%20Econ%20in%20Historical%20Context\New_Updated-PALMS%20tables%20and%20figures%20November-202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IO_Real/MatLab%20results/Results%20GVA%20GDP%20etc.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IO_Real/MatLab%20results/Results%20GVA%20GDP%20etc.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d.docs.live.net/0cf4ef25db9155c2/__Contracts/__CC/_SACO/__Mapping%20study/Modelling/IO_Real/MatLab%20results/Results%20GVA%20GDP%20etc.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Creative%20Econ%20in%20Historical%20Context\Copy%20of%20Overtime-workforce%20and%20Percentage.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Creative%20Econ%20in%20Historical%20Context\Updated%20PALMS%20with%20LMDS%20figures%20for%20total%20cultural%20occupations%20(24%20Nov).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cjs\Dropbox\Cultural%20Observatory\2022%20Mapping%20Study\Creative%20Econ%20in%20Historical%20Context\New_Updated-PALMS%20tables%20and%20figures%20November-202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product%20ITC%20and%20UNCom.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product%20ITC%20and%20UNCom.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product%20ITC%20and%20UNCom.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product%20ITC%20and%20UNCom.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imports%20by%20product%20ITC%20and%20UNCom.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product%20ITC%20and%20UNCom.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country.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country.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3%20SACO%20paper\0%20SACO%202021\Data%20work%202021\SA's%20cultural%20goods%20exports%20by%20country.xlsx" TargetMode="External"/><Relationship Id="rId2" Type="http://schemas.microsoft.com/office/2011/relationships/chartColorStyle" Target="colors17.xml"/><Relationship Id="rId1" Type="http://schemas.microsoft.com/office/2011/relationships/chartStyle" Target="style1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1"/>
          <c:tx>
            <c:strRef>
              <c:f>'RealGDPgrowth and %Unemployment'!$A$8:$B$8</c:f>
              <c:strCache>
                <c:ptCount val="2"/>
                <c:pt idx="0">
                  <c:v>% Unemployment </c:v>
                </c:pt>
              </c:strCache>
            </c:strRef>
          </c:tx>
          <c:spPr>
            <a:solidFill>
              <a:schemeClr val="accent2"/>
            </a:solidFill>
            <a:ln>
              <a:noFill/>
            </a:ln>
            <a:effectLst/>
          </c:spPr>
          <c:invertIfNegative val="0"/>
          <c:cat>
            <c:numRef>
              <c:f>'RealGDPgrowth and %Unemployment'!$O$6:$AC$6</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extLst/>
            </c:numRef>
          </c:cat>
          <c:val>
            <c:numRef>
              <c:f>'RealGDPgrowth and %Unemployment'!$O$8:$AC$8</c:f>
              <c:numCache>
                <c:formatCode>0.0</c:formatCode>
                <c:ptCount val="15"/>
                <c:pt idx="0">
                  <c:v>29.12</c:v>
                </c:pt>
                <c:pt idx="1">
                  <c:v>28.34</c:v>
                </c:pt>
                <c:pt idx="2">
                  <c:v>26.54</c:v>
                </c:pt>
                <c:pt idx="3">
                  <c:v>22.41</c:v>
                </c:pt>
                <c:pt idx="4">
                  <c:v>23.52</c:v>
                </c:pt>
                <c:pt idx="5">
                  <c:v>24.68</c:v>
                </c:pt>
                <c:pt idx="6">
                  <c:v>24.64</c:v>
                </c:pt>
                <c:pt idx="7">
                  <c:v>24.73</c:v>
                </c:pt>
                <c:pt idx="8">
                  <c:v>24.56</c:v>
                </c:pt>
                <c:pt idx="9">
                  <c:v>24.89</c:v>
                </c:pt>
                <c:pt idx="10">
                  <c:v>25.15</c:v>
                </c:pt>
                <c:pt idx="11">
                  <c:v>26.54</c:v>
                </c:pt>
                <c:pt idx="12">
                  <c:v>27.04</c:v>
                </c:pt>
                <c:pt idx="13">
                  <c:v>26.91</c:v>
                </c:pt>
                <c:pt idx="14">
                  <c:v>28.5</c:v>
                </c:pt>
              </c:numCache>
              <c:extLst/>
            </c:numRef>
          </c:val>
          <c:extLst>
            <c:ext xmlns:c16="http://schemas.microsoft.com/office/drawing/2014/chart" uri="{C3380CC4-5D6E-409C-BE32-E72D297353CC}">
              <c16:uniqueId val="{00000000-AF9C-4D33-8A29-4EC5FBEF4DE5}"/>
            </c:ext>
          </c:extLst>
        </c:ser>
        <c:dLbls>
          <c:showLegendKey val="0"/>
          <c:showVal val="0"/>
          <c:showCatName val="0"/>
          <c:showSerName val="0"/>
          <c:showPercent val="0"/>
          <c:showBubbleSize val="0"/>
        </c:dLbls>
        <c:gapWidth val="219"/>
        <c:overlap val="-27"/>
        <c:axId val="1115642063"/>
        <c:axId val="1115648719"/>
      </c:barChart>
      <c:lineChart>
        <c:grouping val="standard"/>
        <c:varyColors val="0"/>
        <c:ser>
          <c:idx val="0"/>
          <c:order val="0"/>
          <c:tx>
            <c:strRef>
              <c:f>'RealGDPgrowth and %Unemployment'!$A$7:$B$7</c:f>
              <c:strCache>
                <c:ptCount val="2"/>
                <c:pt idx="0">
                  <c:v>% Real GDP Growth </c:v>
                </c:pt>
              </c:strCache>
            </c:strRef>
          </c:tx>
          <c:spPr>
            <a:ln w="28575" cap="rnd">
              <a:solidFill>
                <a:schemeClr val="accent1"/>
              </a:solidFill>
              <a:round/>
            </a:ln>
            <a:effectLst/>
          </c:spPr>
          <c:marker>
            <c:symbol val="none"/>
          </c:marker>
          <c:cat>
            <c:numRef>
              <c:f>'RealGDPgrowth and %Unemployment'!$O$6:$AC$6</c:f>
              <c:numCache>
                <c:formatCode>General</c:formatCode>
                <c:ptCount val="15"/>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numCache>
              <c:extLst/>
            </c:numRef>
          </c:cat>
          <c:val>
            <c:numRef>
              <c:f>'RealGDPgrowth and %Unemployment'!$O$7:$AC$7</c:f>
              <c:numCache>
                <c:formatCode>0.0</c:formatCode>
                <c:ptCount val="15"/>
                <c:pt idx="0">
                  <c:v>5.2770563116365965</c:v>
                </c:pt>
                <c:pt idx="1">
                  <c:v>5.6037976571201131</c:v>
                </c:pt>
                <c:pt idx="2">
                  <c:v>5.3604758905366312</c:v>
                </c:pt>
                <c:pt idx="3">
                  <c:v>3.1910467411567778</c:v>
                </c:pt>
                <c:pt idx="4">
                  <c:v>-1.5380893337992085</c:v>
                </c:pt>
                <c:pt idx="5">
                  <c:v>3.0397308136016932</c:v>
                </c:pt>
                <c:pt idx="6">
                  <c:v>3.2841681423113833</c:v>
                </c:pt>
                <c:pt idx="7">
                  <c:v>2.2133548084844135</c:v>
                </c:pt>
                <c:pt idx="8">
                  <c:v>2.4852005003106026</c:v>
                </c:pt>
                <c:pt idx="9">
                  <c:v>1.8469916036571554</c:v>
                </c:pt>
                <c:pt idx="10">
                  <c:v>1.1937328012443071</c:v>
                </c:pt>
                <c:pt idx="11">
                  <c:v>0.39908792955636319</c:v>
                </c:pt>
                <c:pt idx="12">
                  <c:v>1.4145126258505725</c:v>
                </c:pt>
                <c:pt idx="13">
                  <c:v>0.78705557049509878</c:v>
                </c:pt>
                <c:pt idx="14">
                  <c:v>0.2</c:v>
                </c:pt>
              </c:numCache>
              <c:extLst/>
            </c:numRef>
          </c:val>
          <c:smooth val="0"/>
          <c:extLst>
            <c:ext xmlns:c16="http://schemas.microsoft.com/office/drawing/2014/chart" uri="{C3380CC4-5D6E-409C-BE32-E72D297353CC}">
              <c16:uniqueId val="{00000001-AF9C-4D33-8A29-4EC5FBEF4DE5}"/>
            </c:ext>
          </c:extLst>
        </c:ser>
        <c:dLbls>
          <c:showLegendKey val="0"/>
          <c:showVal val="0"/>
          <c:showCatName val="0"/>
          <c:showSerName val="0"/>
          <c:showPercent val="0"/>
          <c:showBubbleSize val="0"/>
        </c:dLbls>
        <c:marker val="1"/>
        <c:smooth val="0"/>
        <c:axId val="1049949743"/>
        <c:axId val="1049949327"/>
      </c:lineChart>
      <c:catAx>
        <c:axId val="1115642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5648719"/>
        <c:crosses val="autoZero"/>
        <c:auto val="1"/>
        <c:lblAlgn val="ctr"/>
        <c:lblOffset val="100"/>
        <c:noMultiLvlLbl val="0"/>
      </c:catAx>
      <c:valAx>
        <c:axId val="11156487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15642063"/>
        <c:crosses val="autoZero"/>
        <c:crossBetween val="between"/>
      </c:valAx>
      <c:valAx>
        <c:axId val="1049949327"/>
        <c:scaling>
          <c:orientation val="minMax"/>
        </c:scaling>
        <c:delete val="0"/>
        <c:axPos val="r"/>
        <c:numFmt formatCode="General"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9949743"/>
        <c:crosses val="max"/>
        <c:crossBetween val="between"/>
      </c:valAx>
      <c:catAx>
        <c:axId val="1049949743"/>
        <c:scaling>
          <c:orientation val="minMax"/>
        </c:scaling>
        <c:delete val="1"/>
        <c:axPos val="b"/>
        <c:numFmt formatCode="General" sourceLinked="1"/>
        <c:majorTickMark val="out"/>
        <c:minorTickMark val="none"/>
        <c:tickLblPos val="nextTo"/>
        <c:crossAx val="104994932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'[Results GVA GDP etc.xlsx]Sheet2'!$AB$30</c:f>
              <c:strCache>
                <c:ptCount val="1"/>
                <c:pt idx="0">
                  <c:v>CCI as % of GDP</c:v>
                </c:pt>
              </c:strCache>
            </c:strRef>
          </c:tx>
          <c:spPr>
            <a:ln w="28575" cap="rnd">
              <a:solidFill>
                <a:schemeClr val="accent1"/>
              </a:solidFill>
              <a:round/>
            </a:ln>
            <a:effectLst/>
          </c:spPr>
          <c:marker>
            <c:symbol val="none"/>
          </c:marker>
          <c:cat>
            <c:numRef>
              <c:f>'[Results GVA GDP etc.xlsx]Sheet2'!$AA$31:$AA$58</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etc.xlsx]Sheet2'!$AB$31:$AB$58</c:f>
              <c:numCache>
                <c:formatCode>0.00%</c:formatCode>
                <c:ptCount val="28"/>
                <c:pt idx="0">
                  <c:v>2.2722319499292574E-2</c:v>
                </c:pt>
                <c:pt idx="1">
                  <c:v>2.2036325572354697E-2</c:v>
                </c:pt>
                <c:pt idx="2">
                  <c:v>2.1567150993134259E-2</c:v>
                </c:pt>
                <c:pt idx="3">
                  <c:v>2.0804231917062693E-2</c:v>
                </c:pt>
                <c:pt idx="4">
                  <c:v>2.0864219844268724E-2</c:v>
                </c:pt>
                <c:pt idx="5">
                  <c:v>2.2355161137315033E-2</c:v>
                </c:pt>
                <c:pt idx="6">
                  <c:v>2.2221514906639685E-2</c:v>
                </c:pt>
                <c:pt idx="7">
                  <c:v>2.2830252084255643E-2</c:v>
                </c:pt>
                <c:pt idx="8">
                  <c:v>2.335838808291494E-2</c:v>
                </c:pt>
                <c:pt idx="9">
                  <c:v>2.3468140093116444E-2</c:v>
                </c:pt>
                <c:pt idx="10">
                  <c:v>2.4404709804803033E-2</c:v>
                </c:pt>
                <c:pt idx="11">
                  <c:v>2.5671792550407319E-2</c:v>
                </c:pt>
                <c:pt idx="12">
                  <c:v>2.6211153966318696E-2</c:v>
                </c:pt>
                <c:pt idx="13">
                  <c:v>2.6876587651899913E-2</c:v>
                </c:pt>
                <c:pt idx="14">
                  <c:v>2.7354890013540079E-2</c:v>
                </c:pt>
                <c:pt idx="15">
                  <c:v>2.7941761894965902E-2</c:v>
                </c:pt>
                <c:pt idx="16">
                  <c:v>2.9012661359532801E-2</c:v>
                </c:pt>
                <c:pt idx="17">
                  <c:v>2.9429678651580686E-2</c:v>
                </c:pt>
                <c:pt idx="18">
                  <c:v>2.9172884830631886E-2</c:v>
                </c:pt>
                <c:pt idx="19">
                  <c:v>2.9317714832940132E-2</c:v>
                </c:pt>
                <c:pt idx="20">
                  <c:v>2.8899227441380602E-2</c:v>
                </c:pt>
                <c:pt idx="21">
                  <c:v>2.8283353504897735E-2</c:v>
                </c:pt>
                <c:pt idx="22">
                  <c:v>2.7696795291958429E-2</c:v>
                </c:pt>
                <c:pt idx="23">
                  <c:v>2.759856730560056E-2</c:v>
                </c:pt>
                <c:pt idx="24">
                  <c:v>2.8183580715087524E-2</c:v>
                </c:pt>
                <c:pt idx="25">
                  <c:v>2.8089068268619122E-2</c:v>
                </c:pt>
                <c:pt idx="26">
                  <c:v>2.7805415584888634E-2</c:v>
                </c:pt>
                <c:pt idx="27">
                  <c:v>2.7820015323247869E-2</c:v>
                </c:pt>
              </c:numCache>
            </c:numRef>
          </c:val>
          <c:smooth val="0"/>
          <c:extLst>
            <c:ext xmlns:c16="http://schemas.microsoft.com/office/drawing/2014/chart" uri="{C3380CC4-5D6E-409C-BE32-E72D297353CC}">
              <c16:uniqueId val="{00000000-81A3-4DC2-9029-6FE0F8CBAC29}"/>
            </c:ext>
          </c:extLst>
        </c:ser>
        <c:dLbls>
          <c:showLegendKey val="0"/>
          <c:showVal val="0"/>
          <c:showCatName val="0"/>
          <c:showSerName val="0"/>
          <c:showPercent val="0"/>
          <c:showBubbleSize val="0"/>
        </c:dLbls>
        <c:smooth val="0"/>
        <c:axId val="1327453839"/>
        <c:axId val="1327445935"/>
      </c:lineChart>
      <c:catAx>
        <c:axId val="1327453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445935"/>
        <c:crosses val="autoZero"/>
        <c:auto val="1"/>
        <c:lblAlgn val="ctr"/>
        <c:lblOffset val="100"/>
        <c:noMultiLvlLbl val="0"/>
      </c:catAx>
      <c:valAx>
        <c:axId val="1327445935"/>
        <c:scaling>
          <c:orientation val="minMax"/>
          <c:min val="2.0000000000000004E-2"/>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45383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'[Results GVA GDP etc.xlsx]Sheet2'!$R$1</c:f>
              <c:strCache>
                <c:ptCount val="1"/>
                <c:pt idx="0">
                  <c:v>A: Cultural and natural heritage</c:v>
                </c:pt>
              </c:strCache>
            </c:strRef>
          </c:tx>
          <c:spPr>
            <a:solidFill>
              <a:schemeClr val="accent1"/>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etc.xlsx]Sheet2'!$R$2:$R$29</c:f>
              <c:numCache>
                <c:formatCode>_-"R"* #\ ##0_-;\-"R"* #\ ##0_-;_-"R"* "-"??_-;_-@_-</c:formatCode>
                <c:ptCount val="28"/>
                <c:pt idx="0">
                  <c:v>1015.3634769712017</c:v>
                </c:pt>
                <c:pt idx="1">
                  <c:v>1040.2636079106367</c:v>
                </c:pt>
                <c:pt idx="2">
                  <c:v>1071.6667282080066</c:v>
                </c:pt>
                <c:pt idx="3">
                  <c:v>1075.8193372081494</c:v>
                </c:pt>
                <c:pt idx="4">
                  <c:v>1052.3746133823408</c:v>
                </c:pt>
                <c:pt idx="5">
                  <c:v>1093.93469775426</c:v>
                </c:pt>
                <c:pt idx="6">
                  <c:v>1151.3337986574909</c:v>
                </c:pt>
                <c:pt idx="7">
                  <c:v>1228.2706076386914</c:v>
                </c:pt>
                <c:pt idx="8">
                  <c:v>1385.5244315571319</c:v>
                </c:pt>
                <c:pt idx="9">
                  <c:v>1621.9804251761557</c:v>
                </c:pt>
                <c:pt idx="10">
                  <c:v>1895.6884881902658</c:v>
                </c:pt>
                <c:pt idx="11">
                  <c:v>2166.6994841095479</c:v>
                </c:pt>
                <c:pt idx="12">
                  <c:v>2573.2742585633309</c:v>
                </c:pt>
                <c:pt idx="13">
                  <c:v>3158.6408826013831</c:v>
                </c:pt>
                <c:pt idx="14">
                  <c:v>3714.8815996411927</c:v>
                </c:pt>
                <c:pt idx="15">
                  <c:v>4225.2075871558081</c:v>
                </c:pt>
                <c:pt idx="16">
                  <c:v>4364.2872575112142</c:v>
                </c:pt>
                <c:pt idx="17">
                  <c:v>4547.4239081662699</c:v>
                </c:pt>
                <c:pt idx="18">
                  <c:v>4790.8129251295431</c:v>
                </c:pt>
                <c:pt idx="19">
                  <c:v>4901.0601568207794</c:v>
                </c:pt>
                <c:pt idx="20">
                  <c:v>4896.0915980403888</c:v>
                </c:pt>
                <c:pt idx="21">
                  <c:v>4949.7379639507553</c:v>
                </c:pt>
                <c:pt idx="22">
                  <c:v>5006.1330932642686</c:v>
                </c:pt>
                <c:pt idx="23">
                  <c:v>5158.0423391393651</c:v>
                </c:pt>
                <c:pt idx="24">
                  <c:v>5200.8937181356205</c:v>
                </c:pt>
                <c:pt idx="25">
                  <c:v>4994.1437865624421</c:v>
                </c:pt>
                <c:pt idx="26">
                  <c:v>4992.7443574896652</c:v>
                </c:pt>
                <c:pt idx="27">
                  <c:v>4797.5391033246433</c:v>
                </c:pt>
              </c:numCache>
            </c:numRef>
          </c:val>
          <c:extLst>
            <c:ext xmlns:c16="http://schemas.microsoft.com/office/drawing/2014/chart" uri="{C3380CC4-5D6E-409C-BE32-E72D297353CC}">
              <c16:uniqueId val="{00000000-B20B-495E-B3D3-7B5094B2DBCE}"/>
            </c:ext>
          </c:extLst>
        </c:ser>
        <c:ser>
          <c:idx val="1"/>
          <c:order val="1"/>
          <c:tx>
            <c:strRef>
              <c:f>'[Results GVA GDP etc.xlsx]Sheet2'!$S$1</c:f>
              <c:strCache>
                <c:ptCount val="1"/>
                <c:pt idx="0">
                  <c:v>B: Performance and celebration</c:v>
                </c:pt>
              </c:strCache>
            </c:strRef>
          </c:tx>
          <c:spPr>
            <a:solidFill>
              <a:schemeClr val="accent2"/>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etc.xlsx]Sheet2'!$S$2:$S$29</c:f>
              <c:numCache>
                <c:formatCode>_-"R"* #\ ##0_-;\-"R"* #\ ##0_-;_-"R"* "-"??_-;_-@_-</c:formatCode>
                <c:ptCount val="28"/>
                <c:pt idx="0">
                  <c:v>1318.2099417557299</c:v>
                </c:pt>
                <c:pt idx="1">
                  <c:v>1334.1131008257814</c:v>
                </c:pt>
                <c:pt idx="2">
                  <c:v>1371.9288593391709</c:v>
                </c:pt>
                <c:pt idx="3">
                  <c:v>1356.9359897255731</c:v>
                </c:pt>
                <c:pt idx="4">
                  <c:v>1299.2889893513313</c:v>
                </c:pt>
                <c:pt idx="5">
                  <c:v>1354.3855933382576</c:v>
                </c:pt>
                <c:pt idx="6">
                  <c:v>1376.0527314694202</c:v>
                </c:pt>
                <c:pt idx="7">
                  <c:v>1436.1392340690397</c:v>
                </c:pt>
                <c:pt idx="8">
                  <c:v>1694.2481848430746</c:v>
                </c:pt>
                <c:pt idx="9">
                  <c:v>2072.3506506887238</c:v>
                </c:pt>
                <c:pt idx="10">
                  <c:v>2523.437117950732</c:v>
                </c:pt>
                <c:pt idx="11">
                  <c:v>2955.3756093458505</c:v>
                </c:pt>
                <c:pt idx="12">
                  <c:v>3593.0418611742284</c:v>
                </c:pt>
                <c:pt idx="13">
                  <c:v>4575.6218320646922</c:v>
                </c:pt>
                <c:pt idx="14">
                  <c:v>5516.0107539503415</c:v>
                </c:pt>
                <c:pt idx="15">
                  <c:v>6410.1935928512858</c:v>
                </c:pt>
                <c:pt idx="16">
                  <c:v>6611.5480030925719</c:v>
                </c:pt>
                <c:pt idx="17">
                  <c:v>6927.4047414743345</c:v>
                </c:pt>
                <c:pt idx="18">
                  <c:v>7305.0773550992417</c:v>
                </c:pt>
                <c:pt idx="19">
                  <c:v>7468.1178445227706</c:v>
                </c:pt>
                <c:pt idx="20">
                  <c:v>7436.6964484535574</c:v>
                </c:pt>
                <c:pt idx="21">
                  <c:v>7505.1315736457</c:v>
                </c:pt>
                <c:pt idx="22">
                  <c:v>7562.4030301584853</c:v>
                </c:pt>
                <c:pt idx="23">
                  <c:v>7780.9553019717823</c:v>
                </c:pt>
                <c:pt idx="24">
                  <c:v>7816.6931222132444</c:v>
                </c:pt>
                <c:pt idx="25">
                  <c:v>7424.7533177082314</c:v>
                </c:pt>
                <c:pt idx="26">
                  <c:v>7399.31608758126</c:v>
                </c:pt>
                <c:pt idx="27">
                  <c:v>7139.427232816558</c:v>
                </c:pt>
              </c:numCache>
            </c:numRef>
          </c:val>
          <c:extLst>
            <c:ext xmlns:c16="http://schemas.microsoft.com/office/drawing/2014/chart" uri="{C3380CC4-5D6E-409C-BE32-E72D297353CC}">
              <c16:uniqueId val="{00000001-B20B-495E-B3D3-7B5094B2DBCE}"/>
            </c:ext>
          </c:extLst>
        </c:ser>
        <c:ser>
          <c:idx val="2"/>
          <c:order val="2"/>
          <c:tx>
            <c:strRef>
              <c:f>'[Results GVA GDP etc.xlsx]Sheet2'!$T$1</c:f>
              <c:strCache>
                <c:ptCount val="1"/>
                <c:pt idx="0">
                  <c:v>C: Visual art and crafts</c:v>
                </c:pt>
              </c:strCache>
            </c:strRef>
          </c:tx>
          <c:spPr>
            <a:solidFill>
              <a:schemeClr val="accent3"/>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etc.xlsx]Sheet2'!$T$2:$T$29</c:f>
              <c:numCache>
                <c:formatCode>_-"R"* #\ ##0_-;\-"R"* #\ ##0_-;_-"R"* "-"??_-;_-@_-</c:formatCode>
                <c:ptCount val="28"/>
                <c:pt idx="0">
                  <c:v>13652.829108459904</c:v>
                </c:pt>
                <c:pt idx="1">
                  <c:v>13726.455220806625</c:v>
                </c:pt>
                <c:pt idx="2">
                  <c:v>13672.633130875531</c:v>
                </c:pt>
                <c:pt idx="3">
                  <c:v>13160.692464530093</c:v>
                </c:pt>
                <c:pt idx="4">
                  <c:v>13978.796182437569</c:v>
                </c:pt>
                <c:pt idx="5">
                  <c:v>14009.153419901468</c:v>
                </c:pt>
                <c:pt idx="6">
                  <c:v>13998.50132369952</c:v>
                </c:pt>
                <c:pt idx="7">
                  <c:v>15038.432795586659</c:v>
                </c:pt>
                <c:pt idx="8">
                  <c:v>15435.144723177935</c:v>
                </c:pt>
                <c:pt idx="9">
                  <c:v>15378.118152978273</c:v>
                </c:pt>
                <c:pt idx="10">
                  <c:v>15454.188684695077</c:v>
                </c:pt>
                <c:pt idx="11">
                  <c:v>16128.474279590391</c:v>
                </c:pt>
                <c:pt idx="12">
                  <c:v>17000.691780531986</c:v>
                </c:pt>
                <c:pt idx="13">
                  <c:v>18013.301352606886</c:v>
                </c:pt>
                <c:pt idx="14">
                  <c:v>18897.614226067621</c:v>
                </c:pt>
                <c:pt idx="15">
                  <c:v>20317.06260857479</c:v>
                </c:pt>
                <c:pt idx="16">
                  <c:v>18635.173500075656</c:v>
                </c:pt>
                <c:pt idx="17">
                  <c:v>19566.377663581483</c:v>
                </c:pt>
                <c:pt idx="18">
                  <c:v>19610.174246199022</c:v>
                </c:pt>
                <c:pt idx="19">
                  <c:v>19990.477884824522</c:v>
                </c:pt>
                <c:pt idx="20">
                  <c:v>19675.549743286036</c:v>
                </c:pt>
                <c:pt idx="21">
                  <c:v>19660.84034531263</c:v>
                </c:pt>
                <c:pt idx="22">
                  <c:v>19129.826283439186</c:v>
                </c:pt>
                <c:pt idx="23">
                  <c:v>18871.386521992885</c:v>
                </c:pt>
                <c:pt idx="24">
                  <c:v>19065.413880463911</c:v>
                </c:pt>
                <c:pt idx="25">
                  <c:v>19666.069540407156</c:v>
                </c:pt>
                <c:pt idx="26">
                  <c:v>19052.139137194074</c:v>
                </c:pt>
                <c:pt idx="27">
                  <c:v>16553.514091825316</c:v>
                </c:pt>
              </c:numCache>
            </c:numRef>
          </c:val>
          <c:extLst>
            <c:ext xmlns:c16="http://schemas.microsoft.com/office/drawing/2014/chart" uri="{C3380CC4-5D6E-409C-BE32-E72D297353CC}">
              <c16:uniqueId val="{00000002-B20B-495E-B3D3-7B5094B2DBCE}"/>
            </c:ext>
          </c:extLst>
        </c:ser>
        <c:ser>
          <c:idx val="3"/>
          <c:order val="3"/>
          <c:tx>
            <c:strRef>
              <c:f>'[Results GVA GDP etc.xlsx]Sheet2'!$U$1</c:f>
              <c:strCache>
                <c:ptCount val="1"/>
                <c:pt idx="0">
                  <c:v>D: Books and Press</c:v>
                </c:pt>
              </c:strCache>
            </c:strRef>
          </c:tx>
          <c:spPr>
            <a:solidFill>
              <a:schemeClr val="accent4"/>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etc.xlsx]Sheet2'!$U$2:$U$29</c:f>
              <c:numCache>
                <c:formatCode>_-"R"* #\ ##0_-;\-"R"* #\ ##0_-;_-"R"* "-"??_-;_-@_-</c:formatCode>
                <c:ptCount val="28"/>
                <c:pt idx="0">
                  <c:v>16397.87021688114</c:v>
                </c:pt>
                <c:pt idx="1">
                  <c:v>16322.774050793601</c:v>
                </c:pt>
                <c:pt idx="2">
                  <c:v>15944.414827675824</c:v>
                </c:pt>
                <c:pt idx="3">
                  <c:v>15937.035923059693</c:v>
                </c:pt>
                <c:pt idx="4">
                  <c:v>16015.339546702122</c:v>
                </c:pt>
                <c:pt idx="5">
                  <c:v>16174.199206339712</c:v>
                </c:pt>
                <c:pt idx="6">
                  <c:v>16257.910958990684</c:v>
                </c:pt>
                <c:pt idx="7">
                  <c:v>17584.061258276055</c:v>
                </c:pt>
                <c:pt idx="8">
                  <c:v>16898.650115325505</c:v>
                </c:pt>
                <c:pt idx="9">
                  <c:v>16262.782676161898</c:v>
                </c:pt>
                <c:pt idx="10">
                  <c:v>16462.709813122547</c:v>
                </c:pt>
                <c:pt idx="11">
                  <c:v>17261.223544847286</c:v>
                </c:pt>
                <c:pt idx="12">
                  <c:v>17323.175955437742</c:v>
                </c:pt>
                <c:pt idx="13">
                  <c:v>18305.887956958046</c:v>
                </c:pt>
                <c:pt idx="14">
                  <c:v>19501.049741478881</c:v>
                </c:pt>
                <c:pt idx="15">
                  <c:v>20369.225205320035</c:v>
                </c:pt>
                <c:pt idx="16">
                  <c:v>20145.143206471279</c:v>
                </c:pt>
                <c:pt idx="17">
                  <c:v>21811.127294285452</c:v>
                </c:pt>
                <c:pt idx="18">
                  <c:v>22798.195764154865</c:v>
                </c:pt>
                <c:pt idx="19">
                  <c:v>23857.090374699048</c:v>
                </c:pt>
                <c:pt idx="20">
                  <c:v>23831.328502097549</c:v>
                </c:pt>
                <c:pt idx="21">
                  <c:v>23034.086607706598</c:v>
                </c:pt>
                <c:pt idx="22">
                  <c:v>22096.686116038396</c:v>
                </c:pt>
                <c:pt idx="23">
                  <c:v>21788.81781097014</c:v>
                </c:pt>
                <c:pt idx="24">
                  <c:v>22223.469687787801</c:v>
                </c:pt>
                <c:pt idx="25">
                  <c:v>21970.700869982476</c:v>
                </c:pt>
                <c:pt idx="26">
                  <c:v>21442.7912090135</c:v>
                </c:pt>
                <c:pt idx="27">
                  <c:v>18986.064585998229</c:v>
                </c:pt>
              </c:numCache>
            </c:numRef>
          </c:val>
          <c:extLst>
            <c:ext xmlns:c16="http://schemas.microsoft.com/office/drawing/2014/chart" uri="{C3380CC4-5D6E-409C-BE32-E72D297353CC}">
              <c16:uniqueId val="{00000003-B20B-495E-B3D3-7B5094B2DBCE}"/>
            </c:ext>
          </c:extLst>
        </c:ser>
        <c:ser>
          <c:idx val="4"/>
          <c:order val="4"/>
          <c:tx>
            <c:strRef>
              <c:f>'[Results GVA GDP etc.xlsx]Sheet2'!$V$1</c:f>
              <c:strCache>
                <c:ptCount val="1"/>
                <c:pt idx="0">
                  <c:v>E: Audio-visual and interactive media</c:v>
                </c:pt>
              </c:strCache>
            </c:strRef>
          </c:tx>
          <c:spPr>
            <a:solidFill>
              <a:schemeClr val="accent5"/>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etc.xlsx]Sheet2'!$V$2:$V$29</c:f>
              <c:numCache>
                <c:formatCode>_-"R"* #\ ##0_-;\-"R"* #\ ##0_-;_-"R"* "-"??_-;_-@_-</c:formatCode>
                <c:ptCount val="28"/>
                <c:pt idx="0">
                  <c:v>9329.9327362271288</c:v>
                </c:pt>
                <c:pt idx="1">
                  <c:v>9315.4748128609808</c:v>
                </c:pt>
                <c:pt idx="2">
                  <c:v>9326.164812540499</c:v>
                </c:pt>
                <c:pt idx="3">
                  <c:v>9326.1810925694372</c:v>
                </c:pt>
                <c:pt idx="4">
                  <c:v>9296.2375244830364</c:v>
                </c:pt>
                <c:pt idx="5">
                  <c:v>10880.266274753687</c:v>
                </c:pt>
                <c:pt idx="6">
                  <c:v>10862.97698944769</c:v>
                </c:pt>
                <c:pt idx="7">
                  <c:v>10928.429595195674</c:v>
                </c:pt>
                <c:pt idx="8">
                  <c:v>12861.522915262087</c:v>
                </c:pt>
                <c:pt idx="9">
                  <c:v>13719.656361005775</c:v>
                </c:pt>
                <c:pt idx="10">
                  <c:v>15708.666549637081</c:v>
                </c:pt>
                <c:pt idx="11">
                  <c:v>18576.886315070067</c:v>
                </c:pt>
                <c:pt idx="12">
                  <c:v>20357.957150943104</c:v>
                </c:pt>
                <c:pt idx="13">
                  <c:v>22433.53686512624</c:v>
                </c:pt>
                <c:pt idx="14">
                  <c:v>24648.97097668135</c:v>
                </c:pt>
                <c:pt idx="15">
                  <c:v>26053.297615419979</c:v>
                </c:pt>
                <c:pt idx="16">
                  <c:v>27059.840550722351</c:v>
                </c:pt>
                <c:pt idx="17">
                  <c:v>28128.261537527931</c:v>
                </c:pt>
                <c:pt idx="18">
                  <c:v>28142.863904748196</c:v>
                </c:pt>
                <c:pt idx="19">
                  <c:v>28831.548532924819</c:v>
                </c:pt>
                <c:pt idx="20">
                  <c:v>29604.243676950009</c:v>
                </c:pt>
                <c:pt idx="21">
                  <c:v>29227.513547811963</c:v>
                </c:pt>
                <c:pt idx="22">
                  <c:v>30030.008060579854</c:v>
                </c:pt>
                <c:pt idx="23">
                  <c:v>30230.253564572868</c:v>
                </c:pt>
                <c:pt idx="24">
                  <c:v>33012.03570581699</c:v>
                </c:pt>
                <c:pt idx="25">
                  <c:v>33762.86761617563</c:v>
                </c:pt>
                <c:pt idx="26">
                  <c:v>34094.610312286233</c:v>
                </c:pt>
                <c:pt idx="27">
                  <c:v>32981.558141941168</c:v>
                </c:pt>
              </c:numCache>
            </c:numRef>
          </c:val>
          <c:extLst>
            <c:ext xmlns:c16="http://schemas.microsoft.com/office/drawing/2014/chart" uri="{C3380CC4-5D6E-409C-BE32-E72D297353CC}">
              <c16:uniqueId val="{00000004-B20B-495E-B3D3-7B5094B2DBCE}"/>
            </c:ext>
          </c:extLst>
        </c:ser>
        <c:ser>
          <c:idx val="5"/>
          <c:order val="5"/>
          <c:tx>
            <c:strRef>
              <c:f>'[Results GVA GDP etc.xlsx]Sheet2'!$W$1</c:f>
              <c:strCache>
                <c:ptCount val="1"/>
                <c:pt idx="0">
                  <c:v>F: Design and creative services</c:v>
                </c:pt>
              </c:strCache>
            </c:strRef>
          </c:tx>
          <c:spPr>
            <a:solidFill>
              <a:schemeClr val="accent6"/>
            </a:solidFill>
            <a:ln>
              <a:noFill/>
            </a:ln>
            <a:effectLst/>
          </c:spPr>
          <c:invertIfNegative val="0"/>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etc.xlsx]Sheet2'!$W$2:$W$29</c:f>
              <c:numCache>
                <c:formatCode>_-"R"* #\ ##0_-;\-"R"* #\ ##0_-;_-"R"* "-"??_-;_-@_-</c:formatCode>
                <c:ptCount val="28"/>
                <c:pt idx="0">
                  <c:v>10891.504107863901</c:v>
                </c:pt>
                <c:pt idx="1">
                  <c:v>10911.006838788477</c:v>
                </c:pt>
                <c:pt idx="2">
                  <c:v>11739.71085162768</c:v>
                </c:pt>
                <c:pt idx="3">
                  <c:v>12594.180569161199</c:v>
                </c:pt>
                <c:pt idx="4">
                  <c:v>13356.660440529682</c:v>
                </c:pt>
                <c:pt idx="5">
                  <c:v>15711.567526080011</c:v>
                </c:pt>
                <c:pt idx="6">
                  <c:v>16635.540839526413</c:v>
                </c:pt>
                <c:pt idx="7">
                  <c:v>18319.574752734326</c:v>
                </c:pt>
                <c:pt idx="8">
                  <c:v>19535.465316562815</c:v>
                </c:pt>
                <c:pt idx="9">
                  <c:v>21595.317345959098</c:v>
                </c:pt>
                <c:pt idx="10">
                  <c:v>23591.710521500674</c:v>
                </c:pt>
                <c:pt idx="11">
                  <c:v>26098.516856742957</c:v>
                </c:pt>
                <c:pt idx="12">
                  <c:v>28568.848461564568</c:v>
                </c:pt>
                <c:pt idx="13">
                  <c:v>30338.032818754433</c:v>
                </c:pt>
                <c:pt idx="14">
                  <c:v>31552.263970657175</c:v>
                </c:pt>
                <c:pt idx="15">
                  <c:v>32067.760089511619</c:v>
                </c:pt>
                <c:pt idx="16">
                  <c:v>35073.428196071902</c:v>
                </c:pt>
                <c:pt idx="17">
                  <c:v>35967.109065546312</c:v>
                </c:pt>
                <c:pt idx="18">
                  <c:v>36953.352683035992</c:v>
                </c:pt>
                <c:pt idx="19">
                  <c:v>38026.076900938337</c:v>
                </c:pt>
                <c:pt idx="20">
                  <c:v>38888.981249576755</c:v>
                </c:pt>
                <c:pt idx="21">
                  <c:v>39026.301759828209</c:v>
                </c:pt>
                <c:pt idx="22">
                  <c:v>38616.728799570774</c:v>
                </c:pt>
                <c:pt idx="23">
                  <c:v>38988.888219058754</c:v>
                </c:pt>
                <c:pt idx="24">
                  <c:v>39555.564720841016</c:v>
                </c:pt>
                <c:pt idx="25">
                  <c:v>40511.140272125762</c:v>
                </c:pt>
                <c:pt idx="26">
                  <c:v>40195.775237625625</c:v>
                </c:pt>
                <c:pt idx="27">
                  <c:v>38601.738078133363</c:v>
                </c:pt>
              </c:numCache>
            </c:numRef>
          </c:val>
          <c:extLst>
            <c:ext xmlns:c16="http://schemas.microsoft.com/office/drawing/2014/chart" uri="{C3380CC4-5D6E-409C-BE32-E72D297353CC}">
              <c16:uniqueId val="{00000005-B20B-495E-B3D3-7B5094B2DBCE}"/>
            </c:ext>
          </c:extLst>
        </c:ser>
        <c:dLbls>
          <c:showLegendKey val="0"/>
          <c:showVal val="0"/>
          <c:showCatName val="0"/>
          <c:showSerName val="0"/>
          <c:showPercent val="0"/>
          <c:showBubbleSize val="0"/>
        </c:dLbls>
        <c:gapWidth val="219"/>
        <c:overlap val="100"/>
        <c:axId val="564999040"/>
        <c:axId val="564962016"/>
      </c:barChart>
      <c:lineChart>
        <c:grouping val="standard"/>
        <c:varyColors val="0"/>
        <c:ser>
          <c:idx val="6"/>
          <c:order val="6"/>
          <c:tx>
            <c:strRef>
              <c:f>'[Results GVA GDP etc.xlsx]Sheet2'!$AA$1</c:f>
              <c:strCache>
                <c:ptCount val="1"/>
                <c:pt idx="0">
                  <c:v>GDP</c:v>
                </c:pt>
              </c:strCache>
            </c:strRef>
          </c:tx>
          <c:spPr>
            <a:ln w="28575" cap="rnd">
              <a:solidFill>
                <a:schemeClr val="accent1">
                  <a:lumMod val="60000"/>
                </a:schemeClr>
              </a:solidFill>
              <a:round/>
            </a:ln>
            <a:effectLst/>
          </c:spPr>
          <c:marker>
            <c:symbol val="none"/>
          </c:marker>
          <c:cat>
            <c:numRef>
              <c:f>'[Results GVA GDP etc.xlsx]Sheet2'!$Q$2:$Q$29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etc.xlsx]Sheet2'!$AA$2:$AA$29</c:f>
              <c:numCache>
                <c:formatCode>General</c:formatCode>
                <c:ptCount val="28"/>
                <c:pt idx="0">
                  <c:v>2315155.7916346001</c:v>
                </c:pt>
                <c:pt idx="1">
                  <c:v>2389240.7769668</c:v>
                </c:pt>
                <c:pt idx="2">
                  <c:v>2463307.2410527999</c:v>
                </c:pt>
                <c:pt idx="3">
                  <c:v>2569229.4524181001</c:v>
                </c:pt>
                <c:pt idx="4">
                  <c:v>2636029.4181809002</c:v>
                </c:pt>
                <c:pt idx="5">
                  <c:v>2649209.5652717999</c:v>
                </c:pt>
                <c:pt idx="6">
                  <c:v>2712790.5948382998</c:v>
                </c:pt>
                <c:pt idx="7">
                  <c:v>2826727.7998215999</c:v>
                </c:pt>
                <c:pt idx="8">
                  <c:v>2903049.4504168001</c:v>
                </c:pt>
                <c:pt idx="9">
                  <c:v>3010473.1491991002</c:v>
                </c:pt>
                <c:pt idx="10">
                  <c:v>3099254.2742798999</c:v>
                </c:pt>
                <c:pt idx="11">
                  <c:v>3240411.6668660999</c:v>
                </c:pt>
                <c:pt idx="12">
                  <c:v>3411409.8747089002</c:v>
                </c:pt>
                <c:pt idx="13">
                  <c:v>3602578.6815710999</c:v>
                </c:pt>
                <c:pt idx="14">
                  <c:v>3795693.9770944999</c:v>
                </c:pt>
                <c:pt idx="15">
                  <c:v>3916816.2376529002</c:v>
                </c:pt>
                <c:pt idx="16">
                  <c:v>3856572.1126848999</c:v>
                </c:pt>
                <c:pt idx="17">
                  <c:v>3973801.6033111</c:v>
                </c:pt>
                <c:pt idx="18">
                  <c:v>4099713.7435233998</c:v>
                </c:pt>
                <c:pt idx="19">
                  <c:v>4197952.4119133996</c:v>
                </c:pt>
                <c:pt idx="20">
                  <c:v>4302291.1761430996</c:v>
                </c:pt>
                <c:pt idx="21">
                  <c:v>4363118.1068003997</c:v>
                </c:pt>
                <c:pt idx="22">
                  <c:v>4420792.5174145</c:v>
                </c:pt>
                <c:pt idx="23">
                  <c:v>4450170.9961147998</c:v>
                </c:pt>
                <c:pt idx="24">
                  <c:v>4501701.6154848998</c:v>
                </c:pt>
                <c:pt idx="25">
                  <c:v>4568669.7107832003</c:v>
                </c:pt>
                <c:pt idx="26">
                  <c:v>4573834.7608193001</c:v>
                </c:pt>
                <c:pt idx="27">
                  <c:v>4279646.8603863996</c:v>
                </c:pt>
              </c:numCache>
            </c:numRef>
          </c:val>
          <c:smooth val="0"/>
          <c:extLst>
            <c:ext xmlns:c16="http://schemas.microsoft.com/office/drawing/2014/chart" uri="{C3380CC4-5D6E-409C-BE32-E72D297353CC}">
              <c16:uniqueId val="{00000006-B20B-495E-B3D3-7B5094B2DBCE}"/>
            </c:ext>
          </c:extLst>
        </c:ser>
        <c:dLbls>
          <c:showLegendKey val="0"/>
          <c:showVal val="0"/>
          <c:showCatName val="0"/>
          <c:showSerName val="0"/>
          <c:showPercent val="0"/>
          <c:showBubbleSize val="0"/>
        </c:dLbls>
        <c:marker val="1"/>
        <c:smooth val="0"/>
        <c:axId val="573767760"/>
        <c:axId val="573774416"/>
      </c:lineChart>
      <c:catAx>
        <c:axId val="564999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962016"/>
        <c:crosses val="autoZero"/>
        <c:auto val="1"/>
        <c:lblAlgn val="ctr"/>
        <c:lblOffset val="100"/>
        <c:noMultiLvlLbl val="0"/>
      </c:catAx>
      <c:valAx>
        <c:axId val="5649620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sz="1000" b="0" i="0" baseline="0">
                    <a:effectLst/>
                  </a:rPr>
                  <a:t>Rand million: Constant 2015-prices</a:t>
                </a:r>
                <a:endParaRPr lang="en-Z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quot;R&quot;* #\ ##0_-;\-&quot;R&quot;* #\ ##0_-;_-&quot;R&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999040"/>
        <c:crosses val="autoZero"/>
        <c:crossBetween val="between"/>
      </c:valAx>
      <c:valAx>
        <c:axId val="57377441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ZA" sz="1000" b="0" i="0" baseline="0">
                    <a:effectLst/>
                  </a:rPr>
                  <a:t>Rand million: Constant 2015-prices</a:t>
                </a:r>
                <a:endParaRPr lang="en-ZA"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R&quot;#,##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3767760"/>
        <c:crosses val="max"/>
        <c:crossBetween val="between"/>
      </c:valAx>
      <c:catAx>
        <c:axId val="573767760"/>
        <c:scaling>
          <c:orientation val="minMax"/>
        </c:scaling>
        <c:delete val="1"/>
        <c:axPos val="b"/>
        <c:numFmt formatCode="General" sourceLinked="1"/>
        <c:majorTickMark val="out"/>
        <c:minorTickMark val="none"/>
        <c:tickLblPos val="nextTo"/>
        <c:crossAx val="5737744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'[Results GVA GDP etc.xlsx]Sheet2'!$AC$1</c:f>
              <c:strCache>
                <c:ptCount val="1"/>
                <c:pt idx="0">
                  <c:v>A: Cultural and natural heritage</c:v>
                </c:pt>
              </c:strCache>
            </c:strRef>
          </c:tx>
          <c:spPr>
            <a:ln w="28575" cap="rnd">
              <a:solidFill>
                <a:schemeClr val="accent1"/>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etc.xlsx]Sheet2'!$AC$2:$AC$29</c:f>
              <c:numCache>
                <c:formatCode>0.000%</c:formatCode>
                <c:ptCount val="28"/>
                <c:pt idx="0">
                  <c:v>4.8199934854289896E-4</c:v>
                </c:pt>
                <c:pt idx="1">
                  <c:v>4.764300495006608E-4</c:v>
                </c:pt>
                <c:pt idx="2">
                  <c:v>4.7380663556047985E-4</c:v>
                </c:pt>
                <c:pt idx="3">
                  <c:v>4.6250956438320629E-4</c:v>
                </c:pt>
                <c:pt idx="4">
                  <c:v>4.3836300693250306E-4</c:v>
                </c:pt>
                <c:pt idx="5">
                  <c:v>4.4713164141302862E-4</c:v>
                </c:pt>
                <c:pt idx="6">
                  <c:v>4.5734543515737672E-4</c:v>
                </c:pt>
                <c:pt idx="7">
                  <c:v>4.6456168959154803E-4</c:v>
                </c:pt>
                <c:pt idx="8">
                  <c:v>5.1102366445941456E-4</c:v>
                </c:pt>
                <c:pt idx="9">
                  <c:v>5.8158807342909154E-4</c:v>
                </c:pt>
                <c:pt idx="10">
                  <c:v>6.6359205175701324E-4</c:v>
                </c:pt>
                <c:pt idx="11">
                  <c:v>7.2544715443631448E-4</c:v>
                </c:pt>
                <c:pt idx="12">
                  <c:v>8.2442541896417525E-4</c:v>
                </c:pt>
                <c:pt idx="13">
                  <c:v>9.6418763771431108E-4</c:v>
                </c:pt>
                <c:pt idx="14">
                  <c:v>1.0712586239305737E-3</c:v>
                </c:pt>
                <c:pt idx="15">
                  <c:v>1.1963406503402061E-3</c:v>
                </c:pt>
                <c:pt idx="16">
                  <c:v>1.2462638091302223E-3</c:v>
                </c:pt>
                <c:pt idx="17">
                  <c:v>1.2557237785184713E-3</c:v>
                </c:pt>
                <c:pt idx="18">
                  <c:v>1.2870340758093228E-3</c:v>
                </c:pt>
                <c:pt idx="19">
                  <c:v>1.2868658355428607E-3</c:v>
                </c:pt>
                <c:pt idx="20">
                  <c:v>1.2532171966109359E-3</c:v>
                </c:pt>
                <c:pt idx="21">
                  <c:v>1.2473277536241244E-3</c:v>
                </c:pt>
                <c:pt idx="22">
                  <c:v>1.2441038554817084E-3</c:v>
                </c:pt>
                <c:pt idx="23">
                  <c:v>1.2690863253529406E-3</c:v>
                </c:pt>
                <c:pt idx="24">
                  <c:v>1.2667279581991711E-3</c:v>
                </c:pt>
                <c:pt idx="25">
                  <c:v>1.2004239131115407E-3</c:v>
                </c:pt>
                <c:pt idx="26">
                  <c:v>1.1985530236043374E-3</c:v>
                </c:pt>
                <c:pt idx="27">
                  <c:v>1.2244174500109807E-3</c:v>
                </c:pt>
              </c:numCache>
            </c:numRef>
          </c:val>
          <c:smooth val="0"/>
          <c:extLst>
            <c:ext xmlns:c16="http://schemas.microsoft.com/office/drawing/2014/chart" uri="{C3380CC4-5D6E-409C-BE32-E72D297353CC}">
              <c16:uniqueId val="{00000000-D706-4B53-8153-BF7CFF7DD621}"/>
            </c:ext>
          </c:extLst>
        </c:ser>
        <c:ser>
          <c:idx val="1"/>
          <c:order val="1"/>
          <c:tx>
            <c:strRef>
              <c:f>'[Results GVA GDP etc.xlsx]Sheet2'!$AD$1</c:f>
              <c:strCache>
                <c:ptCount val="1"/>
                <c:pt idx="0">
                  <c:v>B: Performance and celebration</c:v>
                </c:pt>
              </c:strCache>
            </c:strRef>
          </c:tx>
          <c:spPr>
            <a:ln w="28575" cap="rnd">
              <a:solidFill>
                <a:schemeClr val="accent2"/>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etc.xlsx]Sheet2'!$AD$2:$AD$29</c:f>
              <c:numCache>
                <c:formatCode>0.000%</c:formatCode>
                <c:ptCount val="28"/>
                <c:pt idx="0">
                  <c:v>6.2576244623683218E-4</c:v>
                </c:pt>
                <c:pt idx="1">
                  <c:v>6.1101009958670883E-4</c:v>
                </c:pt>
                <c:pt idx="2">
                  <c:v>6.0655890489272628E-4</c:v>
                </c:pt>
                <c:pt idx="3">
                  <c:v>5.8336548879344276E-4</c:v>
                </c:pt>
                <c:pt idx="4">
                  <c:v>5.4121433660944294E-4</c:v>
                </c:pt>
                <c:pt idx="5">
                  <c:v>5.5358757218205762E-4</c:v>
                </c:pt>
                <c:pt idx="6">
                  <c:v>5.466107535514104E-4</c:v>
                </c:pt>
                <c:pt idx="7">
                  <c:v>5.4318263818951633E-4</c:v>
                </c:pt>
                <c:pt idx="8">
                  <c:v>6.2489039976666651E-4</c:v>
                </c:pt>
                <c:pt idx="9">
                  <c:v>7.4307581256579118E-4</c:v>
                </c:pt>
                <c:pt idx="10">
                  <c:v>8.8333754465077564E-4</c:v>
                </c:pt>
                <c:pt idx="11">
                  <c:v>9.8950908596885851E-4</c:v>
                </c:pt>
                <c:pt idx="12">
                  <c:v>1.151138488988029E-3</c:v>
                </c:pt>
                <c:pt idx="13">
                  <c:v>1.3967266838194859E-3</c:v>
                </c:pt>
                <c:pt idx="14">
                  <c:v>1.5906493737065069E-3</c:v>
                </c:pt>
                <c:pt idx="15">
                  <c:v>1.8150055384238656E-3</c:v>
                </c:pt>
                <c:pt idx="16">
                  <c:v>1.8879905268381137E-3</c:v>
                </c:pt>
                <c:pt idx="17">
                  <c:v>1.9129307126325777E-3</c:v>
                </c:pt>
                <c:pt idx="18">
                  <c:v>1.962481864637104E-3</c:v>
                </c:pt>
                <c:pt idx="19">
                  <c:v>1.9608952762086604E-3</c:v>
                </c:pt>
                <c:pt idx="20">
                  <c:v>1.9035174666478104E-3</c:v>
                </c:pt>
                <c:pt idx="21">
                  <c:v>1.8912837355408165E-3</c:v>
                </c:pt>
                <c:pt idx="22">
                  <c:v>1.8793776735951564E-3</c:v>
                </c:pt>
                <c:pt idx="23">
                  <c:v>1.9144286383586517E-3</c:v>
                </c:pt>
                <c:pt idx="24">
                  <c:v>1.9038311980964975E-3</c:v>
                </c:pt>
                <c:pt idx="25">
                  <c:v>1.7846605569332406E-3</c:v>
                </c:pt>
                <c:pt idx="26">
                  <c:v>1.776272132994563E-3</c:v>
                </c:pt>
                <c:pt idx="27">
                  <c:v>1.8221090227042316E-3</c:v>
                </c:pt>
              </c:numCache>
            </c:numRef>
          </c:val>
          <c:smooth val="0"/>
          <c:extLst>
            <c:ext xmlns:c16="http://schemas.microsoft.com/office/drawing/2014/chart" uri="{C3380CC4-5D6E-409C-BE32-E72D297353CC}">
              <c16:uniqueId val="{00000001-D706-4B53-8153-BF7CFF7DD621}"/>
            </c:ext>
          </c:extLst>
        </c:ser>
        <c:ser>
          <c:idx val="2"/>
          <c:order val="2"/>
          <c:tx>
            <c:strRef>
              <c:f>'[Results GVA GDP etc.xlsx]Sheet2'!$AE$1</c:f>
              <c:strCache>
                <c:ptCount val="1"/>
                <c:pt idx="0">
                  <c:v>C: Visual art and crafts</c:v>
                </c:pt>
              </c:strCache>
            </c:strRef>
          </c:tx>
          <c:spPr>
            <a:ln w="28575" cap="rnd">
              <a:solidFill>
                <a:schemeClr val="accent3"/>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etc.xlsx]Sheet2'!$AE$2:$AE$29</c:f>
              <c:numCache>
                <c:formatCode>0.000%</c:formatCode>
                <c:ptCount val="28"/>
                <c:pt idx="0">
                  <c:v>6.4810827701574361E-3</c:v>
                </c:pt>
                <c:pt idx="1">
                  <c:v>6.2865755281514123E-3</c:v>
                </c:pt>
                <c:pt idx="2">
                  <c:v>6.0449616774287812E-3</c:v>
                </c:pt>
                <c:pt idx="3">
                  <c:v>5.6579631246890831E-3</c:v>
                </c:pt>
                <c:pt idx="4">
                  <c:v>5.8228192222683599E-3</c:v>
                </c:pt>
                <c:pt idx="5">
                  <c:v>5.7260600439009096E-3</c:v>
                </c:pt>
                <c:pt idx="6">
                  <c:v>5.560638180607291E-3</c:v>
                </c:pt>
                <c:pt idx="7">
                  <c:v>5.6878994782408503E-3</c:v>
                </c:pt>
                <c:pt idx="8">
                  <c:v>5.6929520968714399E-3</c:v>
                </c:pt>
                <c:pt idx="9">
                  <c:v>5.5140801767593704E-3</c:v>
                </c:pt>
                <c:pt idx="10">
                  <c:v>5.4097900796491651E-3</c:v>
                </c:pt>
                <c:pt idx="11">
                  <c:v>5.4000824098301989E-3</c:v>
                </c:pt>
                <c:pt idx="12">
                  <c:v>5.4466803906362358E-3</c:v>
                </c:pt>
                <c:pt idx="13">
                  <c:v>5.4986315710262041E-3</c:v>
                </c:pt>
                <c:pt idx="14">
                  <c:v>5.4494959444584589E-3</c:v>
                </c:pt>
                <c:pt idx="15">
                  <c:v>5.7526470339666035E-3</c:v>
                </c:pt>
                <c:pt idx="16">
                  <c:v>5.321451348106453E-3</c:v>
                </c:pt>
                <c:pt idx="17">
                  <c:v>5.4030515271534683E-3</c:v>
                </c:pt>
                <c:pt idx="18">
                  <c:v>5.2682003830767576E-3</c:v>
                </c:pt>
                <c:pt idx="19">
                  <c:v>5.2488772230951612E-3</c:v>
                </c:pt>
                <c:pt idx="20">
                  <c:v>5.036208330115588E-3</c:v>
                </c:pt>
                <c:pt idx="21">
                  <c:v>4.9545070872211005E-3</c:v>
                </c:pt>
                <c:pt idx="22">
                  <c:v>4.7540666998934023E-3</c:v>
                </c:pt>
                <c:pt idx="23">
                  <c:v>4.643121750626613E-3</c:v>
                </c:pt>
                <c:pt idx="24">
                  <c:v>4.6435659149903861E-3</c:v>
                </c:pt>
                <c:pt idx="25">
                  <c:v>4.7270605657649244E-3</c:v>
                </c:pt>
                <c:pt idx="26">
                  <c:v>4.5736367284176056E-3</c:v>
                </c:pt>
                <c:pt idx="27">
                  <c:v>4.2247517063462381E-3</c:v>
                </c:pt>
              </c:numCache>
            </c:numRef>
          </c:val>
          <c:smooth val="0"/>
          <c:extLst>
            <c:ext xmlns:c16="http://schemas.microsoft.com/office/drawing/2014/chart" uri="{C3380CC4-5D6E-409C-BE32-E72D297353CC}">
              <c16:uniqueId val="{00000002-D706-4B53-8153-BF7CFF7DD621}"/>
            </c:ext>
          </c:extLst>
        </c:ser>
        <c:ser>
          <c:idx val="3"/>
          <c:order val="3"/>
          <c:tx>
            <c:strRef>
              <c:f>'[Results GVA GDP etc.xlsx]Sheet2'!$AF$1</c:f>
              <c:strCache>
                <c:ptCount val="1"/>
                <c:pt idx="0">
                  <c:v>D: Books and Press</c:v>
                </c:pt>
              </c:strCache>
            </c:strRef>
          </c:tx>
          <c:spPr>
            <a:ln w="28575" cap="rnd">
              <a:solidFill>
                <a:schemeClr val="accent4"/>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etc.xlsx]Sheet2'!$AF$2:$AF$29</c:f>
              <c:numCache>
                <c:formatCode>0.000%</c:formatCode>
                <c:ptCount val="28"/>
                <c:pt idx="0">
                  <c:v>7.7841708326996341E-3</c:v>
                </c:pt>
                <c:pt idx="1">
                  <c:v>7.4756628895507301E-3</c:v>
                </c:pt>
                <c:pt idx="2">
                  <c:v>7.0493646454006511E-3</c:v>
                </c:pt>
                <c:pt idx="3">
                  <c:v>6.8515514523677899E-3</c:v>
                </c:pt>
                <c:pt idx="4">
                  <c:v>6.6711343199103998E-3</c:v>
                </c:pt>
                <c:pt idx="5">
                  <c:v>6.6109944720818851E-3</c:v>
                </c:pt>
                <c:pt idx="6">
                  <c:v>6.4581456489504587E-3</c:v>
                </c:pt>
                <c:pt idx="7">
                  <c:v>6.6507178118756765E-3</c:v>
                </c:pt>
                <c:pt idx="8">
                  <c:v>6.2327375177686E-3</c:v>
                </c:pt>
                <c:pt idx="9">
                  <c:v>5.8312913635796739E-3</c:v>
                </c:pt>
                <c:pt idx="10">
                  <c:v>5.7628262504244507E-3</c:v>
                </c:pt>
                <c:pt idx="11">
                  <c:v>5.7793457720071439E-3</c:v>
                </c:pt>
                <c:pt idx="12">
                  <c:v>5.5499978470329846E-3</c:v>
                </c:pt>
                <c:pt idx="13">
                  <c:v>5.5879447906549756E-3</c:v>
                </c:pt>
                <c:pt idx="14">
                  <c:v>5.6235083544186422E-3</c:v>
                </c:pt>
                <c:pt idx="15">
                  <c:v>5.7674165414112414E-3</c:v>
                </c:pt>
                <c:pt idx="16">
                  <c:v>5.7526375846964298E-3</c:v>
                </c:pt>
                <c:pt idx="17">
                  <c:v>6.0229157722777359E-3</c:v>
                </c:pt>
                <c:pt idx="18">
                  <c:v>6.1246505079606437E-3</c:v>
                </c:pt>
                <c:pt idx="19">
                  <c:v>6.2641293018883652E-3</c:v>
                </c:pt>
                <c:pt idx="20">
                  <c:v>6.0999329973455731E-3</c:v>
                </c:pt>
                <c:pt idx="21">
                  <c:v>5.8045609109864471E-3</c:v>
                </c:pt>
                <c:pt idx="22">
                  <c:v>5.4913786505838115E-3</c:v>
                </c:pt>
                <c:pt idx="23">
                  <c:v>5.3609274432831816E-3</c:v>
                </c:pt>
                <c:pt idx="24">
                  <c:v>5.4127409455704111E-3</c:v>
                </c:pt>
                <c:pt idx="25">
                  <c:v>5.2810162941466484E-3</c:v>
                </c:pt>
                <c:pt idx="26">
                  <c:v>5.1475341811816041E-3</c:v>
                </c:pt>
                <c:pt idx="27">
                  <c:v>4.8455819297068166E-3</c:v>
                </c:pt>
              </c:numCache>
            </c:numRef>
          </c:val>
          <c:smooth val="0"/>
          <c:extLst>
            <c:ext xmlns:c16="http://schemas.microsoft.com/office/drawing/2014/chart" uri="{C3380CC4-5D6E-409C-BE32-E72D297353CC}">
              <c16:uniqueId val="{00000003-D706-4B53-8153-BF7CFF7DD621}"/>
            </c:ext>
          </c:extLst>
        </c:ser>
        <c:ser>
          <c:idx val="4"/>
          <c:order val="4"/>
          <c:tx>
            <c:strRef>
              <c:f>'[Results GVA GDP etc.xlsx]Sheet2'!$AG$1</c:f>
              <c:strCache>
                <c:ptCount val="1"/>
                <c:pt idx="0">
                  <c:v>E: Audio-visual and interactive media</c:v>
                </c:pt>
              </c:strCache>
            </c:strRef>
          </c:tx>
          <c:spPr>
            <a:ln w="28575" cap="rnd">
              <a:solidFill>
                <a:schemeClr val="accent5"/>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etc.xlsx]Sheet2'!$AG$2:$AG$29</c:f>
              <c:numCache>
                <c:formatCode>0.000%</c:formatCode>
                <c:ptCount val="28"/>
                <c:pt idx="0">
                  <c:v>4.4289770144431634E-3</c:v>
                </c:pt>
                <c:pt idx="1">
                  <c:v>4.2663917996012173E-3</c:v>
                </c:pt>
                <c:pt idx="2">
                  <c:v>4.1232956629168342E-3</c:v>
                </c:pt>
                <c:pt idx="3">
                  <c:v>4.0094538230526526E-3</c:v>
                </c:pt>
                <c:pt idx="4">
                  <c:v>3.8723156018498598E-3</c:v>
                </c:pt>
                <c:pt idx="5">
                  <c:v>4.4471679419517615E-3</c:v>
                </c:pt>
                <c:pt idx="6">
                  <c:v>4.3151108254935273E-3</c:v>
                </c:pt>
                <c:pt idx="7">
                  <c:v>4.13339673338484E-3</c:v>
                </c:pt>
                <c:pt idx="8">
                  <c:v>4.7437218868088549E-3</c:v>
                </c:pt>
                <c:pt idx="9">
                  <c:v>4.9194111021653962E-3</c:v>
                </c:pt>
                <c:pt idx="10">
                  <c:v>5.4988709015118438E-3</c:v>
                </c:pt>
                <c:pt idx="11">
                  <c:v>6.219851628890276E-3</c:v>
                </c:pt>
                <c:pt idx="12">
                  <c:v>6.5222808247385787E-3</c:v>
                </c:pt>
                <c:pt idx="13">
                  <c:v>6.8479259654705988E-3</c:v>
                </c:pt>
                <c:pt idx="14">
                  <c:v>7.1080119302684422E-3</c:v>
                </c:pt>
                <c:pt idx="15">
                  <c:v>7.3768254860395116E-3</c:v>
                </c:pt>
                <c:pt idx="16">
                  <c:v>7.7271952942966973E-3</c:v>
                </c:pt>
                <c:pt idx="17">
                  <c:v>7.7673266390736679E-3</c:v>
                </c:pt>
                <c:pt idx="18">
                  <c:v>7.5604757276753268E-3</c:v>
                </c:pt>
                <c:pt idx="19">
                  <c:v>7.5702671678456578E-3</c:v>
                </c:pt>
                <c:pt idx="20">
                  <c:v>7.577584390672641E-3</c:v>
                </c:pt>
                <c:pt idx="21">
                  <c:v>7.365296725427556E-3</c:v>
                </c:pt>
                <c:pt idx="22">
                  <c:v>7.4629355856684083E-3</c:v>
                </c:pt>
                <c:pt idx="23">
                  <c:v>7.4378608953319866E-3</c:v>
                </c:pt>
                <c:pt idx="24">
                  <c:v>8.0404005257423417E-3</c:v>
                </c:pt>
                <c:pt idx="25">
                  <c:v>8.1154559007148297E-3</c:v>
                </c:pt>
                <c:pt idx="26">
                  <c:v>8.184716731410753E-3</c:v>
                </c:pt>
                <c:pt idx="27">
                  <c:v>8.4174812227292492E-3</c:v>
                </c:pt>
              </c:numCache>
            </c:numRef>
          </c:val>
          <c:smooth val="0"/>
          <c:extLst>
            <c:ext xmlns:c16="http://schemas.microsoft.com/office/drawing/2014/chart" uri="{C3380CC4-5D6E-409C-BE32-E72D297353CC}">
              <c16:uniqueId val="{00000004-D706-4B53-8153-BF7CFF7DD621}"/>
            </c:ext>
          </c:extLst>
        </c:ser>
        <c:ser>
          <c:idx val="5"/>
          <c:order val="5"/>
          <c:tx>
            <c:strRef>
              <c:f>'[Results GVA GDP etc.xlsx]Sheet2'!$AH$1</c:f>
              <c:strCache>
                <c:ptCount val="1"/>
                <c:pt idx="0">
                  <c:v>F: Design and creative services</c:v>
                </c:pt>
              </c:strCache>
            </c:strRef>
          </c:tx>
          <c:spPr>
            <a:ln w="28575" cap="rnd">
              <a:solidFill>
                <a:schemeClr val="accent6"/>
              </a:solidFill>
              <a:round/>
            </a:ln>
            <a:effectLst/>
          </c:spPr>
          <c:marker>
            <c:symbol val="none"/>
          </c:marker>
          <c:cat>
            <c:numRef>
              <c:f>'[Results GVA GDP etc.xlsx]Sheet2'!$AB$2:$AB$29</c:f>
              <c:numCache>
                <c:formatCode>General</c:formatCode>
                <c:ptCount val="28"/>
                <c:pt idx="0">
                  <c:v>1993</c:v>
                </c:pt>
                <c:pt idx="1">
                  <c:v>1994</c:v>
                </c:pt>
                <c:pt idx="2">
                  <c:v>1995</c:v>
                </c:pt>
                <c:pt idx="3">
                  <c:v>1996</c:v>
                </c:pt>
                <c:pt idx="4">
                  <c:v>1997</c:v>
                </c:pt>
                <c:pt idx="5">
                  <c:v>1998</c:v>
                </c:pt>
                <c:pt idx="6">
                  <c:v>1999</c:v>
                </c:pt>
                <c:pt idx="7">
                  <c:v>2000</c:v>
                </c:pt>
                <c:pt idx="8">
                  <c:v>2001</c:v>
                </c:pt>
                <c:pt idx="9">
                  <c:v>2002</c:v>
                </c:pt>
                <c:pt idx="10">
                  <c:v>2003</c:v>
                </c:pt>
                <c:pt idx="11">
                  <c:v>2004</c:v>
                </c:pt>
                <c:pt idx="12">
                  <c:v>2005</c:v>
                </c:pt>
                <c:pt idx="13">
                  <c:v>2006</c:v>
                </c:pt>
                <c:pt idx="14">
                  <c:v>2007</c:v>
                </c:pt>
                <c:pt idx="15">
                  <c:v>2008</c:v>
                </c:pt>
                <c:pt idx="16">
                  <c:v>2009</c:v>
                </c:pt>
                <c:pt idx="17">
                  <c:v>2010</c:v>
                </c:pt>
                <c:pt idx="18">
                  <c:v>2011</c:v>
                </c:pt>
                <c:pt idx="19">
                  <c:v>2012</c:v>
                </c:pt>
                <c:pt idx="20">
                  <c:v>2013</c:v>
                </c:pt>
                <c:pt idx="21">
                  <c:v>2014</c:v>
                </c:pt>
                <c:pt idx="22">
                  <c:v>2015</c:v>
                </c:pt>
                <c:pt idx="23">
                  <c:v>2016</c:v>
                </c:pt>
                <c:pt idx="24">
                  <c:v>2017</c:v>
                </c:pt>
                <c:pt idx="25">
                  <c:v>2018</c:v>
                </c:pt>
                <c:pt idx="26">
                  <c:v>2019</c:v>
                </c:pt>
                <c:pt idx="27">
                  <c:v>2020</c:v>
                </c:pt>
              </c:numCache>
            </c:numRef>
          </c:cat>
          <c:val>
            <c:numRef>
              <c:f>'[Results GVA GDP etc.xlsx]Sheet2'!$AH$2:$AH$29</c:f>
              <c:numCache>
                <c:formatCode>0.000%</c:formatCode>
                <c:ptCount val="28"/>
                <c:pt idx="0">
                  <c:v>5.1702646428670026E-3</c:v>
                </c:pt>
                <c:pt idx="1">
                  <c:v>4.9971290822591217E-3</c:v>
                </c:pt>
                <c:pt idx="2">
                  <c:v>5.1903756593840375E-3</c:v>
                </c:pt>
                <c:pt idx="3">
                  <c:v>5.41441185089907E-3</c:v>
                </c:pt>
                <c:pt idx="4">
                  <c:v>5.5636707298257334E-3</c:v>
                </c:pt>
                <c:pt idx="5">
                  <c:v>6.421899763788195E-3</c:v>
                </c:pt>
                <c:pt idx="6">
                  <c:v>6.608151930572197E-3</c:v>
                </c:pt>
                <c:pt idx="7">
                  <c:v>6.9289068278611757E-3</c:v>
                </c:pt>
                <c:pt idx="8">
                  <c:v>7.2052753784862264E-3</c:v>
                </c:pt>
                <c:pt idx="9">
                  <c:v>7.7433604101369829E-3</c:v>
                </c:pt>
                <c:pt idx="10">
                  <c:v>8.2583566271300073E-3</c:v>
                </c:pt>
                <c:pt idx="11">
                  <c:v>8.7382190874122669E-3</c:v>
                </c:pt>
                <c:pt idx="12">
                  <c:v>9.1528855829767133E-3</c:v>
                </c:pt>
                <c:pt idx="13">
                  <c:v>9.2608046573256463E-3</c:v>
                </c:pt>
                <c:pt idx="14">
                  <c:v>9.0987112177047871E-3</c:v>
                </c:pt>
                <c:pt idx="15">
                  <c:v>9.0797822755649925E-3</c:v>
                </c:pt>
                <c:pt idx="16">
                  <c:v>1.0015551599556825E-2</c:v>
                </c:pt>
                <c:pt idx="17">
                  <c:v>9.9319427900853609E-3</c:v>
                </c:pt>
                <c:pt idx="18">
                  <c:v>9.927380772686123E-3</c:v>
                </c:pt>
                <c:pt idx="19">
                  <c:v>9.9844641073097741E-3</c:v>
                </c:pt>
                <c:pt idx="20">
                  <c:v>9.9541315934849051E-3</c:v>
                </c:pt>
                <c:pt idx="21">
                  <c:v>9.8345790546636759E-3</c:v>
                </c:pt>
                <c:pt idx="22">
                  <c:v>9.5968725342679122E-3</c:v>
                </c:pt>
                <c:pt idx="23">
                  <c:v>9.592838062623921E-3</c:v>
                </c:pt>
                <c:pt idx="24">
                  <c:v>9.6341402939123695E-3</c:v>
                </c:pt>
                <c:pt idx="25">
                  <c:v>9.7375132972591094E-3</c:v>
                </c:pt>
                <c:pt idx="26">
                  <c:v>9.6493560450188285E-3</c:v>
                </c:pt>
                <c:pt idx="27">
                  <c:v>9.8518512690945938E-3</c:v>
                </c:pt>
              </c:numCache>
            </c:numRef>
          </c:val>
          <c:smooth val="0"/>
          <c:extLst>
            <c:ext xmlns:c16="http://schemas.microsoft.com/office/drawing/2014/chart" uri="{C3380CC4-5D6E-409C-BE32-E72D297353CC}">
              <c16:uniqueId val="{00000005-D706-4B53-8153-BF7CFF7DD621}"/>
            </c:ext>
          </c:extLst>
        </c:ser>
        <c:dLbls>
          <c:showLegendKey val="0"/>
          <c:showVal val="0"/>
          <c:showCatName val="0"/>
          <c:showSerName val="0"/>
          <c:showPercent val="0"/>
          <c:showBubbleSize val="0"/>
        </c:dLbls>
        <c:smooth val="0"/>
        <c:axId val="499289680"/>
        <c:axId val="499291760"/>
      </c:lineChart>
      <c:catAx>
        <c:axId val="49928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91760"/>
        <c:crosses val="autoZero"/>
        <c:auto val="1"/>
        <c:lblAlgn val="ctr"/>
        <c:lblOffset val="100"/>
        <c:noMultiLvlLbl val="0"/>
      </c:catAx>
      <c:valAx>
        <c:axId val="499291760"/>
        <c:scaling>
          <c:orientation val="minMax"/>
        </c:scaling>
        <c:delete val="0"/>
        <c:axPos val="l"/>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8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'[Results GVA GDP etc.xlsx]Sheet2'!$R$31</c:f>
              <c:strCache>
                <c:ptCount val="1"/>
                <c:pt idx="0">
                  <c:v>A: Cultural and natural heritage</c:v>
                </c:pt>
              </c:strCache>
            </c:strRef>
          </c:tx>
          <c:spPr>
            <a:solidFill>
              <a:schemeClr val="accent1"/>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etc.xlsx]Sheet2'!$R$32:$R$58</c:f>
              <c:numCache>
                <c:formatCode>0.0%</c:formatCode>
                <c:ptCount val="27"/>
                <c:pt idx="0">
                  <c:v>2.4523366758977039E-2</c:v>
                </c:pt>
                <c:pt idx="1">
                  <c:v>3.018765633880327E-2</c:v>
                </c:pt>
                <c:pt idx="2">
                  <c:v>3.8749070871002544E-3</c:v>
                </c:pt>
                <c:pt idx="3">
                  <c:v>-2.179243578819634E-2</c:v>
                </c:pt>
                <c:pt idx="4">
                  <c:v>3.9491720765046479E-2</c:v>
                </c:pt>
                <c:pt idx="5">
                  <c:v>5.2470317488846119E-2</c:v>
                </c:pt>
                <c:pt idx="6">
                  <c:v>6.6824068806902392E-2</c:v>
                </c:pt>
                <c:pt idx="7">
                  <c:v>0.12802864689626947</c:v>
                </c:pt>
                <c:pt idx="8">
                  <c:v>0.17066172795905232</c:v>
                </c:pt>
                <c:pt idx="9">
                  <c:v>0.16874930101846575</c:v>
                </c:pt>
                <c:pt idx="10">
                  <c:v>0.14296177753234396</c:v>
                </c:pt>
                <c:pt idx="11">
                  <c:v>0.18764705370337675</c:v>
                </c:pt>
                <c:pt idx="12">
                  <c:v>0.22747929883107942</c:v>
                </c:pt>
                <c:pt idx="13">
                  <c:v>0.17610128460748053</c:v>
                </c:pt>
                <c:pt idx="14">
                  <c:v>0.13737341926695756</c:v>
                </c:pt>
                <c:pt idx="15">
                  <c:v>3.291664787741877E-2</c:v>
                </c:pt>
                <c:pt idx="16">
                  <c:v>4.1962556506762061E-2</c:v>
                </c:pt>
                <c:pt idx="17">
                  <c:v>5.3522394630110215E-2</c:v>
                </c:pt>
                <c:pt idx="18">
                  <c:v>2.3012218054466294E-2</c:v>
                </c:pt>
                <c:pt idx="19">
                  <c:v>-1.0137722495562329E-3</c:v>
                </c:pt>
                <c:pt idx="20">
                  <c:v>1.0956977588376438E-2</c:v>
                </c:pt>
                <c:pt idx="21">
                  <c:v>1.1393558552845073E-2</c:v>
                </c:pt>
                <c:pt idx="22">
                  <c:v>3.0344627888437392E-2</c:v>
                </c:pt>
                <c:pt idx="23">
                  <c:v>8.3076826785810631E-3</c:v>
                </c:pt>
                <c:pt idx="24">
                  <c:v>-3.9752769961869716E-2</c:v>
                </c:pt>
                <c:pt idx="25">
                  <c:v>-2.8021401316924432E-4</c:v>
                </c:pt>
                <c:pt idx="26">
                  <c:v>-3.9097786745718843E-2</c:v>
                </c:pt>
              </c:numCache>
            </c:numRef>
          </c:val>
          <c:extLst>
            <c:ext xmlns:c16="http://schemas.microsoft.com/office/drawing/2014/chart" uri="{C3380CC4-5D6E-409C-BE32-E72D297353CC}">
              <c16:uniqueId val="{00000000-D9B7-482C-936A-6628EB139943}"/>
            </c:ext>
          </c:extLst>
        </c:ser>
        <c:ser>
          <c:idx val="1"/>
          <c:order val="1"/>
          <c:tx>
            <c:strRef>
              <c:f>'[Results GVA GDP etc.xlsx]Sheet2'!$S$31</c:f>
              <c:strCache>
                <c:ptCount val="1"/>
                <c:pt idx="0">
                  <c:v>B: Performance and celebration</c:v>
                </c:pt>
              </c:strCache>
            </c:strRef>
          </c:tx>
          <c:spPr>
            <a:solidFill>
              <a:schemeClr val="accent2"/>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etc.xlsx]Sheet2'!$S$32:$S$58</c:f>
              <c:numCache>
                <c:formatCode>0.0%</c:formatCode>
                <c:ptCount val="27"/>
                <c:pt idx="0">
                  <c:v>1.206420811002995E-2</c:v>
                </c:pt>
                <c:pt idx="1">
                  <c:v>2.8345241861415182E-2</c:v>
                </c:pt>
                <c:pt idx="2">
                  <c:v>-1.092831418446838E-2</c:v>
                </c:pt>
                <c:pt idx="3">
                  <c:v>-4.2483212775497492E-2</c:v>
                </c:pt>
                <c:pt idx="4">
                  <c:v>4.2405195794380734E-2</c:v>
                </c:pt>
                <c:pt idx="5">
                  <c:v>1.599776181741408E-2</c:v>
                </c:pt>
                <c:pt idx="6">
                  <c:v>4.3665843049093045E-2</c:v>
                </c:pt>
                <c:pt idx="7">
                  <c:v>0.1797241831787646</c:v>
                </c:pt>
                <c:pt idx="8">
                  <c:v>0.22316828740216121</c:v>
                </c:pt>
                <c:pt idx="9">
                  <c:v>0.21766898720160821</c:v>
                </c:pt>
                <c:pt idx="10">
                  <c:v>0.17117069742791657</c:v>
                </c:pt>
                <c:pt idx="11">
                  <c:v>0.21576487598120231</c:v>
                </c:pt>
                <c:pt idx="12">
                  <c:v>0.273467443145611</c:v>
                </c:pt>
                <c:pt idx="13">
                  <c:v>0.20552155671949635</c:v>
                </c:pt>
                <c:pt idx="14">
                  <c:v>0.16210679760922631</c:v>
                </c:pt>
                <c:pt idx="15">
                  <c:v>3.1411595816051241E-2</c:v>
                </c:pt>
                <c:pt idx="16">
                  <c:v>4.7773492415697394E-2</c:v>
                </c:pt>
                <c:pt idx="17">
                  <c:v>5.4518629662820617E-2</c:v>
                </c:pt>
                <c:pt idx="18">
                  <c:v>2.2318790273961886E-2</c:v>
                </c:pt>
                <c:pt idx="19">
                  <c:v>-4.2074049611118269E-3</c:v>
                </c:pt>
                <c:pt idx="20">
                  <c:v>9.2023555978775207E-3</c:v>
                </c:pt>
                <c:pt idx="21">
                  <c:v>7.6309730150361244E-3</c:v>
                </c:pt>
                <c:pt idx="22">
                  <c:v>2.8899844525836826E-2</c:v>
                </c:pt>
                <c:pt idx="23">
                  <c:v>4.5929861892928248E-3</c:v>
                </c:pt>
                <c:pt idx="24">
                  <c:v>-5.014138311138383E-2</c:v>
                </c:pt>
                <c:pt idx="25">
                  <c:v>-3.4260034022010055E-3</c:v>
                </c:pt>
                <c:pt idx="26">
                  <c:v>-3.5123361630798544E-2</c:v>
                </c:pt>
              </c:numCache>
            </c:numRef>
          </c:val>
          <c:extLst>
            <c:ext xmlns:c16="http://schemas.microsoft.com/office/drawing/2014/chart" uri="{C3380CC4-5D6E-409C-BE32-E72D297353CC}">
              <c16:uniqueId val="{00000001-D9B7-482C-936A-6628EB139943}"/>
            </c:ext>
          </c:extLst>
        </c:ser>
        <c:ser>
          <c:idx val="2"/>
          <c:order val="2"/>
          <c:tx>
            <c:strRef>
              <c:f>'[Results GVA GDP etc.xlsx]Sheet2'!$T$31</c:f>
              <c:strCache>
                <c:ptCount val="1"/>
                <c:pt idx="0">
                  <c:v>C: Visual art and crafts</c:v>
                </c:pt>
              </c:strCache>
            </c:strRef>
          </c:tx>
          <c:spPr>
            <a:solidFill>
              <a:schemeClr val="accent3"/>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etc.xlsx]Sheet2'!$T$32:$T$58</c:f>
              <c:numCache>
                <c:formatCode>0.0%</c:formatCode>
                <c:ptCount val="27"/>
                <c:pt idx="0">
                  <c:v>5.3927366820332168E-3</c:v>
                </c:pt>
                <c:pt idx="1">
                  <c:v>-3.9210480102328527E-3</c:v>
                </c:pt>
                <c:pt idx="2">
                  <c:v>-3.7442726755344102E-2</c:v>
                </c:pt>
                <c:pt idx="3">
                  <c:v>6.2162665081064716E-2</c:v>
                </c:pt>
                <c:pt idx="4">
                  <c:v>2.1716632153230275E-3</c:v>
                </c:pt>
                <c:pt idx="5">
                  <c:v>-7.6036687461888963E-4</c:v>
                </c:pt>
                <c:pt idx="6">
                  <c:v>7.4288771907784934E-2</c:v>
                </c:pt>
                <c:pt idx="7">
                  <c:v>2.6379871691663226E-2</c:v>
                </c:pt>
                <c:pt idx="8">
                  <c:v>-3.6945925174273198E-3</c:v>
                </c:pt>
                <c:pt idx="9">
                  <c:v>4.9466736410832546E-3</c:v>
                </c:pt>
                <c:pt idx="10">
                  <c:v>4.363125160773329E-2</c:v>
                </c:pt>
                <c:pt idx="11">
                  <c:v>5.4079355915601646E-2</c:v>
                </c:pt>
                <c:pt idx="12">
                  <c:v>5.9562845156364119E-2</c:v>
                </c:pt>
                <c:pt idx="13">
                  <c:v>4.9092215588385502E-2</c:v>
                </c:pt>
                <c:pt idx="14">
                  <c:v>7.5112570588363736E-2</c:v>
                </c:pt>
                <c:pt idx="15">
                  <c:v>-8.278209999654651E-2</c:v>
                </c:pt>
                <c:pt idx="16">
                  <c:v>4.9970243824241534E-2</c:v>
                </c:pt>
                <c:pt idx="17">
                  <c:v>2.2383592594685808E-3</c:v>
                </c:pt>
                <c:pt idx="18">
                  <c:v>1.9393179981519681E-2</c:v>
                </c:pt>
                <c:pt idx="19">
                  <c:v>-1.5753907603057393E-2</c:v>
                </c:pt>
                <c:pt idx="20">
                  <c:v>-7.4759781380062673E-4</c:v>
                </c:pt>
                <c:pt idx="21">
                  <c:v>-2.7008716440751979E-2</c:v>
                </c:pt>
                <c:pt idx="22">
                  <c:v>-1.3509780884421008E-2</c:v>
                </c:pt>
                <c:pt idx="23">
                  <c:v>1.0281563479445754E-2</c:v>
                </c:pt>
                <c:pt idx="24">
                  <c:v>3.1504989281073481E-2</c:v>
                </c:pt>
                <c:pt idx="25">
                  <c:v>-3.1217748007636326E-2</c:v>
                </c:pt>
                <c:pt idx="26">
                  <c:v>-0.13114669315483196</c:v>
                </c:pt>
              </c:numCache>
            </c:numRef>
          </c:val>
          <c:extLst>
            <c:ext xmlns:c16="http://schemas.microsoft.com/office/drawing/2014/chart" uri="{C3380CC4-5D6E-409C-BE32-E72D297353CC}">
              <c16:uniqueId val="{00000002-D9B7-482C-936A-6628EB139943}"/>
            </c:ext>
          </c:extLst>
        </c:ser>
        <c:ser>
          <c:idx val="3"/>
          <c:order val="3"/>
          <c:tx>
            <c:strRef>
              <c:f>'[Results GVA GDP etc.xlsx]Sheet2'!$U$31</c:f>
              <c:strCache>
                <c:ptCount val="1"/>
                <c:pt idx="0">
                  <c:v>D: Books and Press</c:v>
                </c:pt>
              </c:strCache>
            </c:strRef>
          </c:tx>
          <c:spPr>
            <a:solidFill>
              <a:schemeClr val="accent4"/>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etc.xlsx]Sheet2'!$U$32:$U$58</c:f>
              <c:numCache>
                <c:formatCode>0.0%</c:formatCode>
                <c:ptCount val="27"/>
                <c:pt idx="0">
                  <c:v>-4.5796292502808811E-3</c:v>
                </c:pt>
                <c:pt idx="1">
                  <c:v>-2.3179835850229202E-2</c:v>
                </c:pt>
                <c:pt idx="2">
                  <c:v>-4.6278930245358119E-4</c:v>
                </c:pt>
                <c:pt idx="3">
                  <c:v>4.9133116107951125E-3</c:v>
                </c:pt>
                <c:pt idx="4">
                  <c:v>9.9192189571968292E-3</c:v>
                </c:pt>
                <c:pt idx="5">
                  <c:v>5.1756350705858267E-3</c:v>
                </c:pt>
                <c:pt idx="6">
                  <c:v>8.1569538831310018E-2</c:v>
                </c:pt>
                <c:pt idx="7">
                  <c:v>-3.8979114829229666E-2</c:v>
                </c:pt>
                <c:pt idx="8">
                  <c:v>-3.762829781219823E-2</c:v>
                </c:pt>
                <c:pt idx="9">
                  <c:v>1.2293538008947502E-2</c:v>
                </c:pt>
                <c:pt idx="10">
                  <c:v>4.8504392095172433E-2</c:v>
                </c:pt>
                <c:pt idx="11">
                  <c:v>3.5891088733943644E-3</c:v>
                </c:pt>
                <c:pt idx="12">
                  <c:v>5.6728166015760584E-2</c:v>
                </c:pt>
                <c:pt idx="13">
                  <c:v>6.5288380838502524E-2</c:v>
                </c:pt>
                <c:pt idx="14">
                  <c:v>4.4519422049087876E-2</c:v>
                </c:pt>
                <c:pt idx="15">
                  <c:v>-1.100100748015842E-2</c:v>
                </c:pt>
                <c:pt idx="16">
                  <c:v>8.2699044168571767E-2</c:v>
                </c:pt>
                <c:pt idx="17">
                  <c:v>4.5255270695157002E-2</c:v>
                </c:pt>
                <c:pt idx="18">
                  <c:v>4.6446421528192117E-2</c:v>
                </c:pt>
                <c:pt idx="19">
                  <c:v>-1.0798413468232626E-3</c:v>
                </c:pt>
                <c:pt idx="20">
                  <c:v>-3.3453522925538159E-2</c:v>
                </c:pt>
                <c:pt idx="21">
                  <c:v>-4.0696230227534769E-2</c:v>
                </c:pt>
                <c:pt idx="22">
                  <c:v>-1.3932781750689571E-2</c:v>
                </c:pt>
                <c:pt idx="23">
                  <c:v>1.9948391903980456E-2</c:v>
                </c:pt>
                <c:pt idx="24">
                  <c:v>-1.1373958313279364E-2</c:v>
                </c:pt>
                <c:pt idx="25">
                  <c:v>-2.4027893515688237E-2</c:v>
                </c:pt>
                <c:pt idx="26">
                  <c:v>-0.11457121412358773</c:v>
                </c:pt>
              </c:numCache>
            </c:numRef>
          </c:val>
          <c:extLst>
            <c:ext xmlns:c16="http://schemas.microsoft.com/office/drawing/2014/chart" uri="{C3380CC4-5D6E-409C-BE32-E72D297353CC}">
              <c16:uniqueId val="{00000003-D9B7-482C-936A-6628EB139943}"/>
            </c:ext>
          </c:extLst>
        </c:ser>
        <c:ser>
          <c:idx val="4"/>
          <c:order val="4"/>
          <c:tx>
            <c:strRef>
              <c:f>'[Results GVA GDP etc.xlsx]Sheet2'!$V$31</c:f>
              <c:strCache>
                <c:ptCount val="1"/>
                <c:pt idx="0">
                  <c:v>E: Audio-visual and interactive media</c:v>
                </c:pt>
              </c:strCache>
            </c:strRef>
          </c:tx>
          <c:spPr>
            <a:solidFill>
              <a:schemeClr val="accent5"/>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etc.xlsx]Sheet2'!$V$32:$V$58</c:f>
              <c:numCache>
                <c:formatCode>0.0%</c:formatCode>
                <c:ptCount val="27"/>
                <c:pt idx="0">
                  <c:v>-1.5496278242188577E-3</c:v>
                </c:pt>
                <c:pt idx="1">
                  <c:v>1.1475528509572452E-3</c:v>
                </c:pt>
                <c:pt idx="2">
                  <c:v>1.7456295557938262E-6</c:v>
                </c:pt>
                <c:pt idx="3">
                  <c:v>-3.2106998340679649E-3</c:v>
                </c:pt>
                <c:pt idx="4">
                  <c:v>0.17039460815183283</c:v>
                </c:pt>
                <c:pt idx="5">
                  <c:v>-1.5890498329176328E-3</c:v>
                </c:pt>
                <c:pt idx="6">
                  <c:v>6.0252917604044498E-3</c:v>
                </c:pt>
                <c:pt idx="7">
                  <c:v>0.17688665175792817</c:v>
                </c:pt>
                <c:pt idx="8">
                  <c:v>6.6720982530411366E-2</c:v>
                </c:pt>
                <c:pt idx="9">
                  <c:v>0.14497521922520606</c:v>
                </c:pt>
                <c:pt idx="10">
                  <c:v>0.18258836651537758</c:v>
                </c:pt>
                <c:pt idx="11">
                  <c:v>9.5875638450141354E-2</c:v>
                </c:pt>
                <c:pt idx="12">
                  <c:v>0.10195422353990868</c:v>
                </c:pt>
                <c:pt idx="13">
                  <c:v>9.8755453715329455E-2</c:v>
                </c:pt>
                <c:pt idx="14">
                  <c:v>5.6973033075788937E-2</c:v>
                </c:pt>
                <c:pt idx="15">
                  <c:v>3.863399367558884E-2</c:v>
                </c:pt>
                <c:pt idx="16">
                  <c:v>3.9483639410323956E-2</c:v>
                </c:pt>
                <c:pt idx="17">
                  <c:v>5.1913507703926776E-4</c:v>
                </c:pt>
                <c:pt idx="18">
                  <c:v>2.4471021517480596E-2</c:v>
                </c:pt>
                <c:pt idx="19">
                  <c:v>2.6800334471899667E-2</c:v>
                </c:pt>
                <c:pt idx="20">
                  <c:v>-1.2725544798544153E-2</c:v>
                </c:pt>
                <c:pt idx="21">
                  <c:v>2.7456817749998752E-2</c:v>
                </c:pt>
                <c:pt idx="22">
                  <c:v>6.6681801612924474E-3</c:v>
                </c:pt>
                <c:pt idx="23">
                  <c:v>9.201980841153512E-2</c:v>
                </c:pt>
                <c:pt idx="24">
                  <c:v>2.2744186909574138E-2</c:v>
                </c:pt>
                <c:pt idx="25">
                  <c:v>9.8256670577254734E-3</c:v>
                </c:pt>
                <c:pt idx="26">
                  <c:v>-3.2645985982833414E-2</c:v>
                </c:pt>
              </c:numCache>
            </c:numRef>
          </c:val>
          <c:extLst>
            <c:ext xmlns:c16="http://schemas.microsoft.com/office/drawing/2014/chart" uri="{C3380CC4-5D6E-409C-BE32-E72D297353CC}">
              <c16:uniqueId val="{00000004-D9B7-482C-936A-6628EB139943}"/>
            </c:ext>
          </c:extLst>
        </c:ser>
        <c:ser>
          <c:idx val="5"/>
          <c:order val="5"/>
          <c:tx>
            <c:strRef>
              <c:f>'[Results GVA GDP etc.xlsx]Sheet2'!$W$31</c:f>
              <c:strCache>
                <c:ptCount val="1"/>
                <c:pt idx="0">
                  <c:v>F: Design and creative services</c:v>
                </c:pt>
              </c:strCache>
            </c:strRef>
          </c:tx>
          <c:spPr>
            <a:solidFill>
              <a:schemeClr val="accent6"/>
            </a:solidFill>
            <a:ln w="12700">
              <a:noFill/>
            </a:ln>
            <a:effectLst/>
          </c:spPr>
          <c:invertIfNegative val="0"/>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etc.xlsx]Sheet2'!$W$32:$W$58</c:f>
              <c:numCache>
                <c:formatCode>0.0%</c:formatCode>
                <c:ptCount val="27"/>
                <c:pt idx="0">
                  <c:v>1.7906370627445156E-3</c:v>
                </c:pt>
                <c:pt idx="1">
                  <c:v>7.5951195438094032E-2</c:v>
                </c:pt>
                <c:pt idx="2">
                  <c:v>7.2784562442187228E-2</c:v>
                </c:pt>
                <c:pt idx="3">
                  <c:v>6.054223751845611E-2</c:v>
                </c:pt>
                <c:pt idx="4">
                  <c:v>0.17630957199484976</c:v>
                </c:pt>
                <c:pt idx="5">
                  <c:v>5.880847419665014E-2</c:v>
                </c:pt>
                <c:pt idx="6">
                  <c:v>0.10123108887488708</c:v>
                </c:pt>
                <c:pt idx="7">
                  <c:v>6.6371112880063254E-2</c:v>
                </c:pt>
                <c:pt idx="8">
                  <c:v>0.10544166704080871</c:v>
                </c:pt>
                <c:pt idx="9">
                  <c:v>9.2445651228882708E-2</c:v>
                </c:pt>
                <c:pt idx="10">
                  <c:v>0.106257930426777</c:v>
                </c:pt>
                <c:pt idx="11">
                  <c:v>9.4654099249450674E-2</c:v>
                </c:pt>
                <c:pt idx="12">
                  <c:v>6.1927044751910687E-2</c:v>
                </c:pt>
                <c:pt idx="13">
                  <c:v>4.0023397665788218E-2</c:v>
                </c:pt>
                <c:pt idx="14">
                  <c:v>1.6337848825486612E-2</c:v>
                </c:pt>
                <c:pt idx="15">
                  <c:v>9.3728657635284707E-2</c:v>
                </c:pt>
                <c:pt idx="16">
                  <c:v>2.5480282807783805E-2</c:v>
                </c:pt>
                <c:pt idx="17">
                  <c:v>2.7420708617207801E-2</c:v>
                </c:pt>
                <c:pt idx="18">
                  <c:v>2.9029144584079791E-2</c:v>
                </c:pt>
                <c:pt idx="19">
                  <c:v>2.2692436847649766E-2</c:v>
                </c:pt>
                <c:pt idx="20">
                  <c:v>3.5310904487360073E-3</c:v>
                </c:pt>
                <c:pt idx="21">
                  <c:v>-1.0494793044393158E-2</c:v>
                </c:pt>
                <c:pt idx="22">
                  <c:v>9.6372590599158592E-3</c:v>
                </c:pt>
                <c:pt idx="23">
                  <c:v>1.453430779042475E-2</c:v>
                </c:pt>
                <c:pt idx="24">
                  <c:v>2.4157803283270329E-2</c:v>
                </c:pt>
                <c:pt idx="25">
                  <c:v>-7.7846496638143137E-3</c:v>
                </c:pt>
                <c:pt idx="26">
                  <c:v>-3.965683333805059E-2</c:v>
                </c:pt>
              </c:numCache>
            </c:numRef>
          </c:val>
          <c:extLst>
            <c:ext xmlns:c16="http://schemas.microsoft.com/office/drawing/2014/chart" uri="{C3380CC4-5D6E-409C-BE32-E72D297353CC}">
              <c16:uniqueId val="{00000005-D9B7-482C-936A-6628EB139943}"/>
            </c:ext>
          </c:extLst>
        </c:ser>
        <c:dLbls>
          <c:showLegendKey val="0"/>
          <c:showVal val="0"/>
          <c:showCatName val="0"/>
          <c:showSerName val="0"/>
          <c:showPercent val="0"/>
          <c:showBubbleSize val="0"/>
        </c:dLbls>
        <c:gapWidth val="150"/>
        <c:axId val="499246416"/>
        <c:axId val="499253904"/>
      </c:barChart>
      <c:lineChart>
        <c:grouping val="standard"/>
        <c:varyColors val="0"/>
        <c:ser>
          <c:idx val="6"/>
          <c:order val="6"/>
          <c:tx>
            <c:strRef>
              <c:f>'[Results GVA GDP etc.xlsx]Sheet2'!$X$31</c:f>
              <c:strCache>
                <c:ptCount val="1"/>
                <c:pt idx="0">
                  <c:v>GDP</c:v>
                </c:pt>
              </c:strCache>
            </c:strRef>
          </c:tx>
          <c:spPr>
            <a:ln w="28575" cap="rnd">
              <a:solidFill>
                <a:schemeClr val="accent1">
                  <a:lumMod val="60000"/>
                </a:schemeClr>
              </a:solidFill>
              <a:round/>
            </a:ln>
            <a:effectLst/>
          </c:spPr>
          <c:marker>
            <c:symbol val="none"/>
          </c:marker>
          <c:cat>
            <c:numRef>
              <c:f>'[Results GVA GDP etc.xlsx]Sheet2'!$Q$32:$Q$58</c:f>
              <c:numCache>
                <c:formatCode>General</c:formatCode>
                <c:ptCount val="27"/>
                <c:pt idx="0">
                  <c:v>1994</c:v>
                </c:pt>
                <c:pt idx="1">
                  <c:v>1995</c:v>
                </c:pt>
                <c:pt idx="2">
                  <c:v>1996</c:v>
                </c:pt>
                <c:pt idx="3">
                  <c:v>1997</c:v>
                </c:pt>
                <c:pt idx="4">
                  <c:v>1998</c:v>
                </c:pt>
                <c:pt idx="5">
                  <c:v>1999</c:v>
                </c:pt>
                <c:pt idx="6">
                  <c:v>2000</c:v>
                </c:pt>
                <c:pt idx="7">
                  <c:v>2001</c:v>
                </c:pt>
                <c:pt idx="8">
                  <c:v>2002</c:v>
                </c:pt>
                <c:pt idx="9">
                  <c:v>2003</c:v>
                </c:pt>
                <c:pt idx="10">
                  <c:v>2004</c:v>
                </c:pt>
                <c:pt idx="11">
                  <c:v>2005</c:v>
                </c:pt>
                <c:pt idx="12">
                  <c:v>2006</c:v>
                </c:pt>
                <c:pt idx="13">
                  <c:v>2007</c:v>
                </c:pt>
                <c:pt idx="14">
                  <c:v>2008</c:v>
                </c:pt>
                <c:pt idx="15">
                  <c:v>2009</c:v>
                </c:pt>
                <c:pt idx="16">
                  <c:v>2010</c:v>
                </c:pt>
                <c:pt idx="17">
                  <c:v>2011</c:v>
                </c:pt>
                <c:pt idx="18">
                  <c:v>2012</c:v>
                </c:pt>
                <c:pt idx="19">
                  <c:v>2013</c:v>
                </c:pt>
                <c:pt idx="20">
                  <c:v>2014</c:v>
                </c:pt>
                <c:pt idx="21">
                  <c:v>2015</c:v>
                </c:pt>
                <c:pt idx="22">
                  <c:v>2016</c:v>
                </c:pt>
                <c:pt idx="23">
                  <c:v>2017</c:v>
                </c:pt>
                <c:pt idx="24">
                  <c:v>2018</c:v>
                </c:pt>
                <c:pt idx="25">
                  <c:v>2019</c:v>
                </c:pt>
                <c:pt idx="26">
                  <c:v>2020</c:v>
                </c:pt>
              </c:numCache>
            </c:numRef>
          </c:cat>
          <c:val>
            <c:numRef>
              <c:f>'[Results GVA GDP etc.xlsx]Sheet2'!$X$32:$X$58</c:f>
              <c:numCache>
                <c:formatCode>0.0%</c:formatCode>
                <c:ptCount val="27"/>
                <c:pt idx="0">
                  <c:v>3.1999999999953621E-2</c:v>
                </c:pt>
                <c:pt idx="1">
                  <c:v>3.1000000000012129E-2</c:v>
                </c:pt>
                <c:pt idx="2">
                  <c:v>4.300000000001214E-2</c:v>
                </c:pt>
                <c:pt idx="3">
                  <c:v>2.599999999997249E-2</c:v>
                </c:pt>
                <c:pt idx="4">
                  <c:v>4.9999999999981171E-3</c:v>
                </c:pt>
                <c:pt idx="5">
                  <c:v>2.399999999999114E-2</c:v>
                </c:pt>
                <c:pt idx="6">
                  <c:v>4.2000000000033788E-2</c:v>
                </c:pt>
                <c:pt idx="7">
                  <c:v>2.700000000000613E-2</c:v>
                </c:pt>
                <c:pt idx="8">
                  <c:v>3.7003744034355579E-2</c:v>
                </c:pt>
                <c:pt idx="9">
                  <c:v>2.9490754669052155E-2</c:v>
                </c:pt>
                <c:pt idx="10">
                  <c:v>4.5545599068020026E-2</c:v>
                </c:pt>
                <c:pt idx="11">
                  <c:v>5.2770519743307043E-2</c:v>
                </c:pt>
                <c:pt idx="12">
                  <c:v>5.6038064578362246E-2</c:v>
                </c:pt>
                <c:pt idx="13">
                  <c:v>5.3604740546341567E-2</c:v>
                </c:pt>
                <c:pt idx="14">
                  <c:v>3.1910438852374545E-2</c:v>
                </c:pt>
                <c:pt idx="15">
                  <c:v>-1.5380891344573433E-2</c:v>
                </c:pt>
                <c:pt idx="16">
                  <c:v>3.0397328819708358E-2</c:v>
                </c:pt>
                <c:pt idx="17">
                  <c:v>3.1685562788888566E-2</c:v>
                </c:pt>
                <c:pt idx="18">
                  <c:v>2.3962323843998767E-2</c:v>
                </c:pt>
                <c:pt idx="19">
                  <c:v>2.4854680089654302E-2</c:v>
                </c:pt>
                <c:pt idx="20">
                  <c:v>1.4138264512312704E-2</c:v>
                </c:pt>
                <c:pt idx="21">
                  <c:v>1.3218622371053534E-2</c:v>
                </c:pt>
                <c:pt idx="22">
                  <c:v>6.6455230786270914E-3</c:v>
                </c:pt>
                <c:pt idx="23">
                  <c:v>1.1579469511416196E-2</c:v>
                </c:pt>
                <c:pt idx="24">
                  <c:v>1.4876173726829034E-2</c:v>
                </c:pt>
                <c:pt idx="25">
                  <c:v>1.1305369753276118E-3</c:v>
                </c:pt>
                <c:pt idx="26">
                  <c:v>-6.4319748267469889E-2</c:v>
                </c:pt>
              </c:numCache>
            </c:numRef>
          </c:val>
          <c:smooth val="0"/>
          <c:extLst>
            <c:ext xmlns:c16="http://schemas.microsoft.com/office/drawing/2014/chart" uri="{C3380CC4-5D6E-409C-BE32-E72D297353CC}">
              <c16:uniqueId val="{00000006-D9B7-482C-936A-6628EB139943}"/>
            </c:ext>
          </c:extLst>
        </c:ser>
        <c:dLbls>
          <c:showLegendKey val="0"/>
          <c:showVal val="0"/>
          <c:showCatName val="0"/>
          <c:showSerName val="0"/>
          <c:showPercent val="0"/>
          <c:showBubbleSize val="0"/>
        </c:dLbls>
        <c:marker val="1"/>
        <c:smooth val="0"/>
        <c:axId val="564987808"/>
        <c:axId val="564966176"/>
      </c:lineChart>
      <c:catAx>
        <c:axId val="49924641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53904"/>
        <c:crosses val="autoZero"/>
        <c:auto val="1"/>
        <c:lblAlgn val="ctr"/>
        <c:lblOffset val="100"/>
        <c:noMultiLvlLbl val="0"/>
      </c:catAx>
      <c:valAx>
        <c:axId val="499253904"/>
        <c:scaling>
          <c:orientation val="minMax"/>
          <c:min val="-0.1500000000000000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9246416"/>
        <c:crosses val="autoZero"/>
        <c:crossBetween val="between"/>
      </c:valAx>
      <c:valAx>
        <c:axId val="564966176"/>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4987808"/>
        <c:crosses val="max"/>
        <c:crossBetween val="between"/>
      </c:valAx>
      <c:catAx>
        <c:axId val="564987808"/>
        <c:scaling>
          <c:orientation val="minMax"/>
        </c:scaling>
        <c:delete val="1"/>
        <c:axPos val="b"/>
        <c:numFmt formatCode="General" sourceLinked="1"/>
        <c:majorTickMark val="out"/>
        <c:minorTickMark val="none"/>
        <c:tickLblPos val="nextTo"/>
        <c:crossAx val="56496617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Overtime_workforce!$B$2</c:f>
              <c:strCache>
                <c:ptCount val="1"/>
                <c:pt idx="0">
                  <c:v>Number of people employed in Cultural Occupations</c:v>
                </c:pt>
              </c:strCache>
            </c:strRef>
          </c:tx>
          <c:spPr>
            <a:solidFill>
              <a:schemeClr val="accent1"/>
            </a:solidFill>
            <a:ln>
              <a:noFill/>
            </a:ln>
            <a:effectLst/>
          </c:spPr>
          <c:invertIfNegative val="0"/>
          <c:cat>
            <c:numRef>
              <c:f>Overtime_workforce!$A$3:$A$14</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Overtime_workforce!$B$3:$B$14</c:f>
              <c:numCache>
                <c:formatCode>0</c:formatCode>
                <c:ptCount val="12"/>
                <c:pt idx="0">
                  <c:v>474346</c:v>
                </c:pt>
                <c:pt idx="1">
                  <c:v>378164</c:v>
                </c:pt>
                <c:pt idx="2">
                  <c:v>362779</c:v>
                </c:pt>
                <c:pt idx="3">
                  <c:v>346394</c:v>
                </c:pt>
                <c:pt idx="4">
                  <c:v>356299</c:v>
                </c:pt>
                <c:pt idx="5">
                  <c:v>353319</c:v>
                </c:pt>
                <c:pt idx="6">
                  <c:v>357634</c:v>
                </c:pt>
                <c:pt idx="7">
                  <c:v>323472</c:v>
                </c:pt>
                <c:pt idx="8">
                  <c:v>354650</c:v>
                </c:pt>
                <c:pt idx="9">
                  <c:v>379957</c:v>
                </c:pt>
                <c:pt idx="10">
                  <c:v>389992</c:v>
                </c:pt>
                <c:pt idx="11" formatCode="General">
                  <c:v>385570</c:v>
                </c:pt>
              </c:numCache>
            </c:numRef>
          </c:val>
          <c:extLst>
            <c:ext xmlns:c16="http://schemas.microsoft.com/office/drawing/2014/chart" uri="{C3380CC4-5D6E-409C-BE32-E72D297353CC}">
              <c16:uniqueId val="{00000000-2FE4-48A5-AF80-AFDB6307A5E7}"/>
            </c:ext>
          </c:extLst>
        </c:ser>
        <c:dLbls>
          <c:showLegendKey val="0"/>
          <c:showVal val="0"/>
          <c:showCatName val="0"/>
          <c:showSerName val="0"/>
          <c:showPercent val="0"/>
          <c:showBubbleSize val="0"/>
        </c:dLbls>
        <c:gapWidth val="219"/>
        <c:overlap val="-27"/>
        <c:axId val="1870459808"/>
        <c:axId val="1521091744"/>
      </c:barChart>
      <c:lineChart>
        <c:grouping val="standard"/>
        <c:varyColors val="0"/>
        <c:ser>
          <c:idx val="1"/>
          <c:order val="1"/>
          <c:tx>
            <c:strRef>
              <c:f>Overtime_workforce!$C$2</c:f>
              <c:strCache>
                <c:ptCount val="1"/>
                <c:pt idx="0">
                  <c:v>Cultural Occupations as a percentage of total employment</c:v>
                </c:pt>
              </c:strCache>
            </c:strRef>
          </c:tx>
          <c:spPr>
            <a:ln w="28575" cap="rnd">
              <a:solidFill>
                <a:schemeClr val="accent2"/>
              </a:solidFill>
              <a:round/>
            </a:ln>
            <a:effectLst/>
          </c:spPr>
          <c:marker>
            <c:symbol val="none"/>
          </c:marker>
          <c:cat>
            <c:numRef>
              <c:f>Overtime_workforce!$A$3:$A$14</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Overtime_workforce!$C$3:$C$14</c:f>
              <c:numCache>
                <c:formatCode>0.0</c:formatCode>
                <c:ptCount val="12"/>
                <c:pt idx="0">
                  <c:v>3.2284417258802196</c:v>
                </c:pt>
                <c:pt idx="1">
                  <c:v>2.6463227971621608</c:v>
                </c:pt>
                <c:pt idx="2">
                  <c:v>2.6025143695373987</c:v>
                </c:pt>
                <c:pt idx="3">
                  <c:v>2.4401851924123577</c:v>
                </c:pt>
                <c:pt idx="4">
                  <c:v>2.4486917571567219</c:v>
                </c:pt>
                <c:pt idx="5">
                  <c:v>2.3512931949527842</c:v>
                </c:pt>
                <c:pt idx="6">
                  <c:v>2.3349059806560724</c:v>
                </c:pt>
                <c:pt idx="7">
                  <c:v>2.0307937675665526</c:v>
                </c:pt>
                <c:pt idx="8">
                  <c:v>2.2209483176903593</c:v>
                </c:pt>
                <c:pt idx="9">
                  <c:v>2.3216540308566853</c:v>
                </c:pt>
                <c:pt idx="10">
                  <c:v>2.3479949157040494</c:v>
                </c:pt>
                <c:pt idx="11">
                  <c:v>2.3268085494659694</c:v>
                </c:pt>
              </c:numCache>
            </c:numRef>
          </c:val>
          <c:smooth val="0"/>
          <c:extLst>
            <c:ext xmlns:c16="http://schemas.microsoft.com/office/drawing/2014/chart" uri="{C3380CC4-5D6E-409C-BE32-E72D297353CC}">
              <c16:uniqueId val="{00000001-2FE4-48A5-AF80-AFDB6307A5E7}"/>
            </c:ext>
          </c:extLst>
        </c:ser>
        <c:dLbls>
          <c:showLegendKey val="0"/>
          <c:showVal val="0"/>
          <c:showCatName val="0"/>
          <c:showSerName val="0"/>
          <c:showPercent val="0"/>
          <c:showBubbleSize val="0"/>
        </c:dLbls>
        <c:marker val="1"/>
        <c:smooth val="0"/>
        <c:axId val="1781279600"/>
        <c:axId val="1522482720"/>
      </c:lineChart>
      <c:catAx>
        <c:axId val="1870459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1091744"/>
        <c:crosses val="autoZero"/>
        <c:auto val="1"/>
        <c:lblAlgn val="ctr"/>
        <c:lblOffset val="100"/>
        <c:noMultiLvlLbl val="0"/>
      </c:catAx>
      <c:valAx>
        <c:axId val="15210917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0459808"/>
        <c:crosses val="autoZero"/>
        <c:crossBetween val="between"/>
      </c:valAx>
      <c:valAx>
        <c:axId val="1522482720"/>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279600"/>
        <c:crosses val="max"/>
        <c:crossBetween val="between"/>
      </c:valAx>
      <c:catAx>
        <c:axId val="1781279600"/>
        <c:scaling>
          <c:orientation val="minMax"/>
        </c:scaling>
        <c:delete val="1"/>
        <c:axPos val="b"/>
        <c:numFmt formatCode="General" sourceLinked="1"/>
        <c:majorTickMark val="out"/>
        <c:minorTickMark val="none"/>
        <c:tickLblPos val="nextTo"/>
        <c:crossAx val="152248272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'Average real-earnings'!$J$6:$J$7</c:f>
              <c:strCache>
                <c:ptCount val="2"/>
                <c:pt idx="0">
                  <c:v>2005 - 2018:</c:v>
                </c:pt>
                <c:pt idx="1">
                  <c:v>Mean-real-earings Non-cultural Occupations</c:v>
                </c:pt>
              </c:strCache>
            </c:strRef>
          </c:tx>
          <c:spPr>
            <a:ln w="28575" cap="rnd">
              <a:solidFill>
                <a:schemeClr val="accent1"/>
              </a:solidFill>
              <a:round/>
            </a:ln>
            <a:effectLst/>
          </c:spPr>
          <c:marker>
            <c:symbol val="none"/>
          </c:marker>
          <c:cat>
            <c:strRef>
              <c:f>'Average real-earnings'!$I$8:$I$45</c:f>
              <c:strCache>
                <c:ptCount val="38"/>
                <c:pt idx="0">
                  <c:v>LFS 05:1</c:v>
                </c:pt>
                <c:pt idx="1">
                  <c:v>LFS 05:2</c:v>
                </c:pt>
                <c:pt idx="2">
                  <c:v>LFS 06:1</c:v>
                </c:pt>
                <c:pt idx="3">
                  <c:v>LFS 06:2</c:v>
                </c:pt>
                <c:pt idx="4">
                  <c:v>LFS 07:1</c:v>
                </c:pt>
                <c:pt idx="5">
                  <c:v>LFS 07:2</c:v>
                </c:pt>
                <c:pt idx="6">
                  <c:v>QLFS 2010:1</c:v>
                </c:pt>
                <c:pt idx="7">
                  <c:v>QLFS 2010:2</c:v>
                </c:pt>
                <c:pt idx="8">
                  <c:v>QLFS 2010:3</c:v>
                </c:pt>
                <c:pt idx="9">
                  <c:v>QLFS 2010:4</c:v>
                </c:pt>
                <c:pt idx="10">
                  <c:v>QLFS 2011:1</c:v>
                </c:pt>
                <c:pt idx="11">
                  <c:v>QLFS 2011:2</c:v>
                </c:pt>
                <c:pt idx="12">
                  <c:v>QLFS 2011:3</c:v>
                </c:pt>
                <c:pt idx="13">
                  <c:v>QLFS 2011:4</c:v>
                </c:pt>
                <c:pt idx="14">
                  <c:v>QLFS 2012:1</c:v>
                </c:pt>
                <c:pt idx="15">
                  <c:v>QLFS 2012:2</c:v>
                </c:pt>
                <c:pt idx="16">
                  <c:v>QLFS 2012:3</c:v>
                </c:pt>
                <c:pt idx="17">
                  <c:v>QLFS 2012:4</c:v>
                </c:pt>
                <c:pt idx="18">
                  <c:v>QLFS 2013:1</c:v>
                </c:pt>
                <c:pt idx="19">
                  <c:v>QLFS 2013:2</c:v>
                </c:pt>
                <c:pt idx="20">
                  <c:v>QLFS 2013:3</c:v>
                </c:pt>
                <c:pt idx="21">
                  <c:v>QLFS 2013:4</c:v>
                </c:pt>
                <c:pt idx="22">
                  <c:v>QLFS 2014:1</c:v>
                </c:pt>
                <c:pt idx="23">
                  <c:v>QLFS 2014:2</c:v>
                </c:pt>
                <c:pt idx="24">
                  <c:v>QLFS 2014:3</c:v>
                </c:pt>
                <c:pt idx="25">
                  <c:v>QLFS 2014:4</c:v>
                </c:pt>
                <c:pt idx="26">
                  <c:v>QLFS 2015:1</c:v>
                </c:pt>
                <c:pt idx="27">
                  <c:v>QLFS 2015:2</c:v>
                </c:pt>
                <c:pt idx="28">
                  <c:v>QLFS 2015:3</c:v>
                </c:pt>
                <c:pt idx="29">
                  <c:v>QLFS 2015:4</c:v>
                </c:pt>
                <c:pt idx="30">
                  <c:v>QLFS 2016:1</c:v>
                </c:pt>
                <c:pt idx="31">
                  <c:v>QLFS 2016:2</c:v>
                </c:pt>
                <c:pt idx="32">
                  <c:v>QLFS 2016:3</c:v>
                </c:pt>
                <c:pt idx="33">
                  <c:v>QLFS 2016:4</c:v>
                </c:pt>
                <c:pt idx="34">
                  <c:v>QLFS 2017:1</c:v>
                </c:pt>
                <c:pt idx="35">
                  <c:v>QLFS 2017:2</c:v>
                </c:pt>
                <c:pt idx="36">
                  <c:v>QLFS 2017:3</c:v>
                </c:pt>
                <c:pt idx="37">
                  <c:v>QLFS 2017:4</c:v>
                </c:pt>
              </c:strCache>
            </c:strRef>
          </c:cat>
          <c:val>
            <c:numRef>
              <c:f>'Average real-earnings'!$J$8:$J$45</c:f>
              <c:numCache>
                <c:formatCode>General</c:formatCode>
                <c:ptCount val="38"/>
                <c:pt idx="0">
                  <c:v>7224.3360000000002</c:v>
                </c:pt>
                <c:pt idx="1">
                  <c:v>7590.5510000000004</c:v>
                </c:pt>
                <c:pt idx="2">
                  <c:v>7821.0420000000004</c:v>
                </c:pt>
                <c:pt idx="3">
                  <c:v>7805.1949999999997</c:v>
                </c:pt>
                <c:pt idx="4">
                  <c:v>7809.43</c:v>
                </c:pt>
                <c:pt idx="5">
                  <c:v>8565.0740000000005</c:v>
                </c:pt>
                <c:pt idx="6">
                  <c:v>8566.8619999999992</c:v>
                </c:pt>
                <c:pt idx="7">
                  <c:v>9063.3430000000008</c:v>
                </c:pt>
                <c:pt idx="8">
                  <c:v>9060.4599999999991</c:v>
                </c:pt>
                <c:pt idx="9">
                  <c:v>9163.6769999999997</c:v>
                </c:pt>
                <c:pt idx="10">
                  <c:v>9295.3559999999998</c:v>
                </c:pt>
                <c:pt idx="11">
                  <c:v>10032.75</c:v>
                </c:pt>
                <c:pt idx="12">
                  <c:v>9011.9459999999999</c:v>
                </c:pt>
                <c:pt idx="13">
                  <c:v>9060.2139999999999</c:v>
                </c:pt>
                <c:pt idx="14">
                  <c:v>8613.5229999999992</c:v>
                </c:pt>
                <c:pt idx="15">
                  <c:v>9146.5879999999997</c:v>
                </c:pt>
                <c:pt idx="16">
                  <c:v>9504.4009999999998</c:v>
                </c:pt>
                <c:pt idx="17">
                  <c:v>10735.38</c:v>
                </c:pt>
                <c:pt idx="18">
                  <c:v>10655.19</c:v>
                </c:pt>
                <c:pt idx="19">
                  <c:v>11357.97</c:v>
                </c:pt>
                <c:pt idx="20">
                  <c:v>10833.69</c:v>
                </c:pt>
                <c:pt idx="21">
                  <c:v>10673.29</c:v>
                </c:pt>
                <c:pt idx="22">
                  <c:v>10321.73</c:v>
                </c:pt>
                <c:pt idx="23">
                  <c:v>9940.4159999999993</c:v>
                </c:pt>
                <c:pt idx="24">
                  <c:v>9654.2090000000007</c:v>
                </c:pt>
                <c:pt idx="25">
                  <c:v>9311.5210000000006</c:v>
                </c:pt>
                <c:pt idx="26">
                  <c:v>11542.93</c:v>
                </c:pt>
                <c:pt idx="27">
                  <c:v>10823.94</c:v>
                </c:pt>
                <c:pt idx="28">
                  <c:v>10474.02</c:v>
                </c:pt>
                <c:pt idx="29">
                  <c:v>10109.89</c:v>
                </c:pt>
                <c:pt idx="30">
                  <c:v>9795.1669999999995</c:v>
                </c:pt>
                <c:pt idx="31">
                  <c:v>9543.5069999999996</c:v>
                </c:pt>
                <c:pt idx="32">
                  <c:v>9317.4539999999997</c:v>
                </c:pt>
                <c:pt idx="33">
                  <c:v>9748.6190000000006</c:v>
                </c:pt>
                <c:pt idx="34">
                  <c:v>9283.7330000000002</c:v>
                </c:pt>
                <c:pt idx="35">
                  <c:v>8965.4850000000006</c:v>
                </c:pt>
                <c:pt idx="36">
                  <c:v>8567.8719999999994</c:v>
                </c:pt>
                <c:pt idx="37">
                  <c:v>8720.1319999999996</c:v>
                </c:pt>
              </c:numCache>
            </c:numRef>
          </c:val>
          <c:smooth val="0"/>
          <c:extLst>
            <c:ext xmlns:c16="http://schemas.microsoft.com/office/drawing/2014/chart" uri="{C3380CC4-5D6E-409C-BE32-E72D297353CC}">
              <c16:uniqueId val="{00000000-476B-46B4-B4B4-6977548C074C}"/>
            </c:ext>
          </c:extLst>
        </c:ser>
        <c:ser>
          <c:idx val="1"/>
          <c:order val="1"/>
          <c:tx>
            <c:strRef>
              <c:f>'Average real-earnings'!$K$6:$K$7</c:f>
              <c:strCache>
                <c:ptCount val="2"/>
                <c:pt idx="0">
                  <c:v>2005 - 2018:</c:v>
                </c:pt>
                <c:pt idx="1">
                  <c:v>Mean-real-earnings Cultural Occupations</c:v>
                </c:pt>
              </c:strCache>
            </c:strRef>
          </c:tx>
          <c:spPr>
            <a:ln w="28575" cap="rnd">
              <a:solidFill>
                <a:schemeClr val="accent2"/>
              </a:solidFill>
              <a:round/>
            </a:ln>
            <a:effectLst/>
          </c:spPr>
          <c:marker>
            <c:symbol val="none"/>
          </c:marker>
          <c:cat>
            <c:strRef>
              <c:f>'Average real-earnings'!$I$8:$I$45</c:f>
              <c:strCache>
                <c:ptCount val="38"/>
                <c:pt idx="0">
                  <c:v>LFS 05:1</c:v>
                </c:pt>
                <c:pt idx="1">
                  <c:v>LFS 05:2</c:v>
                </c:pt>
                <c:pt idx="2">
                  <c:v>LFS 06:1</c:v>
                </c:pt>
                <c:pt idx="3">
                  <c:v>LFS 06:2</c:v>
                </c:pt>
                <c:pt idx="4">
                  <c:v>LFS 07:1</c:v>
                </c:pt>
                <c:pt idx="5">
                  <c:v>LFS 07:2</c:v>
                </c:pt>
                <c:pt idx="6">
                  <c:v>QLFS 2010:1</c:v>
                </c:pt>
                <c:pt idx="7">
                  <c:v>QLFS 2010:2</c:v>
                </c:pt>
                <c:pt idx="8">
                  <c:v>QLFS 2010:3</c:v>
                </c:pt>
                <c:pt idx="9">
                  <c:v>QLFS 2010:4</c:v>
                </c:pt>
                <c:pt idx="10">
                  <c:v>QLFS 2011:1</c:v>
                </c:pt>
                <c:pt idx="11">
                  <c:v>QLFS 2011:2</c:v>
                </c:pt>
                <c:pt idx="12">
                  <c:v>QLFS 2011:3</c:v>
                </c:pt>
                <c:pt idx="13">
                  <c:v>QLFS 2011:4</c:v>
                </c:pt>
                <c:pt idx="14">
                  <c:v>QLFS 2012:1</c:v>
                </c:pt>
                <c:pt idx="15">
                  <c:v>QLFS 2012:2</c:v>
                </c:pt>
                <c:pt idx="16">
                  <c:v>QLFS 2012:3</c:v>
                </c:pt>
                <c:pt idx="17">
                  <c:v>QLFS 2012:4</c:v>
                </c:pt>
                <c:pt idx="18">
                  <c:v>QLFS 2013:1</c:v>
                </c:pt>
                <c:pt idx="19">
                  <c:v>QLFS 2013:2</c:v>
                </c:pt>
                <c:pt idx="20">
                  <c:v>QLFS 2013:3</c:v>
                </c:pt>
                <c:pt idx="21">
                  <c:v>QLFS 2013:4</c:v>
                </c:pt>
                <c:pt idx="22">
                  <c:v>QLFS 2014:1</c:v>
                </c:pt>
                <c:pt idx="23">
                  <c:v>QLFS 2014:2</c:v>
                </c:pt>
                <c:pt idx="24">
                  <c:v>QLFS 2014:3</c:v>
                </c:pt>
                <c:pt idx="25">
                  <c:v>QLFS 2014:4</c:v>
                </c:pt>
                <c:pt idx="26">
                  <c:v>QLFS 2015:1</c:v>
                </c:pt>
                <c:pt idx="27">
                  <c:v>QLFS 2015:2</c:v>
                </c:pt>
                <c:pt idx="28">
                  <c:v>QLFS 2015:3</c:v>
                </c:pt>
                <c:pt idx="29">
                  <c:v>QLFS 2015:4</c:v>
                </c:pt>
                <c:pt idx="30">
                  <c:v>QLFS 2016:1</c:v>
                </c:pt>
                <c:pt idx="31">
                  <c:v>QLFS 2016:2</c:v>
                </c:pt>
                <c:pt idx="32">
                  <c:v>QLFS 2016:3</c:v>
                </c:pt>
                <c:pt idx="33">
                  <c:v>QLFS 2016:4</c:v>
                </c:pt>
                <c:pt idx="34">
                  <c:v>QLFS 2017:1</c:v>
                </c:pt>
                <c:pt idx="35">
                  <c:v>QLFS 2017:2</c:v>
                </c:pt>
                <c:pt idx="36">
                  <c:v>QLFS 2017:3</c:v>
                </c:pt>
                <c:pt idx="37">
                  <c:v>QLFS 2017:4</c:v>
                </c:pt>
              </c:strCache>
            </c:strRef>
          </c:cat>
          <c:val>
            <c:numRef>
              <c:f>'Average real-earnings'!$K$8:$K$45</c:f>
              <c:numCache>
                <c:formatCode>General</c:formatCode>
                <c:ptCount val="38"/>
                <c:pt idx="0">
                  <c:v>5917.8469999999998</c:v>
                </c:pt>
                <c:pt idx="1">
                  <c:v>4909.4279999999999</c:v>
                </c:pt>
                <c:pt idx="2">
                  <c:v>6705.2610000000004</c:v>
                </c:pt>
                <c:pt idx="3">
                  <c:v>7343.8450000000003</c:v>
                </c:pt>
                <c:pt idx="4">
                  <c:v>6792.6689999999999</c:v>
                </c:pt>
                <c:pt idx="5">
                  <c:v>7273.8230000000003</c:v>
                </c:pt>
                <c:pt idx="6">
                  <c:v>9888.2659999999996</c:v>
                </c:pt>
                <c:pt idx="7">
                  <c:v>10674.32</c:v>
                </c:pt>
                <c:pt idx="8">
                  <c:v>10620.67</c:v>
                </c:pt>
                <c:pt idx="9">
                  <c:v>10395.049999999999</c:v>
                </c:pt>
                <c:pt idx="10">
                  <c:v>9567.1550000000007</c:v>
                </c:pt>
                <c:pt idx="11">
                  <c:v>10831.37</c:v>
                </c:pt>
                <c:pt idx="12">
                  <c:v>11939.96</c:v>
                </c:pt>
                <c:pt idx="13">
                  <c:v>9852.3909999999996</c:v>
                </c:pt>
                <c:pt idx="14">
                  <c:v>10130.15</c:v>
                </c:pt>
                <c:pt idx="15">
                  <c:v>12631.56</c:v>
                </c:pt>
                <c:pt idx="16">
                  <c:v>16350.96</c:v>
                </c:pt>
                <c:pt idx="17">
                  <c:v>15369.15</c:v>
                </c:pt>
                <c:pt idx="18">
                  <c:v>14193.67</c:v>
                </c:pt>
                <c:pt idx="19">
                  <c:v>13516.34</c:v>
                </c:pt>
                <c:pt idx="20">
                  <c:v>12777.6</c:v>
                </c:pt>
                <c:pt idx="21">
                  <c:v>15650.1</c:v>
                </c:pt>
                <c:pt idx="22">
                  <c:v>12500.37</c:v>
                </c:pt>
                <c:pt idx="23">
                  <c:v>16202.37</c:v>
                </c:pt>
                <c:pt idx="24">
                  <c:v>11929.23</c:v>
                </c:pt>
                <c:pt idx="25">
                  <c:v>13291.67</c:v>
                </c:pt>
                <c:pt idx="26">
                  <c:v>16521.55</c:v>
                </c:pt>
                <c:pt idx="27">
                  <c:v>12614.14</c:v>
                </c:pt>
                <c:pt idx="28">
                  <c:v>11163.29</c:v>
                </c:pt>
                <c:pt idx="29">
                  <c:v>11848.11</c:v>
                </c:pt>
                <c:pt idx="30">
                  <c:v>14301.02</c:v>
                </c:pt>
                <c:pt idx="31">
                  <c:v>11046.26</c:v>
                </c:pt>
                <c:pt idx="32">
                  <c:v>9720.0079999999998</c:v>
                </c:pt>
                <c:pt idx="33">
                  <c:v>9520.7649999999994</c:v>
                </c:pt>
                <c:pt idx="34">
                  <c:v>8251.7009999999991</c:v>
                </c:pt>
                <c:pt idx="35">
                  <c:v>10489.71</c:v>
                </c:pt>
                <c:pt idx="36">
                  <c:v>9015.848</c:v>
                </c:pt>
                <c:pt idx="37">
                  <c:v>9713.7389999999996</c:v>
                </c:pt>
              </c:numCache>
            </c:numRef>
          </c:val>
          <c:smooth val="0"/>
          <c:extLst>
            <c:ext xmlns:c16="http://schemas.microsoft.com/office/drawing/2014/chart" uri="{C3380CC4-5D6E-409C-BE32-E72D297353CC}">
              <c16:uniqueId val="{00000001-476B-46B4-B4B4-6977548C074C}"/>
            </c:ext>
          </c:extLst>
        </c:ser>
        <c:dLbls>
          <c:showLegendKey val="0"/>
          <c:showVal val="0"/>
          <c:showCatName val="0"/>
          <c:showSerName val="0"/>
          <c:showPercent val="0"/>
          <c:showBubbleSize val="0"/>
        </c:dLbls>
        <c:smooth val="0"/>
        <c:axId val="1123479663"/>
        <c:axId val="1123481327"/>
      </c:lineChart>
      <c:catAx>
        <c:axId val="1123479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481327"/>
        <c:crosses val="autoZero"/>
        <c:auto val="1"/>
        <c:lblAlgn val="ctr"/>
        <c:lblOffset val="100"/>
        <c:noMultiLvlLbl val="0"/>
      </c:catAx>
      <c:valAx>
        <c:axId val="11234813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479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'Tables for 3 periods'!$B$61</c:f>
              <c:strCache>
                <c:ptCount val="1"/>
                <c:pt idx="0">
                  <c:v>Period 1: 2005-09</c:v>
                </c:pt>
              </c:strCache>
            </c:strRef>
          </c:tx>
          <c:spPr>
            <a:solidFill>
              <a:schemeClr val="accent1"/>
            </a:solidFill>
            <a:ln>
              <a:noFill/>
            </a:ln>
            <a:effectLst/>
          </c:spPr>
          <c:invertIfNegative val="0"/>
          <c:cat>
            <c:strRef>
              <c:f>'Tables for 3 periods'!$A$62:$A$70</c:f>
              <c:strCache>
                <c:ptCount val="9"/>
                <c:pt idx="0">
                  <c:v>Gauteng</c:v>
                </c:pt>
                <c:pt idx="1">
                  <c:v>KwaZulu - Natal</c:v>
                </c:pt>
                <c:pt idx="2">
                  <c:v>Western Cape</c:v>
                </c:pt>
                <c:pt idx="3">
                  <c:v>Limpopo</c:v>
                </c:pt>
                <c:pt idx="4">
                  <c:v>Eastern Cape</c:v>
                </c:pt>
                <c:pt idx="5">
                  <c:v>Mpumalanga</c:v>
                </c:pt>
                <c:pt idx="6">
                  <c:v>North West</c:v>
                </c:pt>
                <c:pt idx="7">
                  <c:v>Free State</c:v>
                </c:pt>
                <c:pt idx="8">
                  <c:v>Northern Cape</c:v>
                </c:pt>
              </c:strCache>
            </c:strRef>
          </c:cat>
          <c:val>
            <c:numRef>
              <c:f>'Tables for 3 periods'!$B$62:$B$70</c:f>
              <c:numCache>
                <c:formatCode>0.0%</c:formatCode>
                <c:ptCount val="9"/>
                <c:pt idx="0">
                  <c:v>0.2928</c:v>
                </c:pt>
                <c:pt idx="1">
                  <c:v>0.22120000000000001</c:v>
                </c:pt>
                <c:pt idx="2">
                  <c:v>0.12189999999999999</c:v>
                </c:pt>
                <c:pt idx="3">
                  <c:v>7.5399999999999995E-2</c:v>
                </c:pt>
                <c:pt idx="4">
                  <c:v>9.3799999999999994E-2</c:v>
                </c:pt>
                <c:pt idx="5">
                  <c:v>7.2499999999999995E-2</c:v>
                </c:pt>
                <c:pt idx="6">
                  <c:v>5.5500000000000001E-2</c:v>
                </c:pt>
                <c:pt idx="7">
                  <c:v>5.3199999999999997E-2</c:v>
                </c:pt>
                <c:pt idx="8">
                  <c:v>1.38E-2</c:v>
                </c:pt>
              </c:numCache>
            </c:numRef>
          </c:val>
          <c:extLst>
            <c:ext xmlns:c16="http://schemas.microsoft.com/office/drawing/2014/chart" uri="{C3380CC4-5D6E-409C-BE32-E72D297353CC}">
              <c16:uniqueId val="{00000000-8CFE-4318-AEC3-036F2B22DC66}"/>
            </c:ext>
          </c:extLst>
        </c:ser>
        <c:ser>
          <c:idx val="1"/>
          <c:order val="1"/>
          <c:tx>
            <c:strRef>
              <c:f>'Tables for 3 periods'!$C$61</c:f>
              <c:strCache>
                <c:ptCount val="1"/>
                <c:pt idx="0">
                  <c:v>Period 2: 2010-14</c:v>
                </c:pt>
              </c:strCache>
            </c:strRef>
          </c:tx>
          <c:spPr>
            <a:solidFill>
              <a:schemeClr val="accent2"/>
            </a:solidFill>
            <a:ln>
              <a:noFill/>
            </a:ln>
            <a:effectLst/>
          </c:spPr>
          <c:invertIfNegative val="0"/>
          <c:cat>
            <c:strRef>
              <c:f>'Tables for 3 periods'!$A$62:$A$70</c:f>
              <c:strCache>
                <c:ptCount val="9"/>
                <c:pt idx="0">
                  <c:v>Gauteng</c:v>
                </c:pt>
                <c:pt idx="1">
                  <c:v>KwaZulu - Natal</c:v>
                </c:pt>
                <c:pt idx="2">
                  <c:v>Western Cape</c:v>
                </c:pt>
                <c:pt idx="3">
                  <c:v>Limpopo</c:v>
                </c:pt>
                <c:pt idx="4">
                  <c:v>Eastern Cape</c:v>
                </c:pt>
                <c:pt idx="5">
                  <c:v>Mpumalanga</c:v>
                </c:pt>
                <c:pt idx="6">
                  <c:v>North West</c:v>
                </c:pt>
                <c:pt idx="7">
                  <c:v>Free State</c:v>
                </c:pt>
                <c:pt idx="8">
                  <c:v>Northern Cape</c:v>
                </c:pt>
              </c:strCache>
            </c:strRef>
          </c:cat>
          <c:val>
            <c:numRef>
              <c:f>'Tables for 3 periods'!$C$62:$C$70</c:f>
              <c:numCache>
                <c:formatCode>0.0%</c:formatCode>
                <c:ptCount val="9"/>
                <c:pt idx="0">
                  <c:v>0.33090000000000003</c:v>
                </c:pt>
                <c:pt idx="1">
                  <c:v>0.18129999999999999</c:v>
                </c:pt>
                <c:pt idx="2">
                  <c:v>0.1472</c:v>
                </c:pt>
                <c:pt idx="3">
                  <c:v>8.1199999999999994E-2</c:v>
                </c:pt>
                <c:pt idx="4">
                  <c:v>7.5700000000000003E-2</c:v>
                </c:pt>
                <c:pt idx="5">
                  <c:v>7.0699999999999999E-2</c:v>
                </c:pt>
                <c:pt idx="6">
                  <c:v>5.0200000000000002E-2</c:v>
                </c:pt>
                <c:pt idx="7">
                  <c:v>4.8000000000000001E-2</c:v>
                </c:pt>
                <c:pt idx="8">
                  <c:v>1.49E-2</c:v>
                </c:pt>
              </c:numCache>
            </c:numRef>
          </c:val>
          <c:extLst>
            <c:ext xmlns:c16="http://schemas.microsoft.com/office/drawing/2014/chart" uri="{C3380CC4-5D6E-409C-BE32-E72D297353CC}">
              <c16:uniqueId val="{00000001-8CFE-4318-AEC3-036F2B22DC66}"/>
            </c:ext>
          </c:extLst>
        </c:ser>
        <c:ser>
          <c:idx val="2"/>
          <c:order val="2"/>
          <c:tx>
            <c:strRef>
              <c:f>'Tables for 3 periods'!$D$61</c:f>
              <c:strCache>
                <c:ptCount val="1"/>
                <c:pt idx="0">
                  <c:v>Period 3: 2015 - 18</c:v>
                </c:pt>
              </c:strCache>
            </c:strRef>
          </c:tx>
          <c:spPr>
            <a:solidFill>
              <a:schemeClr val="accent3"/>
            </a:solidFill>
            <a:ln>
              <a:noFill/>
            </a:ln>
            <a:effectLst/>
          </c:spPr>
          <c:invertIfNegative val="0"/>
          <c:cat>
            <c:strRef>
              <c:f>'Tables for 3 periods'!$A$62:$A$70</c:f>
              <c:strCache>
                <c:ptCount val="9"/>
                <c:pt idx="0">
                  <c:v>Gauteng</c:v>
                </c:pt>
                <c:pt idx="1">
                  <c:v>KwaZulu - Natal</c:v>
                </c:pt>
                <c:pt idx="2">
                  <c:v>Western Cape</c:v>
                </c:pt>
                <c:pt idx="3">
                  <c:v>Limpopo</c:v>
                </c:pt>
                <c:pt idx="4">
                  <c:v>Eastern Cape</c:v>
                </c:pt>
                <c:pt idx="5">
                  <c:v>Mpumalanga</c:v>
                </c:pt>
                <c:pt idx="6">
                  <c:v>North West</c:v>
                </c:pt>
                <c:pt idx="7">
                  <c:v>Free State</c:v>
                </c:pt>
                <c:pt idx="8">
                  <c:v>Northern Cape</c:v>
                </c:pt>
              </c:strCache>
            </c:strRef>
          </c:cat>
          <c:val>
            <c:numRef>
              <c:f>'Tables for 3 periods'!$D$62:$D$70</c:f>
              <c:numCache>
                <c:formatCode>0.0%</c:formatCode>
                <c:ptCount val="9"/>
                <c:pt idx="0">
                  <c:v>0.32829999999999998</c:v>
                </c:pt>
                <c:pt idx="1">
                  <c:v>0.1779</c:v>
                </c:pt>
                <c:pt idx="2">
                  <c:v>0.13780000000000001</c:v>
                </c:pt>
                <c:pt idx="3">
                  <c:v>9.4700000000000006E-2</c:v>
                </c:pt>
                <c:pt idx="4">
                  <c:v>7.8200000000000006E-2</c:v>
                </c:pt>
                <c:pt idx="5">
                  <c:v>7.4300000000000005E-2</c:v>
                </c:pt>
                <c:pt idx="6">
                  <c:v>5.0599999999999999E-2</c:v>
                </c:pt>
                <c:pt idx="7">
                  <c:v>4.5600000000000002E-2</c:v>
                </c:pt>
                <c:pt idx="8">
                  <c:v>1.2699999999999999E-2</c:v>
                </c:pt>
              </c:numCache>
            </c:numRef>
          </c:val>
          <c:extLst>
            <c:ext xmlns:c16="http://schemas.microsoft.com/office/drawing/2014/chart" uri="{C3380CC4-5D6E-409C-BE32-E72D297353CC}">
              <c16:uniqueId val="{00000002-8CFE-4318-AEC3-036F2B22DC66}"/>
            </c:ext>
          </c:extLst>
        </c:ser>
        <c:dLbls>
          <c:showLegendKey val="0"/>
          <c:showVal val="0"/>
          <c:showCatName val="0"/>
          <c:showSerName val="0"/>
          <c:showPercent val="0"/>
          <c:showBubbleSize val="0"/>
        </c:dLbls>
        <c:gapWidth val="219"/>
        <c:overlap val="-27"/>
        <c:axId val="1696399056"/>
        <c:axId val="1696399472"/>
      </c:barChart>
      <c:catAx>
        <c:axId val="1696399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399472"/>
        <c:crosses val="autoZero"/>
        <c:auto val="1"/>
        <c:lblAlgn val="ctr"/>
        <c:lblOffset val="100"/>
        <c:noMultiLvlLbl val="0"/>
      </c:catAx>
      <c:valAx>
        <c:axId val="169639947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63990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Sheet1!$B$114</c:f>
              <c:strCache>
                <c:ptCount val="1"/>
                <c:pt idx="0">
                  <c:v>Cultural goods exports</c:v>
                </c:pt>
              </c:strCache>
            </c:strRef>
          </c:tx>
          <c:spPr>
            <a:ln w="28575" cap="rnd">
              <a:solidFill>
                <a:schemeClr val="accent1"/>
              </a:solidFill>
              <a:round/>
            </a:ln>
            <a:effectLst/>
          </c:spPr>
          <c:marker>
            <c:symbol val="none"/>
          </c:marker>
          <c:cat>
            <c:numRef>
              <c:f>Sheet1!$C$113:$V$113</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Sheet1!$C$114:$V$114</c:f>
              <c:numCache>
                <c:formatCode>0</c:formatCode>
                <c:ptCount val="20"/>
                <c:pt idx="0">
                  <c:v>89.742999999999995</c:v>
                </c:pt>
                <c:pt idx="1">
                  <c:v>112.58499999999999</c:v>
                </c:pt>
                <c:pt idx="2">
                  <c:v>141.74</c:v>
                </c:pt>
                <c:pt idx="3">
                  <c:v>159.10400000000001</c:v>
                </c:pt>
                <c:pt idx="4">
                  <c:v>177.13900000000001</c:v>
                </c:pt>
                <c:pt idx="5">
                  <c:v>181.749</c:v>
                </c:pt>
                <c:pt idx="6">
                  <c:v>190.59399999999999</c:v>
                </c:pt>
                <c:pt idx="7">
                  <c:v>235.077</c:v>
                </c:pt>
                <c:pt idx="8">
                  <c:v>146.483</c:v>
                </c:pt>
                <c:pt idx="9">
                  <c:v>248.41200000000001</c:v>
                </c:pt>
                <c:pt idx="10">
                  <c:v>246.18299999999999</c:v>
                </c:pt>
                <c:pt idx="11">
                  <c:v>250.17488800000001</c:v>
                </c:pt>
                <c:pt idx="12">
                  <c:v>259.27717200000001</c:v>
                </c:pt>
                <c:pt idx="13">
                  <c:v>253.50454099999999</c:v>
                </c:pt>
                <c:pt idx="14">
                  <c:v>297.93949500000002</c:v>
                </c:pt>
                <c:pt idx="15">
                  <c:v>338.56381700000003</c:v>
                </c:pt>
                <c:pt idx="16">
                  <c:v>361.44</c:v>
                </c:pt>
                <c:pt idx="17">
                  <c:v>448.85700000000003</c:v>
                </c:pt>
                <c:pt idx="18">
                  <c:v>381.96100000000001</c:v>
                </c:pt>
                <c:pt idx="19">
                  <c:v>316.45800000000003</c:v>
                </c:pt>
              </c:numCache>
            </c:numRef>
          </c:val>
          <c:smooth val="0"/>
          <c:extLst>
            <c:ext xmlns:c16="http://schemas.microsoft.com/office/drawing/2014/chart" uri="{C3380CC4-5D6E-409C-BE32-E72D297353CC}">
              <c16:uniqueId val="{00000000-8E51-4411-8615-4E7476AD4076}"/>
            </c:ext>
          </c:extLst>
        </c:ser>
        <c:ser>
          <c:idx val="1"/>
          <c:order val="1"/>
          <c:tx>
            <c:strRef>
              <c:f>Sheet1!$B$115</c:f>
              <c:strCache>
                <c:ptCount val="1"/>
                <c:pt idx="0">
                  <c:v>Cultural goods imports</c:v>
                </c:pt>
              </c:strCache>
            </c:strRef>
          </c:tx>
          <c:spPr>
            <a:ln w="28575" cap="rnd">
              <a:solidFill>
                <a:schemeClr val="accent2"/>
              </a:solidFill>
              <a:round/>
            </a:ln>
            <a:effectLst/>
          </c:spPr>
          <c:marker>
            <c:symbol val="none"/>
          </c:marker>
          <c:cat>
            <c:numRef>
              <c:f>Sheet1!$C$113:$V$113</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Sheet1!$C$115:$V$115</c:f>
              <c:numCache>
                <c:formatCode>0</c:formatCode>
                <c:ptCount val="20"/>
                <c:pt idx="0">
                  <c:v>178.72800000000001</c:v>
                </c:pt>
                <c:pt idx="1">
                  <c:v>200.52099999999999</c:v>
                </c:pt>
                <c:pt idx="2">
                  <c:v>242.55199999999999</c:v>
                </c:pt>
                <c:pt idx="3">
                  <c:v>338.67</c:v>
                </c:pt>
                <c:pt idx="4">
                  <c:v>412.20699999999999</c:v>
                </c:pt>
                <c:pt idx="5">
                  <c:v>601.06700000000001</c:v>
                </c:pt>
                <c:pt idx="6">
                  <c:v>645.17100000000005</c:v>
                </c:pt>
                <c:pt idx="7">
                  <c:v>605.19899999999996</c:v>
                </c:pt>
                <c:pt idx="8">
                  <c:v>443.00400000000002</c:v>
                </c:pt>
                <c:pt idx="9">
                  <c:v>591.65300000000002</c:v>
                </c:pt>
                <c:pt idx="10">
                  <c:v>619.41200000000003</c:v>
                </c:pt>
                <c:pt idx="11">
                  <c:v>673.43706599999996</c:v>
                </c:pt>
                <c:pt idx="12">
                  <c:v>636.69057099999998</c:v>
                </c:pt>
                <c:pt idx="13">
                  <c:v>618.51328899999999</c:v>
                </c:pt>
                <c:pt idx="14">
                  <c:v>519.127746</c:v>
                </c:pt>
                <c:pt idx="15">
                  <c:v>493.62676400000004</c:v>
                </c:pt>
                <c:pt idx="16">
                  <c:v>449.01400000000001</c:v>
                </c:pt>
                <c:pt idx="17">
                  <c:v>473.23399999999998</c:v>
                </c:pt>
                <c:pt idx="18">
                  <c:v>394.74200000000002</c:v>
                </c:pt>
                <c:pt idx="19">
                  <c:v>257.80399999999997</c:v>
                </c:pt>
              </c:numCache>
            </c:numRef>
          </c:val>
          <c:smooth val="0"/>
          <c:extLst>
            <c:ext xmlns:c16="http://schemas.microsoft.com/office/drawing/2014/chart" uri="{C3380CC4-5D6E-409C-BE32-E72D297353CC}">
              <c16:uniqueId val="{00000001-8E51-4411-8615-4E7476AD4076}"/>
            </c:ext>
          </c:extLst>
        </c:ser>
        <c:dLbls>
          <c:showLegendKey val="0"/>
          <c:showVal val="0"/>
          <c:showCatName val="0"/>
          <c:showSerName val="0"/>
          <c:showPercent val="0"/>
          <c:showBubbleSize val="0"/>
        </c:dLbls>
        <c:smooth val="0"/>
        <c:axId val="1786600751"/>
        <c:axId val="1881172831"/>
      </c:lineChart>
      <c:catAx>
        <c:axId val="1786600751"/>
        <c:scaling>
          <c:orientation val="minMax"/>
        </c:scaling>
        <c:delete val="0"/>
        <c:axPos val="b"/>
        <c:numFmt formatCode="0"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1172831"/>
        <c:crosses val="autoZero"/>
        <c:auto val="1"/>
        <c:lblAlgn val="ctr"/>
        <c:lblOffset val="100"/>
        <c:noMultiLvlLbl val="0"/>
      </c:catAx>
      <c:valAx>
        <c:axId val="188117283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66007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'with graphs'!$B$156</c:f>
              <c:strCache>
                <c:ptCount val="1"/>
                <c:pt idx="0">
                  <c:v>Total commodity exports</c:v>
                </c:pt>
              </c:strCache>
            </c:strRef>
          </c:tx>
          <c:spPr>
            <a:ln w="28575" cap="rnd">
              <a:solidFill>
                <a:schemeClr val="accent1"/>
              </a:solidFill>
              <a:round/>
            </a:ln>
            <a:effectLst/>
          </c:spPr>
          <c:marker>
            <c:symbol val="none"/>
          </c:marker>
          <c:cat>
            <c:numRef>
              <c:f>'with graphs'!$C$155:$V$155</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'with graphs'!$C$156:$V$156</c:f>
              <c:numCache>
                <c:formatCode>General</c:formatCode>
                <c:ptCount val="20"/>
                <c:pt idx="0">
                  <c:v>25997.548999999999</c:v>
                </c:pt>
                <c:pt idx="1">
                  <c:v>23064.42</c:v>
                </c:pt>
                <c:pt idx="2">
                  <c:v>31635.888999999999</c:v>
                </c:pt>
                <c:pt idx="3">
                  <c:v>40263.523000000001</c:v>
                </c:pt>
                <c:pt idx="4">
                  <c:v>46991.046999999999</c:v>
                </c:pt>
                <c:pt idx="5">
                  <c:v>52601.760000000002</c:v>
                </c:pt>
                <c:pt idx="6">
                  <c:v>64026.608</c:v>
                </c:pt>
                <c:pt idx="7">
                  <c:v>73965.546000000002</c:v>
                </c:pt>
                <c:pt idx="8">
                  <c:v>53863.892</c:v>
                </c:pt>
                <c:pt idx="9">
                  <c:v>82630.649999999994</c:v>
                </c:pt>
                <c:pt idx="10">
                  <c:v>107956.344</c:v>
                </c:pt>
                <c:pt idx="11">
                  <c:v>98824.504000000001</c:v>
                </c:pt>
                <c:pt idx="12">
                  <c:v>95062.895000000004</c:v>
                </c:pt>
                <c:pt idx="13">
                  <c:v>92590.712</c:v>
                </c:pt>
                <c:pt idx="14">
                  <c:v>81791.37</c:v>
                </c:pt>
                <c:pt idx="15">
                  <c:v>76586.726999999999</c:v>
                </c:pt>
                <c:pt idx="16">
                  <c:v>89555.816999999995</c:v>
                </c:pt>
                <c:pt idx="17">
                  <c:v>95179.153999999995</c:v>
                </c:pt>
                <c:pt idx="18">
                  <c:v>90419.472999999998</c:v>
                </c:pt>
                <c:pt idx="19">
                  <c:v>85686.133000000002</c:v>
                </c:pt>
              </c:numCache>
            </c:numRef>
          </c:val>
          <c:smooth val="0"/>
          <c:extLst>
            <c:ext xmlns:c16="http://schemas.microsoft.com/office/drawing/2014/chart" uri="{C3380CC4-5D6E-409C-BE32-E72D297353CC}">
              <c16:uniqueId val="{00000000-48F7-46F1-90EF-D4F195AD7474}"/>
            </c:ext>
          </c:extLst>
        </c:ser>
        <c:ser>
          <c:idx val="1"/>
          <c:order val="1"/>
          <c:tx>
            <c:strRef>
              <c:f>'with graphs'!$B$157</c:f>
              <c:strCache>
                <c:ptCount val="1"/>
                <c:pt idx="0">
                  <c:v>Total commodity imports</c:v>
                </c:pt>
              </c:strCache>
            </c:strRef>
          </c:tx>
          <c:spPr>
            <a:ln w="28575" cap="rnd">
              <a:solidFill>
                <a:schemeClr val="accent2"/>
              </a:solidFill>
              <a:round/>
            </a:ln>
            <a:effectLst/>
          </c:spPr>
          <c:marker>
            <c:symbol val="none"/>
          </c:marker>
          <c:cat>
            <c:numRef>
              <c:f>'with graphs'!$C$155:$V$155</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'with graphs'!$C$157:$V$157</c:f>
              <c:numCache>
                <c:formatCode>General</c:formatCode>
                <c:ptCount val="20"/>
                <c:pt idx="0">
                  <c:v>25595.223000000002</c:v>
                </c:pt>
                <c:pt idx="1">
                  <c:v>26220.644</c:v>
                </c:pt>
                <c:pt idx="2">
                  <c:v>34414.478000000003</c:v>
                </c:pt>
                <c:pt idx="3">
                  <c:v>47603.273999999998</c:v>
                </c:pt>
                <c:pt idx="4">
                  <c:v>55032.639000000003</c:v>
                </c:pt>
                <c:pt idx="5">
                  <c:v>68469.125</c:v>
                </c:pt>
                <c:pt idx="6">
                  <c:v>79872.587</c:v>
                </c:pt>
                <c:pt idx="7">
                  <c:v>87593.067999999999</c:v>
                </c:pt>
                <c:pt idx="8">
                  <c:v>63766.057999999997</c:v>
                </c:pt>
                <c:pt idx="9">
                  <c:v>83099.781000000003</c:v>
                </c:pt>
                <c:pt idx="10">
                  <c:v>102793.02899999999</c:v>
                </c:pt>
                <c:pt idx="11">
                  <c:v>104180.41099999999</c:v>
                </c:pt>
                <c:pt idx="12">
                  <c:v>103309.10799999999</c:v>
                </c:pt>
                <c:pt idx="13">
                  <c:v>99794.562000000005</c:v>
                </c:pt>
                <c:pt idx="14">
                  <c:v>85754.735000000001</c:v>
                </c:pt>
                <c:pt idx="15">
                  <c:v>75126.145000000004</c:v>
                </c:pt>
                <c:pt idx="16">
                  <c:v>83293.796000000002</c:v>
                </c:pt>
                <c:pt idx="17">
                  <c:v>94023.947</c:v>
                </c:pt>
                <c:pt idx="18">
                  <c:v>88216.179000000004</c:v>
                </c:pt>
                <c:pt idx="19">
                  <c:v>68704.67</c:v>
                </c:pt>
              </c:numCache>
            </c:numRef>
          </c:val>
          <c:smooth val="0"/>
          <c:extLst>
            <c:ext xmlns:c16="http://schemas.microsoft.com/office/drawing/2014/chart" uri="{C3380CC4-5D6E-409C-BE32-E72D297353CC}">
              <c16:uniqueId val="{00000001-48F7-46F1-90EF-D4F195AD7474}"/>
            </c:ext>
          </c:extLst>
        </c:ser>
        <c:dLbls>
          <c:showLegendKey val="0"/>
          <c:showVal val="0"/>
          <c:showCatName val="0"/>
          <c:showSerName val="0"/>
          <c:showPercent val="0"/>
          <c:showBubbleSize val="0"/>
        </c:dLbls>
        <c:smooth val="0"/>
        <c:axId val="1871159615"/>
        <c:axId val="1834246639"/>
      </c:lineChart>
      <c:catAx>
        <c:axId val="1871159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4246639"/>
        <c:crosses val="autoZero"/>
        <c:auto val="1"/>
        <c:lblAlgn val="ctr"/>
        <c:lblOffset val="100"/>
        <c:noMultiLvlLbl val="0"/>
      </c:catAx>
      <c:valAx>
        <c:axId val="183424663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1159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'with graphs'!$B$121</c:f>
              <c:strCache>
                <c:ptCount val="1"/>
                <c:pt idx="0">
                  <c:v>Cultural goods exports%</c:v>
                </c:pt>
              </c:strCache>
            </c:strRef>
          </c:tx>
          <c:spPr>
            <a:solidFill>
              <a:schemeClr val="accent1"/>
            </a:solidFill>
            <a:ln>
              <a:noFill/>
            </a:ln>
            <a:effectLst/>
          </c:spPr>
          <c:invertIfNegative val="0"/>
          <c:cat>
            <c:numRef>
              <c:f>'with graphs'!$C$120:$V$120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'with graphs'!$C$121:$V$121</c:f>
              <c:numCache>
                <c:formatCode>0.00</c:formatCode>
                <c:ptCount val="20"/>
                <c:pt idx="0">
                  <c:v>0.34519792615834671</c:v>
                </c:pt>
                <c:pt idx="1">
                  <c:v>0.48813280368637063</c:v>
                </c:pt>
                <c:pt idx="2">
                  <c:v>0.44803545745150397</c:v>
                </c:pt>
                <c:pt idx="3">
                  <c:v>0.39515667816748179</c:v>
                </c:pt>
                <c:pt idx="4">
                  <c:v>0.37696329685950608</c:v>
                </c:pt>
                <c:pt idx="5">
                  <c:v>0.34551885716371467</c:v>
                </c:pt>
                <c:pt idx="6">
                  <c:v>0.29767936480408269</c:v>
                </c:pt>
                <c:pt idx="7">
                  <c:v>0.31781959670790505</c:v>
                </c:pt>
                <c:pt idx="8">
                  <c:v>0.27195027050774573</c:v>
                </c:pt>
                <c:pt idx="9">
                  <c:v>0.30062936694797876</c:v>
                </c:pt>
                <c:pt idx="10">
                  <c:v>0.22803940081557411</c:v>
                </c:pt>
                <c:pt idx="11">
                  <c:v>0.25315066392845242</c:v>
                </c:pt>
                <c:pt idx="12">
                  <c:v>0.27274276887948762</c:v>
                </c:pt>
                <c:pt idx="13">
                  <c:v>0.27379046507386179</c:v>
                </c:pt>
                <c:pt idx="14">
                  <c:v>0.36426764217300678</c:v>
                </c:pt>
                <c:pt idx="15">
                  <c:v>0.44206591698323916</c:v>
                </c:pt>
                <c:pt idx="16">
                  <c:v>0.40359187388129131</c:v>
                </c:pt>
                <c:pt idx="17">
                  <c:v>0.4715917100923171</c:v>
                </c:pt>
                <c:pt idx="18">
                  <c:v>0.42243223425998072</c:v>
                </c:pt>
                <c:pt idx="19">
                  <c:v>0.36932230329498006</c:v>
                </c:pt>
              </c:numCache>
            </c:numRef>
          </c:val>
          <c:extLst>
            <c:ext xmlns:c16="http://schemas.microsoft.com/office/drawing/2014/chart" uri="{C3380CC4-5D6E-409C-BE32-E72D297353CC}">
              <c16:uniqueId val="{00000000-E27E-49FB-85E1-182885CB58BE}"/>
            </c:ext>
          </c:extLst>
        </c:ser>
        <c:ser>
          <c:idx val="1"/>
          <c:order val="1"/>
          <c:tx>
            <c:strRef>
              <c:f>'with graphs'!$B$122</c:f>
              <c:strCache>
                <c:ptCount val="1"/>
                <c:pt idx="0">
                  <c:v>Cultural goods imports%</c:v>
                </c:pt>
              </c:strCache>
            </c:strRef>
          </c:tx>
          <c:spPr>
            <a:solidFill>
              <a:schemeClr val="accent2"/>
            </a:solidFill>
            <a:ln>
              <a:noFill/>
            </a:ln>
            <a:effectLst/>
          </c:spPr>
          <c:invertIfNegative val="0"/>
          <c:cat>
            <c:numRef>
              <c:f>'with graphs'!$C$120:$V$120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'with graphs'!$C$122:$V$122</c:f>
              <c:numCache>
                <c:formatCode>0.00</c:formatCode>
                <c:ptCount val="20"/>
                <c:pt idx="0">
                  <c:v>0.69828655136155682</c:v>
                </c:pt>
                <c:pt idx="1">
                  <c:v>0.76474475607845482</c:v>
                </c:pt>
                <c:pt idx="2">
                  <c:v>0.70479639412226436</c:v>
                </c:pt>
                <c:pt idx="3">
                  <c:v>0.71144266253619459</c:v>
                </c:pt>
                <c:pt idx="4">
                  <c:v>0.74902277537517326</c:v>
                </c:pt>
                <c:pt idx="5">
                  <c:v>0.87786575335963479</c:v>
                </c:pt>
                <c:pt idx="6">
                  <c:v>0.80775022349031977</c:v>
                </c:pt>
                <c:pt idx="7">
                  <c:v>0.69092111261589784</c:v>
                </c:pt>
                <c:pt idx="8">
                  <c:v>0.69473323880237359</c:v>
                </c:pt>
                <c:pt idx="9">
                  <c:v>0.71197901231532734</c:v>
                </c:pt>
                <c:pt idx="10">
                  <c:v>0.60258171787116033</c:v>
                </c:pt>
                <c:pt idx="11">
                  <c:v>0.64641429183841481</c:v>
                </c:pt>
                <c:pt idx="12">
                  <c:v>0.61629664927510563</c:v>
                </c:pt>
                <c:pt idx="13">
                  <c:v>0.61978656612571736</c:v>
                </c:pt>
                <c:pt idx="14">
                  <c:v>0.60536336098525634</c:v>
                </c:pt>
                <c:pt idx="15">
                  <c:v>0.65706388102304458</c:v>
                </c:pt>
                <c:pt idx="16">
                  <c:v>0.53907256189884778</c:v>
                </c:pt>
                <c:pt idx="17">
                  <c:v>0.50331220407073529</c:v>
                </c:pt>
                <c:pt idx="18">
                  <c:v>0.44747120593377776</c:v>
                </c:pt>
                <c:pt idx="19">
                  <c:v>0.37523504588552714</c:v>
                </c:pt>
              </c:numCache>
            </c:numRef>
          </c:val>
          <c:extLst>
            <c:ext xmlns:c16="http://schemas.microsoft.com/office/drawing/2014/chart" uri="{C3380CC4-5D6E-409C-BE32-E72D297353CC}">
              <c16:uniqueId val="{00000001-E27E-49FB-85E1-182885CB58BE}"/>
            </c:ext>
          </c:extLst>
        </c:ser>
        <c:dLbls>
          <c:showLegendKey val="0"/>
          <c:showVal val="0"/>
          <c:showCatName val="0"/>
          <c:showSerName val="0"/>
          <c:showPercent val="0"/>
          <c:showBubbleSize val="0"/>
        </c:dLbls>
        <c:gapWidth val="219"/>
        <c:overlap val="-27"/>
        <c:axId val="1833869391"/>
        <c:axId val="1754146527"/>
      </c:barChart>
      <c:catAx>
        <c:axId val="183386939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146527"/>
        <c:crosses val="autoZero"/>
        <c:auto val="1"/>
        <c:lblAlgn val="ctr"/>
        <c:lblOffset val="100"/>
        <c:noMultiLvlLbl val="0"/>
      </c:catAx>
      <c:valAx>
        <c:axId val="17541465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3869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'domains only'!$C$17</c:f>
              <c:strCache>
                <c:ptCount val="1"/>
                <c:pt idx="0">
                  <c:v>A. Cultural and Natural Heritage</c:v>
                </c:pt>
              </c:strCache>
            </c:strRef>
          </c:tx>
          <c:spPr>
            <a:ln w="28575" cap="rnd">
              <a:solidFill>
                <a:schemeClr val="accent1"/>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only'!$D$17:$W$17</c:f>
              <c:numCache>
                <c:formatCode>0</c:formatCode>
                <c:ptCount val="20"/>
                <c:pt idx="0">
                  <c:v>4.9740000000000002</c:v>
                </c:pt>
                <c:pt idx="1">
                  <c:v>9.3409999999999993</c:v>
                </c:pt>
                <c:pt idx="2">
                  <c:v>11.913</c:v>
                </c:pt>
                <c:pt idx="3">
                  <c:v>8.5649999999999995</c:v>
                </c:pt>
                <c:pt idx="4">
                  <c:v>13.202</c:v>
                </c:pt>
                <c:pt idx="5">
                  <c:v>11.818</c:v>
                </c:pt>
                <c:pt idx="6">
                  <c:v>14.211</c:v>
                </c:pt>
                <c:pt idx="7">
                  <c:v>60.893999999999998</c:v>
                </c:pt>
                <c:pt idx="8">
                  <c:v>15.316000000000001</c:v>
                </c:pt>
                <c:pt idx="9">
                  <c:v>16.216999999999999</c:v>
                </c:pt>
                <c:pt idx="10">
                  <c:v>18.748000000000001</c:v>
                </c:pt>
                <c:pt idx="11">
                  <c:v>42.045999999999999</c:v>
                </c:pt>
                <c:pt idx="12">
                  <c:v>16.422999999999998</c:v>
                </c:pt>
                <c:pt idx="13">
                  <c:v>18.309000000000001</c:v>
                </c:pt>
                <c:pt idx="14">
                  <c:v>21.367000000000001</c:v>
                </c:pt>
                <c:pt idx="15">
                  <c:v>20.507000000000001</c:v>
                </c:pt>
                <c:pt idx="16">
                  <c:v>19.795999999999999</c:v>
                </c:pt>
                <c:pt idx="17">
                  <c:v>21.045000000000002</c:v>
                </c:pt>
                <c:pt idx="18">
                  <c:v>23.478999999999999</c:v>
                </c:pt>
                <c:pt idx="19">
                  <c:v>16.951000000000001</c:v>
                </c:pt>
              </c:numCache>
            </c:numRef>
          </c:val>
          <c:smooth val="0"/>
          <c:extLst>
            <c:ext xmlns:c16="http://schemas.microsoft.com/office/drawing/2014/chart" uri="{C3380CC4-5D6E-409C-BE32-E72D297353CC}">
              <c16:uniqueId val="{00000000-E178-4184-AD3E-8CA036F3765E}"/>
            </c:ext>
          </c:extLst>
        </c:ser>
        <c:ser>
          <c:idx val="1"/>
          <c:order val="1"/>
          <c:tx>
            <c:strRef>
              <c:f>'domains only'!$C$18</c:f>
              <c:strCache>
                <c:ptCount val="1"/>
                <c:pt idx="0">
                  <c:v>B. Performance and Celebration</c:v>
                </c:pt>
              </c:strCache>
            </c:strRef>
          </c:tx>
          <c:spPr>
            <a:ln w="28575" cap="rnd">
              <a:solidFill>
                <a:schemeClr val="accent2"/>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only'!$D$18:$W$18</c:f>
              <c:numCache>
                <c:formatCode>0</c:formatCode>
                <c:ptCount val="20"/>
                <c:pt idx="0">
                  <c:v>1.081</c:v>
                </c:pt>
                <c:pt idx="1">
                  <c:v>0.81200000000000006</c:v>
                </c:pt>
                <c:pt idx="2">
                  <c:v>0.622</c:v>
                </c:pt>
                <c:pt idx="3">
                  <c:v>0.89300000000000002</c:v>
                </c:pt>
                <c:pt idx="4">
                  <c:v>0.98199999999999998</c:v>
                </c:pt>
                <c:pt idx="5">
                  <c:v>1.0049999999999999</c:v>
                </c:pt>
                <c:pt idx="6">
                  <c:v>13.978</c:v>
                </c:pt>
                <c:pt idx="7">
                  <c:v>17.771999999999998</c:v>
                </c:pt>
                <c:pt idx="8">
                  <c:v>16.024000000000001</c:v>
                </c:pt>
                <c:pt idx="9">
                  <c:v>28.548999999999999</c:v>
                </c:pt>
                <c:pt idx="10">
                  <c:v>22.222999999999999</c:v>
                </c:pt>
                <c:pt idx="11">
                  <c:v>22.114999999999998</c:v>
                </c:pt>
                <c:pt idx="12">
                  <c:v>17.100000000000001</c:v>
                </c:pt>
                <c:pt idx="13">
                  <c:v>34.145000000000003</c:v>
                </c:pt>
                <c:pt idx="14">
                  <c:v>48.631999999999998</c:v>
                </c:pt>
                <c:pt idx="15">
                  <c:v>48.500999999999998</c:v>
                </c:pt>
                <c:pt idx="16">
                  <c:v>57.680999999999997</c:v>
                </c:pt>
                <c:pt idx="17">
                  <c:v>53.7</c:v>
                </c:pt>
                <c:pt idx="18">
                  <c:v>52.676000000000002</c:v>
                </c:pt>
                <c:pt idx="19">
                  <c:v>34.424999999999997</c:v>
                </c:pt>
              </c:numCache>
            </c:numRef>
          </c:val>
          <c:smooth val="0"/>
          <c:extLst>
            <c:ext xmlns:c16="http://schemas.microsoft.com/office/drawing/2014/chart" uri="{C3380CC4-5D6E-409C-BE32-E72D297353CC}">
              <c16:uniqueId val="{00000001-E178-4184-AD3E-8CA036F3765E}"/>
            </c:ext>
          </c:extLst>
        </c:ser>
        <c:ser>
          <c:idx val="2"/>
          <c:order val="2"/>
          <c:tx>
            <c:strRef>
              <c:f>'domains only'!$C$19</c:f>
              <c:strCache>
                <c:ptCount val="1"/>
                <c:pt idx="0">
                  <c:v>C. Visual Arts and Crafts</c:v>
                </c:pt>
              </c:strCache>
            </c:strRef>
          </c:tx>
          <c:spPr>
            <a:ln w="28575" cap="rnd">
              <a:solidFill>
                <a:schemeClr val="accent3"/>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only'!$D$19:$W$19</c:f>
              <c:numCache>
                <c:formatCode>0</c:formatCode>
                <c:ptCount val="20"/>
                <c:pt idx="0">
                  <c:v>65.844999999999999</c:v>
                </c:pt>
                <c:pt idx="1">
                  <c:v>78.87</c:v>
                </c:pt>
                <c:pt idx="2">
                  <c:v>98.471000000000004</c:v>
                </c:pt>
                <c:pt idx="3">
                  <c:v>118.226</c:v>
                </c:pt>
                <c:pt idx="4">
                  <c:v>124.53700000000001</c:v>
                </c:pt>
                <c:pt idx="5">
                  <c:v>112.768</c:v>
                </c:pt>
                <c:pt idx="6">
                  <c:v>110.289</c:v>
                </c:pt>
                <c:pt idx="7">
                  <c:v>112.471</c:v>
                </c:pt>
                <c:pt idx="8">
                  <c:v>75.131</c:v>
                </c:pt>
                <c:pt idx="9">
                  <c:v>89.037999999999997</c:v>
                </c:pt>
                <c:pt idx="10">
                  <c:v>83.96</c:v>
                </c:pt>
                <c:pt idx="11">
                  <c:v>91.84</c:v>
                </c:pt>
                <c:pt idx="12">
                  <c:v>138.15899999999999</c:v>
                </c:pt>
                <c:pt idx="13">
                  <c:v>124.11799999999999</c:v>
                </c:pt>
                <c:pt idx="14">
                  <c:v>151.82499999999999</c:v>
                </c:pt>
                <c:pt idx="15">
                  <c:v>202.38800000000001</c:v>
                </c:pt>
                <c:pt idx="16">
                  <c:v>224.97399999999999</c:v>
                </c:pt>
                <c:pt idx="17">
                  <c:v>298.54000000000002</c:v>
                </c:pt>
                <c:pt idx="18">
                  <c:v>244.28899999999999</c:v>
                </c:pt>
                <c:pt idx="19">
                  <c:v>191.59899999999999</c:v>
                </c:pt>
              </c:numCache>
            </c:numRef>
          </c:val>
          <c:smooth val="0"/>
          <c:extLst>
            <c:ext xmlns:c16="http://schemas.microsoft.com/office/drawing/2014/chart" uri="{C3380CC4-5D6E-409C-BE32-E72D297353CC}">
              <c16:uniqueId val="{00000002-E178-4184-AD3E-8CA036F3765E}"/>
            </c:ext>
          </c:extLst>
        </c:ser>
        <c:ser>
          <c:idx val="3"/>
          <c:order val="3"/>
          <c:tx>
            <c:strRef>
              <c:f>'domains only'!$C$20</c:f>
              <c:strCache>
                <c:ptCount val="1"/>
                <c:pt idx="0">
                  <c:v>D. Books and Press</c:v>
                </c:pt>
              </c:strCache>
            </c:strRef>
          </c:tx>
          <c:spPr>
            <a:ln w="28575" cap="rnd">
              <a:solidFill>
                <a:schemeClr val="accent4"/>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only'!$D$20:$W$20</c:f>
              <c:numCache>
                <c:formatCode>0</c:formatCode>
                <c:ptCount val="20"/>
                <c:pt idx="0">
                  <c:v>17.114000000000001</c:v>
                </c:pt>
                <c:pt idx="1">
                  <c:v>22.622</c:v>
                </c:pt>
                <c:pt idx="2">
                  <c:v>30.132000000000001</c:v>
                </c:pt>
                <c:pt idx="3">
                  <c:v>30.791</c:v>
                </c:pt>
                <c:pt idx="4">
                  <c:v>37.435000000000002</c:v>
                </c:pt>
                <c:pt idx="5">
                  <c:v>53.41</c:v>
                </c:pt>
                <c:pt idx="6">
                  <c:v>47.314999999999998</c:v>
                </c:pt>
                <c:pt idx="7">
                  <c:v>41.052</c:v>
                </c:pt>
                <c:pt idx="8">
                  <c:v>34.710999999999999</c:v>
                </c:pt>
                <c:pt idx="9">
                  <c:v>111.184</c:v>
                </c:pt>
                <c:pt idx="10">
                  <c:v>115.303</c:v>
                </c:pt>
                <c:pt idx="11">
                  <c:v>90.766999999999996</c:v>
                </c:pt>
                <c:pt idx="12">
                  <c:v>82.781000000000006</c:v>
                </c:pt>
                <c:pt idx="13">
                  <c:v>69.727999999999994</c:v>
                </c:pt>
                <c:pt idx="14">
                  <c:v>70.986999999999995</c:v>
                </c:pt>
                <c:pt idx="15">
                  <c:v>63.856000000000002</c:v>
                </c:pt>
                <c:pt idx="16">
                  <c:v>58.953000000000003</c:v>
                </c:pt>
                <c:pt idx="17">
                  <c:v>75.241</c:v>
                </c:pt>
                <c:pt idx="18">
                  <c:v>61.497999999999998</c:v>
                </c:pt>
                <c:pt idx="19">
                  <c:v>73.459999999999994</c:v>
                </c:pt>
              </c:numCache>
            </c:numRef>
          </c:val>
          <c:smooth val="0"/>
          <c:extLst>
            <c:ext xmlns:c16="http://schemas.microsoft.com/office/drawing/2014/chart" uri="{C3380CC4-5D6E-409C-BE32-E72D297353CC}">
              <c16:uniqueId val="{00000003-E178-4184-AD3E-8CA036F3765E}"/>
            </c:ext>
          </c:extLst>
        </c:ser>
        <c:ser>
          <c:idx val="4"/>
          <c:order val="4"/>
          <c:tx>
            <c:strRef>
              <c:f>'domains only'!$C$21</c:f>
              <c:strCache>
                <c:ptCount val="1"/>
                <c:pt idx="0">
                  <c:v>E. Audio-visual and Interactive Media</c:v>
                </c:pt>
              </c:strCache>
            </c:strRef>
          </c:tx>
          <c:spPr>
            <a:ln w="28575" cap="rnd">
              <a:solidFill>
                <a:schemeClr val="accent5"/>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only'!$D$21:$W$21</c:f>
              <c:numCache>
                <c:formatCode>0</c:formatCode>
                <c:ptCount val="20"/>
                <c:pt idx="0">
                  <c:v>0.47199999999999998</c:v>
                </c:pt>
                <c:pt idx="1">
                  <c:v>0.90300000000000002</c:v>
                </c:pt>
                <c:pt idx="2">
                  <c:v>0.436</c:v>
                </c:pt>
                <c:pt idx="3">
                  <c:v>0.59599999999999997</c:v>
                </c:pt>
                <c:pt idx="4">
                  <c:v>0.94899999999999995</c:v>
                </c:pt>
                <c:pt idx="5">
                  <c:v>2.72</c:v>
                </c:pt>
                <c:pt idx="6">
                  <c:v>4.2119999999999997</c:v>
                </c:pt>
                <c:pt idx="7">
                  <c:v>1.766</c:v>
                </c:pt>
                <c:pt idx="8">
                  <c:v>3.3050000000000002</c:v>
                </c:pt>
                <c:pt idx="9">
                  <c:v>3.2090000000000001</c:v>
                </c:pt>
                <c:pt idx="10">
                  <c:v>5.3760000000000003</c:v>
                </c:pt>
                <c:pt idx="11">
                  <c:v>3.276888</c:v>
                </c:pt>
                <c:pt idx="12">
                  <c:v>4.6471719999999994</c:v>
                </c:pt>
                <c:pt idx="13">
                  <c:v>7.1605410000000003</c:v>
                </c:pt>
                <c:pt idx="14">
                  <c:v>5.0584949999999997</c:v>
                </c:pt>
                <c:pt idx="15">
                  <c:v>3.2608169999999999</c:v>
                </c:pt>
                <c:pt idx="16">
                  <c:v>0</c:v>
                </c:pt>
                <c:pt idx="17">
                  <c:v>0</c:v>
                </c:pt>
                <c:pt idx="18">
                  <c:v>0</c:v>
                </c:pt>
                <c:pt idx="19">
                  <c:v>2E-3</c:v>
                </c:pt>
              </c:numCache>
            </c:numRef>
          </c:val>
          <c:smooth val="0"/>
          <c:extLst>
            <c:ext xmlns:c16="http://schemas.microsoft.com/office/drawing/2014/chart" uri="{C3380CC4-5D6E-409C-BE32-E72D297353CC}">
              <c16:uniqueId val="{00000004-E178-4184-AD3E-8CA036F3765E}"/>
            </c:ext>
          </c:extLst>
        </c:ser>
        <c:ser>
          <c:idx val="5"/>
          <c:order val="5"/>
          <c:tx>
            <c:strRef>
              <c:f>'domains only'!$C$22</c:f>
              <c:strCache>
                <c:ptCount val="1"/>
                <c:pt idx="0">
                  <c:v>F. Design and Creative Services</c:v>
                </c:pt>
              </c:strCache>
            </c:strRef>
          </c:tx>
          <c:spPr>
            <a:ln w="28575" cap="rnd">
              <a:solidFill>
                <a:schemeClr val="accent6"/>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only'!$D$22:$W$22</c:f>
              <c:numCache>
                <c:formatCode>0</c:formatCode>
                <c:ptCount val="20"/>
                <c:pt idx="0">
                  <c:v>0.25700000000000001</c:v>
                </c:pt>
                <c:pt idx="1">
                  <c:v>3.6999999999999998E-2</c:v>
                </c:pt>
                <c:pt idx="2">
                  <c:v>0.16600000000000001</c:v>
                </c:pt>
                <c:pt idx="3">
                  <c:v>3.3000000000000002E-2</c:v>
                </c:pt>
                <c:pt idx="4">
                  <c:v>3.4000000000000002E-2</c:v>
                </c:pt>
                <c:pt idx="5">
                  <c:v>2.8000000000000001E-2</c:v>
                </c:pt>
                <c:pt idx="6">
                  <c:v>0.58899999999999997</c:v>
                </c:pt>
                <c:pt idx="7">
                  <c:v>1.1220000000000001</c:v>
                </c:pt>
                <c:pt idx="8">
                  <c:v>1.996</c:v>
                </c:pt>
                <c:pt idx="9">
                  <c:v>0.215</c:v>
                </c:pt>
                <c:pt idx="10">
                  <c:v>0.57299999999999995</c:v>
                </c:pt>
                <c:pt idx="11">
                  <c:v>0.13</c:v>
                </c:pt>
                <c:pt idx="12">
                  <c:v>0.16700000000000001</c:v>
                </c:pt>
                <c:pt idx="13">
                  <c:v>4.3999999999999997E-2</c:v>
                </c:pt>
                <c:pt idx="14">
                  <c:v>7.0000000000000007E-2</c:v>
                </c:pt>
                <c:pt idx="15">
                  <c:v>5.0999999999999997E-2</c:v>
                </c:pt>
                <c:pt idx="16">
                  <c:v>3.5999999999999997E-2</c:v>
                </c:pt>
                <c:pt idx="17">
                  <c:v>0.33100000000000002</c:v>
                </c:pt>
                <c:pt idx="18">
                  <c:v>1.9E-2</c:v>
                </c:pt>
                <c:pt idx="19">
                  <c:v>2.1000000000000001E-2</c:v>
                </c:pt>
              </c:numCache>
            </c:numRef>
          </c:val>
          <c:smooth val="0"/>
          <c:extLst>
            <c:ext xmlns:c16="http://schemas.microsoft.com/office/drawing/2014/chart" uri="{C3380CC4-5D6E-409C-BE32-E72D297353CC}">
              <c16:uniqueId val="{00000005-E178-4184-AD3E-8CA036F3765E}"/>
            </c:ext>
          </c:extLst>
        </c:ser>
        <c:dLbls>
          <c:showLegendKey val="0"/>
          <c:showVal val="0"/>
          <c:showCatName val="0"/>
          <c:showSerName val="0"/>
          <c:showPercent val="0"/>
          <c:showBubbleSize val="0"/>
        </c:dLbls>
        <c:smooth val="0"/>
        <c:axId val="1747404063"/>
        <c:axId val="1827460287"/>
      </c:lineChart>
      <c:catAx>
        <c:axId val="17474040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7460287"/>
        <c:crosses val="autoZero"/>
        <c:auto val="1"/>
        <c:lblAlgn val="ctr"/>
        <c:lblOffset val="100"/>
        <c:noMultiLvlLbl val="0"/>
      </c:catAx>
      <c:valAx>
        <c:axId val="182746028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74040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'domains only'!$C$17</c:f>
              <c:strCache>
                <c:ptCount val="1"/>
                <c:pt idx="0">
                  <c:v>A. Cultural and Natural Heritage</c:v>
                </c:pt>
              </c:strCache>
            </c:strRef>
          </c:tx>
          <c:spPr>
            <a:ln w="28575" cap="rnd">
              <a:solidFill>
                <a:schemeClr val="accent1"/>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only'!$D$17:$W$17</c:f>
              <c:numCache>
                <c:formatCode>0</c:formatCode>
                <c:ptCount val="20"/>
                <c:pt idx="0">
                  <c:v>4.5129999999999999</c:v>
                </c:pt>
                <c:pt idx="1">
                  <c:v>3.407</c:v>
                </c:pt>
                <c:pt idx="2">
                  <c:v>5.1820000000000004</c:v>
                </c:pt>
                <c:pt idx="3">
                  <c:v>3.4220000000000002</c:v>
                </c:pt>
                <c:pt idx="4">
                  <c:v>5.7510000000000003</c:v>
                </c:pt>
                <c:pt idx="5">
                  <c:v>5.7469999999999999</c:v>
                </c:pt>
                <c:pt idx="6">
                  <c:v>7.9089999999999998</c:v>
                </c:pt>
                <c:pt idx="7">
                  <c:v>9.8819999999999997</c:v>
                </c:pt>
                <c:pt idx="8">
                  <c:v>4.8680000000000003</c:v>
                </c:pt>
                <c:pt idx="9">
                  <c:v>5.62</c:v>
                </c:pt>
                <c:pt idx="10">
                  <c:v>6.11</c:v>
                </c:pt>
                <c:pt idx="11">
                  <c:v>8.1110000000000007</c:v>
                </c:pt>
                <c:pt idx="12">
                  <c:v>4.8410000000000002</c:v>
                </c:pt>
                <c:pt idx="13">
                  <c:v>4.5949999999999998</c:v>
                </c:pt>
                <c:pt idx="14">
                  <c:v>4.0860000000000003</c:v>
                </c:pt>
                <c:pt idx="15">
                  <c:v>3.1819999999999999</c:v>
                </c:pt>
                <c:pt idx="16">
                  <c:v>2.4529999999999998</c:v>
                </c:pt>
                <c:pt idx="17">
                  <c:v>2.8820000000000001</c:v>
                </c:pt>
                <c:pt idx="18">
                  <c:v>2.9630000000000001</c:v>
                </c:pt>
                <c:pt idx="19">
                  <c:v>0.68700000000000006</c:v>
                </c:pt>
              </c:numCache>
            </c:numRef>
          </c:val>
          <c:smooth val="0"/>
          <c:extLst>
            <c:ext xmlns:c16="http://schemas.microsoft.com/office/drawing/2014/chart" uri="{C3380CC4-5D6E-409C-BE32-E72D297353CC}">
              <c16:uniqueId val="{00000000-C4C7-4501-B9CF-9B7DC88C407B}"/>
            </c:ext>
          </c:extLst>
        </c:ser>
        <c:ser>
          <c:idx val="1"/>
          <c:order val="1"/>
          <c:tx>
            <c:strRef>
              <c:f>'domains only'!$C$18</c:f>
              <c:strCache>
                <c:ptCount val="1"/>
                <c:pt idx="0">
                  <c:v>B. Performance and Celebration</c:v>
                </c:pt>
              </c:strCache>
            </c:strRef>
          </c:tx>
          <c:spPr>
            <a:ln w="28575" cap="rnd">
              <a:solidFill>
                <a:schemeClr val="accent2"/>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only'!$D$18:$W$18</c:f>
              <c:numCache>
                <c:formatCode>0</c:formatCode>
                <c:ptCount val="20"/>
                <c:pt idx="0">
                  <c:v>5.6580000000000004</c:v>
                </c:pt>
                <c:pt idx="1">
                  <c:v>5.9370000000000003</c:v>
                </c:pt>
                <c:pt idx="2">
                  <c:v>9.1620000000000008</c:v>
                </c:pt>
                <c:pt idx="3">
                  <c:v>14.282999999999999</c:v>
                </c:pt>
                <c:pt idx="4">
                  <c:v>18.140999999999998</c:v>
                </c:pt>
                <c:pt idx="5">
                  <c:v>20.376999999999999</c:v>
                </c:pt>
                <c:pt idx="6">
                  <c:v>162.774</c:v>
                </c:pt>
                <c:pt idx="7">
                  <c:v>114.712</c:v>
                </c:pt>
                <c:pt idx="8">
                  <c:v>106.14</c:v>
                </c:pt>
                <c:pt idx="9">
                  <c:v>122.551</c:v>
                </c:pt>
                <c:pt idx="10">
                  <c:v>123.333</c:v>
                </c:pt>
                <c:pt idx="11">
                  <c:v>116.629</c:v>
                </c:pt>
                <c:pt idx="12">
                  <c:v>108.47</c:v>
                </c:pt>
                <c:pt idx="13">
                  <c:v>121.31</c:v>
                </c:pt>
                <c:pt idx="14">
                  <c:v>108.714</c:v>
                </c:pt>
                <c:pt idx="15">
                  <c:v>104.25</c:v>
                </c:pt>
                <c:pt idx="16">
                  <c:v>114.041</c:v>
                </c:pt>
                <c:pt idx="17">
                  <c:v>132.196</c:v>
                </c:pt>
                <c:pt idx="18">
                  <c:v>97.120999999999995</c:v>
                </c:pt>
                <c:pt idx="19">
                  <c:v>70.408000000000001</c:v>
                </c:pt>
              </c:numCache>
            </c:numRef>
          </c:val>
          <c:smooth val="0"/>
          <c:extLst>
            <c:ext xmlns:c16="http://schemas.microsoft.com/office/drawing/2014/chart" uri="{C3380CC4-5D6E-409C-BE32-E72D297353CC}">
              <c16:uniqueId val="{00000001-C4C7-4501-B9CF-9B7DC88C407B}"/>
            </c:ext>
          </c:extLst>
        </c:ser>
        <c:ser>
          <c:idx val="2"/>
          <c:order val="2"/>
          <c:tx>
            <c:strRef>
              <c:f>'domains only'!$C$19</c:f>
              <c:strCache>
                <c:ptCount val="1"/>
                <c:pt idx="0">
                  <c:v>C. Visual Arts and Crafts</c:v>
                </c:pt>
              </c:strCache>
            </c:strRef>
          </c:tx>
          <c:spPr>
            <a:ln w="28575" cap="rnd">
              <a:solidFill>
                <a:schemeClr val="accent3"/>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only'!$D$19:$W$19</c:f>
              <c:numCache>
                <c:formatCode>0</c:formatCode>
                <c:ptCount val="20"/>
                <c:pt idx="0">
                  <c:v>44.076000000000001</c:v>
                </c:pt>
                <c:pt idx="1">
                  <c:v>70.700999999999993</c:v>
                </c:pt>
                <c:pt idx="2">
                  <c:v>76.09</c:v>
                </c:pt>
                <c:pt idx="3">
                  <c:v>117.61499999999999</c:v>
                </c:pt>
                <c:pt idx="4">
                  <c:v>123.886</c:v>
                </c:pt>
                <c:pt idx="5">
                  <c:v>314.75400000000002</c:v>
                </c:pt>
                <c:pt idx="6">
                  <c:v>177.69</c:v>
                </c:pt>
                <c:pt idx="7">
                  <c:v>197.97300000000001</c:v>
                </c:pt>
                <c:pt idx="8">
                  <c:v>127.593</c:v>
                </c:pt>
                <c:pt idx="9">
                  <c:v>195.24700000000001</c:v>
                </c:pt>
                <c:pt idx="10">
                  <c:v>234.995</c:v>
                </c:pt>
                <c:pt idx="11">
                  <c:v>215.97200000000001</c:v>
                </c:pt>
                <c:pt idx="12">
                  <c:v>240.58699999999999</c:v>
                </c:pt>
                <c:pt idx="13">
                  <c:v>236.50399999999999</c:v>
                </c:pt>
                <c:pt idx="14">
                  <c:v>201.11600000000001</c:v>
                </c:pt>
                <c:pt idx="15">
                  <c:v>211.32900000000001</c:v>
                </c:pt>
                <c:pt idx="16">
                  <c:v>207.125</c:v>
                </c:pt>
                <c:pt idx="17">
                  <c:v>214.26599999999999</c:v>
                </c:pt>
                <c:pt idx="18">
                  <c:v>184.143</c:v>
                </c:pt>
                <c:pt idx="19">
                  <c:v>117.438</c:v>
                </c:pt>
              </c:numCache>
            </c:numRef>
          </c:val>
          <c:smooth val="0"/>
          <c:extLst>
            <c:ext xmlns:c16="http://schemas.microsoft.com/office/drawing/2014/chart" uri="{C3380CC4-5D6E-409C-BE32-E72D297353CC}">
              <c16:uniqueId val="{00000002-C4C7-4501-B9CF-9B7DC88C407B}"/>
            </c:ext>
          </c:extLst>
        </c:ser>
        <c:ser>
          <c:idx val="3"/>
          <c:order val="3"/>
          <c:tx>
            <c:strRef>
              <c:f>'domains only'!$C$20</c:f>
              <c:strCache>
                <c:ptCount val="1"/>
                <c:pt idx="0">
                  <c:v>D. Books and Press</c:v>
                </c:pt>
              </c:strCache>
            </c:strRef>
          </c:tx>
          <c:spPr>
            <a:ln w="28575" cap="rnd">
              <a:solidFill>
                <a:schemeClr val="accent4"/>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only'!$D$20:$W$20</c:f>
              <c:numCache>
                <c:formatCode>0</c:formatCode>
                <c:ptCount val="20"/>
                <c:pt idx="0">
                  <c:v>112.985</c:v>
                </c:pt>
                <c:pt idx="1">
                  <c:v>108.34099999999999</c:v>
                </c:pt>
                <c:pt idx="2">
                  <c:v>133.208</c:v>
                </c:pt>
                <c:pt idx="3">
                  <c:v>178.09700000000001</c:v>
                </c:pt>
                <c:pt idx="4">
                  <c:v>221.82599999999999</c:v>
                </c:pt>
                <c:pt idx="5">
                  <c:v>213.714</c:v>
                </c:pt>
                <c:pt idx="6">
                  <c:v>234.828</c:v>
                </c:pt>
                <c:pt idx="7">
                  <c:v>218.02600000000001</c:v>
                </c:pt>
                <c:pt idx="8">
                  <c:v>193.863</c:v>
                </c:pt>
                <c:pt idx="9">
                  <c:v>261.94</c:v>
                </c:pt>
                <c:pt idx="10">
                  <c:v>249.785</c:v>
                </c:pt>
                <c:pt idx="11">
                  <c:v>248.16</c:v>
                </c:pt>
                <c:pt idx="12">
                  <c:v>228.48599999999999</c:v>
                </c:pt>
                <c:pt idx="13">
                  <c:v>187.745</c:v>
                </c:pt>
                <c:pt idx="14">
                  <c:v>162.6</c:v>
                </c:pt>
                <c:pt idx="15">
                  <c:v>135.535</c:v>
                </c:pt>
                <c:pt idx="16">
                  <c:v>125.328</c:v>
                </c:pt>
                <c:pt idx="17">
                  <c:v>123.709</c:v>
                </c:pt>
                <c:pt idx="18">
                  <c:v>110.41500000000001</c:v>
                </c:pt>
                <c:pt idx="19">
                  <c:v>68.594999999999999</c:v>
                </c:pt>
              </c:numCache>
            </c:numRef>
          </c:val>
          <c:smooth val="0"/>
          <c:extLst>
            <c:ext xmlns:c16="http://schemas.microsoft.com/office/drawing/2014/chart" uri="{C3380CC4-5D6E-409C-BE32-E72D297353CC}">
              <c16:uniqueId val="{00000003-C4C7-4501-B9CF-9B7DC88C407B}"/>
            </c:ext>
          </c:extLst>
        </c:ser>
        <c:ser>
          <c:idx val="4"/>
          <c:order val="4"/>
          <c:tx>
            <c:strRef>
              <c:f>'domains only'!$C$21</c:f>
              <c:strCache>
                <c:ptCount val="1"/>
                <c:pt idx="0">
                  <c:v>E. Audio-visual and Interactive Media</c:v>
                </c:pt>
              </c:strCache>
            </c:strRef>
          </c:tx>
          <c:spPr>
            <a:ln w="28575" cap="rnd">
              <a:solidFill>
                <a:schemeClr val="accent5"/>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only'!$D$21:$W$21</c:f>
              <c:numCache>
                <c:formatCode>0</c:formatCode>
                <c:ptCount val="20"/>
                <c:pt idx="0">
                  <c:v>11.146000000000001</c:v>
                </c:pt>
                <c:pt idx="1">
                  <c:v>11.443</c:v>
                </c:pt>
                <c:pt idx="2">
                  <c:v>18.611000000000001</c:v>
                </c:pt>
                <c:pt idx="3">
                  <c:v>23.86</c:v>
                </c:pt>
                <c:pt idx="4">
                  <c:v>40.704000000000001</c:v>
                </c:pt>
                <c:pt idx="5">
                  <c:v>45.582999999999998</c:v>
                </c:pt>
                <c:pt idx="6">
                  <c:v>61.365000000000002</c:v>
                </c:pt>
                <c:pt idx="7">
                  <c:v>64.372</c:v>
                </c:pt>
                <c:pt idx="8">
                  <c:v>10.358000000000001</c:v>
                </c:pt>
                <c:pt idx="9">
                  <c:v>6.1459999999999999</c:v>
                </c:pt>
                <c:pt idx="10">
                  <c:v>4.6989999999999998</c:v>
                </c:pt>
                <c:pt idx="11">
                  <c:v>84.324066000000002</c:v>
                </c:pt>
                <c:pt idx="12">
                  <c:v>54.153571000000007</c:v>
                </c:pt>
                <c:pt idx="13">
                  <c:v>68.167289000000011</c:v>
                </c:pt>
                <c:pt idx="14">
                  <c:v>42.522745999999998</c:v>
                </c:pt>
                <c:pt idx="15">
                  <c:v>39.264764</c:v>
                </c:pt>
                <c:pt idx="16">
                  <c:v>1E-3</c:v>
                </c:pt>
                <c:pt idx="17">
                  <c:v>0</c:v>
                </c:pt>
                <c:pt idx="18">
                  <c:v>0</c:v>
                </c:pt>
                <c:pt idx="19">
                  <c:v>0</c:v>
                </c:pt>
              </c:numCache>
            </c:numRef>
          </c:val>
          <c:smooth val="0"/>
          <c:extLst>
            <c:ext xmlns:c16="http://schemas.microsoft.com/office/drawing/2014/chart" uri="{C3380CC4-5D6E-409C-BE32-E72D297353CC}">
              <c16:uniqueId val="{00000004-C4C7-4501-B9CF-9B7DC88C407B}"/>
            </c:ext>
          </c:extLst>
        </c:ser>
        <c:ser>
          <c:idx val="5"/>
          <c:order val="5"/>
          <c:tx>
            <c:strRef>
              <c:f>'domains only'!$C$22</c:f>
              <c:strCache>
                <c:ptCount val="1"/>
                <c:pt idx="0">
                  <c:v>F. Design and Creative Services</c:v>
                </c:pt>
              </c:strCache>
            </c:strRef>
          </c:tx>
          <c:spPr>
            <a:ln w="28575" cap="rnd">
              <a:solidFill>
                <a:schemeClr val="accent6"/>
              </a:solidFill>
              <a:round/>
            </a:ln>
            <a:effectLst/>
          </c:spPr>
          <c:marker>
            <c:symbol val="none"/>
          </c:marker>
          <c:cat>
            <c:numRef>
              <c:f>'domains only'!$D$16:$W$16</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'domains only'!$D$22:$W$22</c:f>
              <c:numCache>
                <c:formatCode>0</c:formatCode>
                <c:ptCount val="20"/>
                <c:pt idx="0">
                  <c:v>0.35</c:v>
                </c:pt>
                <c:pt idx="1">
                  <c:v>0.69199999999999995</c:v>
                </c:pt>
                <c:pt idx="2">
                  <c:v>0.29899999999999999</c:v>
                </c:pt>
                <c:pt idx="3">
                  <c:v>1.393</c:v>
                </c:pt>
                <c:pt idx="4">
                  <c:v>1.899</c:v>
                </c:pt>
                <c:pt idx="5">
                  <c:v>0.89200000000000002</c:v>
                </c:pt>
                <c:pt idx="6">
                  <c:v>0.60499999999999998</c:v>
                </c:pt>
                <c:pt idx="7">
                  <c:v>0.23400000000000001</c:v>
                </c:pt>
                <c:pt idx="8">
                  <c:v>0.182</c:v>
                </c:pt>
                <c:pt idx="9">
                  <c:v>0.14899999999999999</c:v>
                </c:pt>
                <c:pt idx="10">
                  <c:v>0.49</c:v>
                </c:pt>
                <c:pt idx="11">
                  <c:v>0.24099999999999999</c:v>
                </c:pt>
                <c:pt idx="12">
                  <c:v>0.153</c:v>
                </c:pt>
                <c:pt idx="13">
                  <c:v>0.192</c:v>
                </c:pt>
                <c:pt idx="14">
                  <c:v>8.8999999999999996E-2</c:v>
                </c:pt>
                <c:pt idx="15">
                  <c:v>6.6000000000000003E-2</c:v>
                </c:pt>
                <c:pt idx="16">
                  <c:v>6.6000000000000003E-2</c:v>
                </c:pt>
                <c:pt idx="17">
                  <c:v>0.18099999999999999</c:v>
                </c:pt>
                <c:pt idx="18">
                  <c:v>0.1</c:v>
                </c:pt>
                <c:pt idx="19">
                  <c:v>0.67600000000000005</c:v>
                </c:pt>
              </c:numCache>
            </c:numRef>
          </c:val>
          <c:smooth val="0"/>
          <c:extLst>
            <c:ext xmlns:c16="http://schemas.microsoft.com/office/drawing/2014/chart" uri="{C3380CC4-5D6E-409C-BE32-E72D297353CC}">
              <c16:uniqueId val="{00000005-C4C7-4501-B9CF-9B7DC88C407B}"/>
            </c:ext>
          </c:extLst>
        </c:ser>
        <c:dLbls>
          <c:showLegendKey val="0"/>
          <c:showVal val="0"/>
          <c:showCatName val="0"/>
          <c:showSerName val="0"/>
          <c:showPercent val="0"/>
          <c:showBubbleSize val="0"/>
        </c:dLbls>
        <c:smooth val="0"/>
        <c:axId val="1868898831"/>
        <c:axId val="1827455711"/>
      </c:lineChart>
      <c:catAx>
        <c:axId val="18688988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7455711"/>
        <c:crosses val="autoZero"/>
        <c:auto val="1"/>
        <c:lblAlgn val="ctr"/>
        <c:lblOffset val="100"/>
        <c:noMultiLvlLbl val="0"/>
      </c:catAx>
      <c:valAx>
        <c:axId val="18274557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688988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'trade balance by domain'!$A$25</c:f>
              <c:strCache>
                <c:ptCount val="1"/>
                <c:pt idx="0">
                  <c:v>A. Cultural and Natural Heritage</c:v>
                </c:pt>
              </c:strCache>
            </c:strRef>
          </c:tx>
          <c:spPr>
            <a:ln w="28575" cap="rnd">
              <a:solidFill>
                <a:schemeClr val="accent1"/>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domain'!$B$25:$U$25</c:f>
              <c:numCache>
                <c:formatCode>General</c:formatCode>
                <c:ptCount val="20"/>
                <c:pt idx="0">
                  <c:v>0.4610000000000003</c:v>
                </c:pt>
                <c:pt idx="1">
                  <c:v>5.9339999999999993</c:v>
                </c:pt>
                <c:pt idx="2">
                  <c:v>6.7309999999999999</c:v>
                </c:pt>
                <c:pt idx="3">
                  <c:v>5.1429999999999989</c:v>
                </c:pt>
                <c:pt idx="4">
                  <c:v>7.4509999999999996</c:v>
                </c:pt>
                <c:pt idx="5">
                  <c:v>6.0709999999999997</c:v>
                </c:pt>
                <c:pt idx="6">
                  <c:v>6.3020000000000005</c:v>
                </c:pt>
                <c:pt idx="7">
                  <c:v>51.012</c:v>
                </c:pt>
                <c:pt idx="8">
                  <c:v>10.448</c:v>
                </c:pt>
                <c:pt idx="9">
                  <c:v>10.596999999999998</c:v>
                </c:pt>
                <c:pt idx="10">
                  <c:v>12.638000000000002</c:v>
                </c:pt>
                <c:pt idx="11">
                  <c:v>33.935000000000002</c:v>
                </c:pt>
                <c:pt idx="12">
                  <c:v>11.581999999999997</c:v>
                </c:pt>
                <c:pt idx="13">
                  <c:v>13.714000000000002</c:v>
                </c:pt>
                <c:pt idx="14">
                  <c:v>17.280999999999999</c:v>
                </c:pt>
                <c:pt idx="15">
                  <c:v>17.325000000000003</c:v>
                </c:pt>
                <c:pt idx="16">
                  <c:v>17.343</c:v>
                </c:pt>
                <c:pt idx="17">
                  <c:v>18.163</c:v>
                </c:pt>
                <c:pt idx="18">
                  <c:v>20.515999999999998</c:v>
                </c:pt>
                <c:pt idx="19">
                  <c:v>16.263999999999999</c:v>
                </c:pt>
              </c:numCache>
            </c:numRef>
          </c:val>
          <c:smooth val="0"/>
          <c:extLst>
            <c:ext xmlns:c16="http://schemas.microsoft.com/office/drawing/2014/chart" uri="{C3380CC4-5D6E-409C-BE32-E72D297353CC}">
              <c16:uniqueId val="{00000000-26F3-4EAE-828E-223839B6F65D}"/>
            </c:ext>
          </c:extLst>
        </c:ser>
        <c:ser>
          <c:idx val="1"/>
          <c:order val="1"/>
          <c:tx>
            <c:strRef>
              <c:f>'trade balance by domain'!$A$26</c:f>
              <c:strCache>
                <c:ptCount val="1"/>
                <c:pt idx="0">
                  <c:v>B. Performance and Celebration</c:v>
                </c:pt>
              </c:strCache>
            </c:strRef>
          </c:tx>
          <c:spPr>
            <a:ln w="28575" cap="rnd">
              <a:solidFill>
                <a:schemeClr val="accent2"/>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domain'!$B$26:$U$26</c:f>
              <c:numCache>
                <c:formatCode>General</c:formatCode>
                <c:ptCount val="20"/>
                <c:pt idx="0">
                  <c:v>-4.577</c:v>
                </c:pt>
                <c:pt idx="1">
                  <c:v>-5.125</c:v>
                </c:pt>
                <c:pt idx="2">
                  <c:v>-8.5400000000000009</c:v>
                </c:pt>
                <c:pt idx="3">
                  <c:v>-13.389999999999999</c:v>
                </c:pt>
                <c:pt idx="4">
                  <c:v>-17.158999999999999</c:v>
                </c:pt>
                <c:pt idx="5">
                  <c:v>-19.372</c:v>
                </c:pt>
                <c:pt idx="6">
                  <c:v>-148.79599999999999</c:v>
                </c:pt>
                <c:pt idx="7">
                  <c:v>-96.94</c:v>
                </c:pt>
                <c:pt idx="8">
                  <c:v>-90.116</c:v>
                </c:pt>
                <c:pt idx="9">
                  <c:v>-94.00200000000001</c:v>
                </c:pt>
                <c:pt idx="10">
                  <c:v>-101.11</c:v>
                </c:pt>
                <c:pt idx="11">
                  <c:v>-94.51400000000001</c:v>
                </c:pt>
                <c:pt idx="12">
                  <c:v>-91.37</c:v>
                </c:pt>
                <c:pt idx="13">
                  <c:v>-87.164999999999992</c:v>
                </c:pt>
                <c:pt idx="14">
                  <c:v>-60.082000000000001</c:v>
                </c:pt>
                <c:pt idx="15">
                  <c:v>-55.749000000000002</c:v>
                </c:pt>
                <c:pt idx="16">
                  <c:v>-56.36</c:v>
                </c:pt>
                <c:pt idx="17">
                  <c:v>-78.495999999999995</c:v>
                </c:pt>
                <c:pt idx="18">
                  <c:v>-44.444999999999993</c:v>
                </c:pt>
                <c:pt idx="19">
                  <c:v>-35.983000000000004</c:v>
                </c:pt>
              </c:numCache>
            </c:numRef>
          </c:val>
          <c:smooth val="0"/>
          <c:extLst>
            <c:ext xmlns:c16="http://schemas.microsoft.com/office/drawing/2014/chart" uri="{C3380CC4-5D6E-409C-BE32-E72D297353CC}">
              <c16:uniqueId val="{00000001-26F3-4EAE-828E-223839B6F65D}"/>
            </c:ext>
          </c:extLst>
        </c:ser>
        <c:ser>
          <c:idx val="2"/>
          <c:order val="2"/>
          <c:tx>
            <c:strRef>
              <c:f>'trade balance by domain'!$A$27</c:f>
              <c:strCache>
                <c:ptCount val="1"/>
                <c:pt idx="0">
                  <c:v>C. Visual Arts and Crafts</c:v>
                </c:pt>
              </c:strCache>
            </c:strRef>
          </c:tx>
          <c:spPr>
            <a:ln w="28575" cap="rnd">
              <a:solidFill>
                <a:schemeClr val="accent3"/>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domain'!$B$27:$U$27</c:f>
              <c:numCache>
                <c:formatCode>General</c:formatCode>
                <c:ptCount val="20"/>
                <c:pt idx="0">
                  <c:v>21.768999999999998</c:v>
                </c:pt>
                <c:pt idx="1">
                  <c:v>8.1690000000000111</c:v>
                </c:pt>
                <c:pt idx="2">
                  <c:v>22.381</c:v>
                </c:pt>
                <c:pt idx="3">
                  <c:v>0.61100000000000421</c:v>
                </c:pt>
                <c:pt idx="4">
                  <c:v>0.65100000000001046</c:v>
                </c:pt>
                <c:pt idx="5">
                  <c:v>-201.98600000000002</c:v>
                </c:pt>
                <c:pt idx="6">
                  <c:v>-67.400999999999996</c:v>
                </c:pt>
                <c:pt idx="7">
                  <c:v>-85.50200000000001</c:v>
                </c:pt>
                <c:pt idx="8">
                  <c:v>-52.462000000000003</c:v>
                </c:pt>
                <c:pt idx="9">
                  <c:v>-106.20900000000002</c:v>
                </c:pt>
                <c:pt idx="10">
                  <c:v>-151.03500000000003</c:v>
                </c:pt>
                <c:pt idx="11">
                  <c:v>-124.13200000000001</c:v>
                </c:pt>
                <c:pt idx="12">
                  <c:v>-102.428</c:v>
                </c:pt>
                <c:pt idx="13">
                  <c:v>-112.386</c:v>
                </c:pt>
                <c:pt idx="14">
                  <c:v>-49.291000000000025</c:v>
                </c:pt>
                <c:pt idx="15">
                  <c:v>-8.9410000000000025</c:v>
                </c:pt>
                <c:pt idx="16">
                  <c:v>17.84899999999999</c:v>
                </c:pt>
                <c:pt idx="17">
                  <c:v>84.274000000000029</c:v>
                </c:pt>
                <c:pt idx="18">
                  <c:v>60.145999999999987</c:v>
                </c:pt>
                <c:pt idx="19">
                  <c:v>74.160999999999987</c:v>
                </c:pt>
              </c:numCache>
            </c:numRef>
          </c:val>
          <c:smooth val="0"/>
          <c:extLst>
            <c:ext xmlns:c16="http://schemas.microsoft.com/office/drawing/2014/chart" uri="{C3380CC4-5D6E-409C-BE32-E72D297353CC}">
              <c16:uniqueId val="{00000002-26F3-4EAE-828E-223839B6F65D}"/>
            </c:ext>
          </c:extLst>
        </c:ser>
        <c:ser>
          <c:idx val="3"/>
          <c:order val="3"/>
          <c:tx>
            <c:strRef>
              <c:f>'trade balance by domain'!$A$28</c:f>
              <c:strCache>
                <c:ptCount val="1"/>
                <c:pt idx="0">
                  <c:v>D. Books and Press</c:v>
                </c:pt>
              </c:strCache>
            </c:strRef>
          </c:tx>
          <c:spPr>
            <a:ln w="28575" cap="rnd">
              <a:solidFill>
                <a:schemeClr val="accent4"/>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domain'!$B$28:$U$28</c:f>
              <c:numCache>
                <c:formatCode>General</c:formatCode>
                <c:ptCount val="20"/>
                <c:pt idx="0">
                  <c:v>-95.870999999999995</c:v>
                </c:pt>
                <c:pt idx="1">
                  <c:v>-85.718999999999994</c:v>
                </c:pt>
                <c:pt idx="2">
                  <c:v>-103.07599999999999</c:v>
                </c:pt>
                <c:pt idx="3">
                  <c:v>-147.30600000000001</c:v>
                </c:pt>
                <c:pt idx="4">
                  <c:v>-184.39099999999999</c:v>
                </c:pt>
                <c:pt idx="5">
                  <c:v>-160.304</c:v>
                </c:pt>
                <c:pt idx="6">
                  <c:v>-187.51300000000001</c:v>
                </c:pt>
                <c:pt idx="7">
                  <c:v>-176.97400000000002</c:v>
                </c:pt>
                <c:pt idx="8">
                  <c:v>-159.15199999999999</c:v>
                </c:pt>
                <c:pt idx="9">
                  <c:v>-150.756</c:v>
                </c:pt>
                <c:pt idx="10">
                  <c:v>-134.482</c:v>
                </c:pt>
                <c:pt idx="11">
                  <c:v>-157.393</c:v>
                </c:pt>
                <c:pt idx="12">
                  <c:v>-145.70499999999998</c:v>
                </c:pt>
                <c:pt idx="13">
                  <c:v>-118.01700000000001</c:v>
                </c:pt>
                <c:pt idx="14">
                  <c:v>-91.613</c:v>
                </c:pt>
                <c:pt idx="15">
                  <c:v>-71.679000000000002</c:v>
                </c:pt>
                <c:pt idx="16">
                  <c:v>-66.375</c:v>
                </c:pt>
                <c:pt idx="17">
                  <c:v>-48.468000000000004</c:v>
                </c:pt>
                <c:pt idx="18">
                  <c:v>-48.917000000000009</c:v>
                </c:pt>
                <c:pt idx="19">
                  <c:v>4.8649999999999949</c:v>
                </c:pt>
              </c:numCache>
            </c:numRef>
          </c:val>
          <c:smooth val="0"/>
          <c:extLst>
            <c:ext xmlns:c16="http://schemas.microsoft.com/office/drawing/2014/chart" uri="{C3380CC4-5D6E-409C-BE32-E72D297353CC}">
              <c16:uniqueId val="{00000003-26F3-4EAE-828E-223839B6F65D}"/>
            </c:ext>
          </c:extLst>
        </c:ser>
        <c:ser>
          <c:idx val="4"/>
          <c:order val="4"/>
          <c:tx>
            <c:strRef>
              <c:f>'trade balance by domain'!$A$29</c:f>
              <c:strCache>
                <c:ptCount val="1"/>
                <c:pt idx="0">
                  <c:v>E. Audio-visual and Interactive Media</c:v>
                </c:pt>
              </c:strCache>
            </c:strRef>
          </c:tx>
          <c:spPr>
            <a:ln w="28575" cap="rnd">
              <a:solidFill>
                <a:schemeClr val="accent5"/>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domain'!$B$29:$U$29</c:f>
              <c:numCache>
                <c:formatCode>General</c:formatCode>
                <c:ptCount val="20"/>
                <c:pt idx="0">
                  <c:v>-10.674000000000001</c:v>
                </c:pt>
                <c:pt idx="1">
                  <c:v>-10.54</c:v>
                </c:pt>
                <c:pt idx="2">
                  <c:v>-18.175000000000001</c:v>
                </c:pt>
                <c:pt idx="3">
                  <c:v>-23.263999999999999</c:v>
                </c:pt>
                <c:pt idx="4">
                  <c:v>-39.755000000000003</c:v>
                </c:pt>
                <c:pt idx="5">
                  <c:v>-42.863</c:v>
                </c:pt>
                <c:pt idx="6">
                  <c:v>-57.153000000000006</c:v>
                </c:pt>
                <c:pt idx="7">
                  <c:v>-62.606000000000002</c:v>
                </c:pt>
                <c:pt idx="8">
                  <c:v>-7.0530000000000008</c:v>
                </c:pt>
                <c:pt idx="9">
                  <c:v>-2.9369999999999998</c:v>
                </c:pt>
                <c:pt idx="10">
                  <c:v>0.67700000000000049</c:v>
                </c:pt>
                <c:pt idx="11">
                  <c:v>-81.047178000000002</c:v>
                </c:pt>
                <c:pt idx="12">
                  <c:v>-49.506399000000009</c:v>
                </c:pt>
                <c:pt idx="13">
                  <c:v>-61.006748000000009</c:v>
                </c:pt>
                <c:pt idx="14">
                  <c:v>-37.464250999999997</c:v>
                </c:pt>
                <c:pt idx="15">
                  <c:v>-36.003946999999997</c:v>
                </c:pt>
                <c:pt idx="16">
                  <c:v>-1E-3</c:v>
                </c:pt>
                <c:pt idx="17">
                  <c:v>0</c:v>
                </c:pt>
                <c:pt idx="18">
                  <c:v>0</c:v>
                </c:pt>
                <c:pt idx="19">
                  <c:v>2E-3</c:v>
                </c:pt>
              </c:numCache>
            </c:numRef>
          </c:val>
          <c:smooth val="0"/>
          <c:extLst>
            <c:ext xmlns:c16="http://schemas.microsoft.com/office/drawing/2014/chart" uri="{C3380CC4-5D6E-409C-BE32-E72D297353CC}">
              <c16:uniqueId val="{00000004-26F3-4EAE-828E-223839B6F65D}"/>
            </c:ext>
          </c:extLst>
        </c:ser>
        <c:ser>
          <c:idx val="5"/>
          <c:order val="5"/>
          <c:tx>
            <c:strRef>
              <c:f>'trade balance by domain'!$A$30</c:f>
              <c:strCache>
                <c:ptCount val="1"/>
                <c:pt idx="0">
                  <c:v>F. Design and Creative Services</c:v>
                </c:pt>
              </c:strCache>
            </c:strRef>
          </c:tx>
          <c:spPr>
            <a:ln w="28575" cap="rnd">
              <a:solidFill>
                <a:schemeClr val="accent6"/>
              </a:solidFill>
              <a:round/>
            </a:ln>
            <a:effectLst/>
          </c:spPr>
          <c:marker>
            <c:symbol val="none"/>
          </c:marker>
          <c:cat>
            <c:numRef>
              <c:f>'trade balance by domain'!$B$24:$U$24</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'trade balance by domain'!$B$30:$U$30</c:f>
              <c:numCache>
                <c:formatCode>General</c:formatCode>
                <c:ptCount val="20"/>
                <c:pt idx="0">
                  <c:v>-9.2999999999999972E-2</c:v>
                </c:pt>
                <c:pt idx="1">
                  <c:v>-0.65499999999999992</c:v>
                </c:pt>
                <c:pt idx="2">
                  <c:v>-0.13299999999999998</c:v>
                </c:pt>
                <c:pt idx="3">
                  <c:v>-1.36</c:v>
                </c:pt>
                <c:pt idx="4">
                  <c:v>-1.865</c:v>
                </c:pt>
                <c:pt idx="5">
                  <c:v>-0.86399999999999999</c:v>
                </c:pt>
                <c:pt idx="6">
                  <c:v>-1.6000000000000014E-2</c:v>
                </c:pt>
                <c:pt idx="7">
                  <c:v>0.88800000000000012</c:v>
                </c:pt>
                <c:pt idx="8">
                  <c:v>1.8140000000000001</c:v>
                </c:pt>
                <c:pt idx="9">
                  <c:v>6.6000000000000003E-2</c:v>
                </c:pt>
                <c:pt idx="10">
                  <c:v>8.2999999999999963E-2</c:v>
                </c:pt>
                <c:pt idx="11">
                  <c:v>-0.11099999999999999</c:v>
                </c:pt>
                <c:pt idx="12">
                  <c:v>1.4000000000000012E-2</c:v>
                </c:pt>
                <c:pt idx="13">
                  <c:v>-0.14800000000000002</c:v>
                </c:pt>
                <c:pt idx="14">
                  <c:v>-1.8999999999999989E-2</c:v>
                </c:pt>
                <c:pt idx="15">
                  <c:v>-1.5000000000000006E-2</c:v>
                </c:pt>
                <c:pt idx="16">
                  <c:v>-3.0000000000000006E-2</c:v>
                </c:pt>
                <c:pt idx="17">
                  <c:v>0.15000000000000002</c:v>
                </c:pt>
                <c:pt idx="18">
                  <c:v>-8.1000000000000003E-2</c:v>
                </c:pt>
                <c:pt idx="19">
                  <c:v>-0.65500000000000003</c:v>
                </c:pt>
              </c:numCache>
            </c:numRef>
          </c:val>
          <c:smooth val="0"/>
          <c:extLst>
            <c:ext xmlns:c16="http://schemas.microsoft.com/office/drawing/2014/chart" uri="{C3380CC4-5D6E-409C-BE32-E72D297353CC}">
              <c16:uniqueId val="{00000005-26F3-4EAE-828E-223839B6F65D}"/>
            </c:ext>
          </c:extLst>
        </c:ser>
        <c:dLbls>
          <c:showLegendKey val="0"/>
          <c:showVal val="0"/>
          <c:showCatName val="0"/>
          <c:showSerName val="0"/>
          <c:showPercent val="0"/>
          <c:showBubbleSize val="0"/>
        </c:dLbls>
        <c:smooth val="0"/>
        <c:axId val="1942331023"/>
        <c:axId val="1754147359"/>
      </c:lineChart>
      <c:catAx>
        <c:axId val="19423310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54147359"/>
        <c:crosses val="autoZero"/>
        <c:auto val="1"/>
        <c:lblAlgn val="ctr"/>
        <c:lblOffset val="100"/>
        <c:noMultiLvlLbl val="0"/>
      </c:catAx>
      <c:valAx>
        <c:axId val="17541473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423310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Sheet1!$A$13</c:f>
              <c:strCache>
                <c:ptCount val="1"/>
                <c:pt idx="0">
                  <c:v>Exports to USA</c:v>
                </c:pt>
              </c:strCache>
            </c:strRef>
          </c:tx>
          <c:spPr>
            <a:ln w="28575" cap="rnd">
              <a:solidFill>
                <a:schemeClr val="accent1"/>
              </a:solidFill>
              <a:round/>
            </a:ln>
            <a:effectLst/>
          </c:spPr>
          <c:marker>
            <c:symbol val="none"/>
          </c:marker>
          <c:cat>
            <c:numRef>
              <c:f>Sheet1!$B$12:$U$12</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Sheet1!$B$13:$U$13</c:f>
              <c:numCache>
                <c:formatCode>General</c:formatCode>
                <c:ptCount val="20"/>
                <c:pt idx="0">
                  <c:v>37.744999999999997</c:v>
                </c:pt>
                <c:pt idx="1">
                  <c:v>49.853000000000002</c:v>
                </c:pt>
                <c:pt idx="2">
                  <c:v>62.552</c:v>
                </c:pt>
                <c:pt idx="3">
                  <c:v>69.841999999999999</c:v>
                </c:pt>
                <c:pt idx="4">
                  <c:v>69.873999999999995</c:v>
                </c:pt>
                <c:pt idx="5">
                  <c:v>69.878</c:v>
                </c:pt>
                <c:pt idx="6">
                  <c:v>70.102000000000004</c:v>
                </c:pt>
                <c:pt idx="7">
                  <c:v>65.331000000000003</c:v>
                </c:pt>
                <c:pt idx="8">
                  <c:v>51.848999999999997</c:v>
                </c:pt>
                <c:pt idx="9">
                  <c:v>41.853999999999999</c:v>
                </c:pt>
                <c:pt idx="10">
                  <c:v>38.026000000000003</c:v>
                </c:pt>
                <c:pt idx="11">
                  <c:v>49.899000000000001</c:v>
                </c:pt>
                <c:pt idx="12">
                  <c:v>55.015999999999998</c:v>
                </c:pt>
                <c:pt idx="13">
                  <c:v>66.040000000000006</c:v>
                </c:pt>
                <c:pt idx="14">
                  <c:v>104.985</c:v>
                </c:pt>
                <c:pt idx="15">
                  <c:v>146.84200000000001</c:v>
                </c:pt>
                <c:pt idx="16">
                  <c:v>128.636</c:v>
                </c:pt>
                <c:pt idx="17">
                  <c:v>143.90100000000001</c:v>
                </c:pt>
                <c:pt idx="18">
                  <c:v>142.88999999999999</c:v>
                </c:pt>
                <c:pt idx="19">
                  <c:v>144.684</c:v>
                </c:pt>
              </c:numCache>
            </c:numRef>
          </c:val>
          <c:smooth val="0"/>
          <c:extLst>
            <c:ext xmlns:c16="http://schemas.microsoft.com/office/drawing/2014/chart" uri="{C3380CC4-5D6E-409C-BE32-E72D297353CC}">
              <c16:uniqueId val="{00000000-5196-4522-994B-67BD7E689280}"/>
            </c:ext>
          </c:extLst>
        </c:ser>
        <c:ser>
          <c:idx val="1"/>
          <c:order val="1"/>
          <c:tx>
            <c:strRef>
              <c:f>Sheet1!$A$14</c:f>
              <c:strCache>
                <c:ptCount val="1"/>
                <c:pt idx="0">
                  <c:v>Exports to UK</c:v>
                </c:pt>
              </c:strCache>
            </c:strRef>
          </c:tx>
          <c:spPr>
            <a:ln w="28575" cap="rnd">
              <a:solidFill>
                <a:schemeClr val="accent2"/>
              </a:solidFill>
              <a:round/>
            </a:ln>
            <a:effectLst/>
          </c:spPr>
          <c:marker>
            <c:symbol val="none"/>
          </c:marker>
          <c:cat>
            <c:numRef>
              <c:f>Sheet1!$B$12:$U$12</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Sheet1!$B$14:$U$14</c:f>
              <c:numCache>
                <c:formatCode>General</c:formatCode>
                <c:ptCount val="20"/>
                <c:pt idx="0">
                  <c:v>10.608000000000001</c:v>
                </c:pt>
                <c:pt idx="1">
                  <c:v>13.948</c:v>
                </c:pt>
                <c:pt idx="2">
                  <c:v>16.616</c:v>
                </c:pt>
                <c:pt idx="3">
                  <c:v>22.178000000000001</c:v>
                </c:pt>
                <c:pt idx="4">
                  <c:v>27.323</c:v>
                </c:pt>
                <c:pt idx="5">
                  <c:v>19.055</c:v>
                </c:pt>
                <c:pt idx="6">
                  <c:v>23.271000000000001</c:v>
                </c:pt>
                <c:pt idx="7">
                  <c:v>23.096</c:v>
                </c:pt>
                <c:pt idx="8">
                  <c:v>13.105</c:v>
                </c:pt>
                <c:pt idx="9">
                  <c:v>13.1</c:v>
                </c:pt>
                <c:pt idx="10">
                  <c:v>15.811999999999999</c:v>
                </c:pt>
                <c:pt idx="11">
                  <c:v>11.634</c:v>
                </c:pt>
                <c:pt idx="12">
                  <c:v>20.279</c:v>
                </c:pt>
                <c:pt idx="13">
                  <c:v>21.169</c:v>
                </c:pt>
                <c:pt idx="14">
                  <c:v>25.556000000000001</c:v>
                </c:pt>
                <c:pt idx="15">
                  <c:v>26.73</c:v>
                </c:pt>
                <c:pt idx="16">
                  <c:v>24.555</c:v>
                </c:pt>
                <c:pt idx="17">
                  <c:v>24.472000000000001</c:v>
                </c:pt>
                <c:pt idx="18">
                  <c:v>31.28</c:v>
                </c:pt>
                <c:pt idx="19">
                  <c:v>22.312999999999999</c:v>
                </c:pt>
              </c:numCache>
            </c:numRef>
          </c:val>
          <c:smooth val="0"/>
          <c:extLst>
            <c:ext xmlns:c16="http://schemas.microsoft.com/office/drawing/2014/chart" uri="{C3380CC4-5D6E-409C-BE32-E72D297353CC}">
              <c16:uniqueId val="{00000001-5196-4522-994B-67BD7E689280}"/>
            </c:ext>
          </c:extLst>
        </c:ser>
        <c:ser>
          <c:idx val="2"/>
          <c:order val="2"/>
          <c:tx>
            <c:strRef>
              <c:f>Sheet1!$A$15</c:f>
              <c:strCache>
                <c:ptCount val="1"/>
                <c:pt idx="0">
                  <c:v>Exports to China</c:v>
                </c:pt>
              </c:strCache>
            </c:strRef>
          </c:tx>
          <c:spPr>
            <a:ln w="28575" cap="rnd">
              <a:solidFill>
                <a:schemeClr val="accent3"/>
              </a:solidFill>
              <a:round/>
            </a:ln>
            <a:effectLst/>
          </c:spPr>
          <c:marker>
            <c:symbol val="none"/>
          </c:marker>
          <c:cat>
            <c:numRef>
              <c:f>Sheet1!$B$12:$U$12</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Sheet1!$B$15:$U$15</c:f>
              <c:numCache>
                <c:formatCode>General</c:formatCode>
                <c:ptCount val="20"/>
                <c:pt idx="0">
                  <c:v>0.10100000000000001</c:v>
                </c:pt>
                <c:pt idx="1">
                  <c:v>0.106</c:v>
                </c:pt>
                <c:pt idx="2">
                  <c:v>8.8999999999999996E-2</c:v>
                </c:pt>
                <c:pt idx="3">
                  <c:v>0.183</c:v>
                </c:pt>
                <c:pt idx="4">
                  <c:v>0.55600000000000005</c:v>
                </c:pt>
                <c:pt idx="5">
                  <c:v>0.51100000000000001</c:v>
                </c:pt>
                <c:pt idx="6">
                  <c:v>0.98099999999999998</c:v>
                </c:pt>
                <c:pt idx="7">
                  <c:v>46.920999999999999</c:v>
                </c:pt>
                <c:pt idx="8">
                  <c:v>0.216</c:v>
                </c:pt>
                <c:pt idx="9">
                  <c:v>1.012</c:v>
                </c:pt>
                <c:pt idx="10">
                  <c:v>0.873</c:v>
                </c:pt>
                <c:pt idx="11">
                  <c:v>1.1140000000000001</c:v>
                </c:pt>
                <c:pt idx="12">
                  <c:v>0.56699999999999995</c:v>
                </c:pt>
                <c:pt idx="13">
                  <c:v>1.98</c:v>
                </c:pt>
                <c:pt idx="14">
                  <c:v>1.2549999999999999</c:v>
                </c:pt>
                <c:pt idx="15">
                  <c:v>1.2869999999999999</c:v>
                </c:pt>
                <c:pt idx="16">
                  <c:v>22.817</c:v>
                </c:pt>
                <c:pt idx="17">
                  <c:v>98.234999999999999</c:v>
                </c:pt>
                <c:pt idx="18">
                  <c:v>33.372</c:v>
                </c:pt>
                <c:pt idx="19">
                  <c:v>1.421</c:v>
                </c:pt>
              </c:numCache>
            </c:numRef>
          </c:val>
          <c:smooth val="0"/>
          <c:extLst>
            <c:ext xmlns:c16="http://schemas.microsoft.com/office/drawing/2014/chart" uri="{C3380CC4-5D6E-409C-BE32-E72D297353CC}">
              <c16:uniqueId val="{00000002-5196-4522-994B-67BD7E689280}"/>
            </c:ext>
          </c:extLst>
        </c:ser>
        <c:dLbls>
          <c:showLegendKey val="0"/>
          <c:showVal val="0"/>
          <c:showCatName val="0"/>
          <c:showSerName val="0"/>
          <c:showPercent val="0"/>
          <c:showBubbleSize val="0"/>
        </c:dLbls>
        <c:smooth val="0"/>
        <c:axId val="1250920383"/>
        <c:axId val="1251588175"/>
      </c:lineChart>
      <c:catAx>
        <c:axId val="1250920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1588175"/>
        <c:crosses val="autoZero"/>
        <c:auto val="1"/>
        <c:lblAlgn val="ctr"/>
        <c:lblOffset val="100"/>
        <c:noMultiLvlLbl val="0"/>
      </c:catAx>
      <c:valAx>
        <c:axId val="1251588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09203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Sheet1!$A$51</c:f>
              <c:strCache>
                <c:ptCount val="1"/>
                <c:pt idx="0">
                  <c:v>Imports from USA</c:v>
                </c:pt>
              </c:strCache>
            </c:strRef>
          </c:tx>
          <c:spPr>
            <a:ln w="28575" cap="rnd">
              <a:solidFill>
                <a:schemeClr val="accent1"/>
              </a:solidFill>
              <a:round/>
            </a:ln>
            <a:effectLst/>
          </c:spPr>
          <c:marker>
            <c:symbol val="none"/>
          </c:marker>
          <c:cat>
            <c:numRef>
              <c:f>Sheet1!$B$50:$U$50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Sheet1!$B$51:$U$51</c:f>
              <c:numCache>
                <c:formatCode>General</c:formatCode>
                <c:ptCount val="20"/>
                <c:pt idx="0">
                  <c:v>36.865000000000002</c:v>
                </c:pt>
                <c:pt idx="1">
                  <c:v>32.616999999999997</c:v>
                </c:pt>
                <c:pt idx="2">
                  <c:v>34.046999999999997</c:v>
                </c:pt>
                <c:pt idx="3">
                  <c:v>49.731999999999999</c:v>
                </c:pt>
                <c:pt idx="4">
                  <c:v>52.777999999999999</c:v>
                </c:pt>
                <c:pt idx="5">
                  <c:v>51.811999999999998</c:v>
                </c:pt>
                <c:pt idx="6">
                  <c:v>81.152000000000001</c:v>
                </c:pt>
                <c:pt idx="7">
                  <c:v>84.421000000000006</c:v>
                </c:pt>
                <c:pt idx="8">
                  <c:v>67.475999999999999</c:v>
                </c:pt>
                <c:pt idx="9">
                  <c:v>66.944000000000003</c:v>
                </c:pt>
                <c:pt idx="10">
                  <c:v>65.384</c:v>
                </c:pt>
                <c:pt idx="11">
                  <c:v>61.003</c:v>
                </c:pt>
                <c:pt idx="12">
                  <c:v>60.786000000000001</c:v>
                </c:pt>
                <c:pt idx="13">
                  <c:v>47.875999999999998</c:v>
                </c:pt>
                <c:pt idx="14">
                  <c:v>47.359000000000002</c:v>
                </c:pt>
                <c:pt idx="15">
                  <c:v>38.426000000000002</c:v>
                </c:pt>
                <c:pt idx="16">
                  <c:v>37.875999999999998</c:v>
                </c:pt>
                <c:pt idx="17">
                  <c:v>38.052999999999997</c:v>
                </c:pt>
                <c:pt idx="18">
                  <c:v>33.767000000000003</c:v>
                </c:pt>
                <c:pt idx="19">
                  <c:v>23.617999999999999</c:v>
                </c:pt>
              </c:numCache>
            </c:numRef>
          </c:val>
          <c:smooth val="0"/>
          <c:extLst>
            <c:ext xmlns:c16="http://schemas.microsoft.com/office/drawing/2014/chart" uri="{C3380CC4-5D6E-409C-BE32-E72D297353CC}">
              <c16:uniqueId val="{00000000-513F-4B49-A1D9-E6202D5F3C52}"/>
            </c:ext>
          </c:extLst>
        </c:ser>
        <c:ser>
          <c:idx val="1"/>
          <c:order val="1"/>
          <c:tx>
            <c:strRef>
              <c:f>Sheet1!$A$52</c:f>
              <c:strCache>
                <c:ptCount val="1"/>
                <c:pt idx="0">
                  <c:v>Imports from UK</c:v>
                </c:pt>
              </c:strCache>
            </c:strRef>
          </c:tx>
          <c:spPr>
            <a:ln w="28575" cap="rnd">
              <a:solidFill>
                <a:schemeClr val="accent2"/>
              </a:solidFill>
              <a:round/>
            </a:ln>
            <a:effectLst/>
          </c:spPr>
          <c:marker>
            <c:symbol val="none"/>
          </c:marker>
          <c:cat>
            <c:numRef>
              <c:f>Sheet1!$B$50:$U$50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Sheet1!$B$52:$U$52</c:f>
              <c:numCache>
                <c:formatCode>General</c:formatCode>
                <c:ptCount val="20"/>
                <c:pt idx="0">
                  <c:v>62.274000000000001</c:v>
                </c:pt>
                <c:pt idx="1">
                  <c:v>58.375</c:v>
                </c:pt>
                <c:pt idx="2">
                  <c:v>73.075999999999993</c:v>
                </c:pt>
                <c:pt idx="3">
                  <c:v>96.043999999999997</c:v>
                </c:pt>
                <c:pt idx="4">
                  <c:v>112.715</c:v>
                </c:pt>
                <c:pt idx="5">
                  <c:v>112.428</c:v>
                </c:pt>
                <c:pt idx="6">
                  <c:v>138.62299999999999</c:v>
                </c:pt>
                <c:pt idx="7">
                  <c:v>141.815</c:v>
                </c:pt>
                <c:pt idx="8">
                  <c:v>116.69</c:v>
                </c:pt>
                <c:pt idx="9">
                  <c:v>121.866</c:v>
                </c:pt>
                <c:pt idx="10">
                  <c:v>136.756</c:v>
                </c:pt>
                <c:pt idx="11">
                  <c:v>123.242</c:v>
                </c:pt>
                <c:pt idx="12">
                  <c:v>117.955</c:v>
                </c:pt>
                <c:pt idx="13">
                  <c:v>91.542000000000002</c:v>
                </c:pt>
                <c:pt idx="14">
                  <c:v>75.876000000000005</c:v>
                </c:pt>
                <c:pt idx="15">
                  <c:v>59.9</c:v>
                </c:pt>
                <c:pt idx="16">
                  <c:v>60.636000000000003</c:v>
                </c:pt>
                <c:pt idx="17">
                  <c:v>56.186</c:v>
                </c:pt>
                <c:pt idx="18">
                  <c:v>54.246000000000002</c:v>
                </c:pt>
                <c:pt idx="19">
                  <c:v>33.162999999999997</c:v>
                </c:pt>
              </c:numCache>
            </c:numRef>
          </c:val>
          <c:smooth val="0"/>
          <c:extLst>
            <c:ext xmlns:c16="http://schemas.microsoft.com/office/drawing/2014/chart" uri="{C3380CC4-5D6E-409C-BE32-E72D297353CC}">
              <c16:uniqueId val="{00000001-513F-4B49-A1D9-E6202D5F3C52}"/>
            </c:ext>
          </c:extLst>
        </c:ser>
        <c:ser>
          <c:idx val="2"/>
          <c:order val="2"/>
          <c:tx>
            <c:strRef>
              <c:f>Sheet1!$A$53</c:f>
              <c:strCache>
                <c:ptCount val="1"/>
                <c:pt idx="0">
                  <c:v>Imports from China</c:v>
                </c:pt>
              </c:strCache>
            </c:strRef>
          </c:tx>
          <c:spPr>
            <a:ln w="28575" cap="rnd">
              <a:solidFill>
                <a:schemeClr val="accent3"/>
              </a:solidFill>
              <a:round/>
            </a:ln>
            <a:effectLst/>
          </c:spPr>
          <c:marker>
            <c:symbol val="none"/>
          </c:marker>
          <c:cat>
            <c:numRef>
              <c:f>Sheet1!$B$50:$U$50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Sheet1!$B$53:$U$53</c:f>
              <c:numCache>
                <c:formatCode>General</c:formatCode>
                <c:ptCount val="20"/>
                <c:pt idx="0">
                  <c:v>12.064</c:v>
                </c:pt>
                <c:pt idx="1">
                  <c:v>12.374000000000001</c:v>
                </c:pt>
                <c:pt idx="2">
                  <c:v>23.731000000000002</c:v>
                </c:pt>
                <c:pt idx="3">
                  <c:v>38.781999999999996</c:v>
                </c:pt>
                <c:pt idx="4">
                  <c:v>66.554000000000002</c:v>
                </c:pt>
                <c:pt idx="5">
                  <c:v>93.114000000000004</c:v>
                </c:pt>
                <c:pt idx="6">
                  <c:v>151.71299999999999</c:v>
                </c:pt>
                <c:pt idx="7">
                  <c:v>149.47900000000001</c:v>
                </c:pt>
                <c:pt idx="8">
                  <c:v>94.763000000000005</c:v>
                </c:pt>
                <c:pt idx="9">
                  <c:v>139.64500000000001</c:v>
                </c:pt>
                <c:pt idx="10">
                  <c:v>144.27600000000001</c:v>
                </c:pt>
                <c:pt idx="11">
                  <c:v>138.02199999999999</c:v>
                </c:pt>
                <c:pt idx="12">
                  <c:v>151.227</c:v>
                </c:pt>
                <c:pt idx="13">
                  <c:v>163.17599999999999</c:v>
                </c:pt>
                <c:pt idx="14">
                  <c:v>147.976</c:v>
                </c:pt>
                <c:pt idx="15">
                  <c:v>131.96199999999999</c:v>
                </c:pt>
                <c:pt idx="16">
                  <c:v>164.58500000000001</c:v>
                </c:pt>
                <c:pt idx="17">
                  <c:v>172.32300000000001</c:v>
                </c:pt>
                <c:pt idx="18">
                  <c:v>144.44900000000001</c:v>
                </c:pt>
                <c:pt idx="19">
                  <c:v>104.953</c:v>
                </c:pt>
              </c:numCache>
            </c:numRef>
          </c:val>
          <c:smooth val="0"/>
          <c:extLst>
            <c:ext xmlns:c16="http://schemas.microsoft.com/office/drawing/2014/chart" uri="{C3380CC4-5D6E-409C-BE32-E72D297353CC}">
              <c16:uniqueId val="{00000002-513F-4B49-A1D9-E6202D5F3C52}"/>
            </c:ext>
          </c:extLst>
        </c:ser>
        <c:dLbls>
          <c:showLegendKey val="0"/>
          <c:showVal val="0"/>
          <c:showCatName val="0"/>
          <c:showSerName val="0"/>
          <c:showPercent val="0"/>
          <c:showBubbleSize val="0"/>
        </c:dLbls>
        <c:smooth val="0"/>
        <c:axId val="1260523839"/>
        <c:axId val="1256416671"/>
      </c:lineChart>
      <c:catAx>
        <c:axId val="12605238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6416671"/>
        <c:crosses val="autoZero"/>
        <c:auto val="1"/>
        <c:lblAlgn val="ctr"/>
        <c:lblOffset val="100"/>
        <c:noMultiLvlLbl val="0"/>
      </c:catAx>
      <c:valAx>
        <c:axId val="12564166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60523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Sheet1!$A$81</c:f>
              <c:strCache>
                <c:ptCount val="1"/>
                <c:pt idx="0">
                  <c:v>(X-M) USA</c:v>
                </c:pt>
              </c:strCache>
            </c:strRef>
          </c:tx>
          <c:spPr>
            <a:ln w="28575" cap="rnd">
              <a:solidFill>
                <a:schemeClr val="accent1"/>
              </a:solidFill>
              <a:round/>
            </a:ln>
            <a:effectLst/>
          </c:spPr>
          <c:marker>
            <c:symbol val="none"/>
          </c:marker>
          <c:cat>
            <c:numRef>
              <c:f>Sheet1!$B$80:$U$80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Sheet1!$B$81:$U$81</c:f>
              <c:numCache>
                <c:formatCode>0.00</c:formatCode>
                <c:ptCount val="20"/>
                <c:pt idx="0">
                  <c:v>0.87999999999999545</c:v>
                </c:pt>
                <c:pt idx="1">
                  <c:v>17.236000000000004</c:v>
                </c:pt>
                <c:pt idx="2">
                  <c:v>28.505000000000003</c:v>
                </c:pt>
                <c:pt idx="3">
                  <c:v>20.11</c:v>
                </c:pt>
                <c:pt idx="4">
                  <c:v>17.095999999999997</c:v>
                </c:pt>
                <c:pt idx="5">
                  <c:v>18.066000000000003</c:v>
                </c:pt>
                <c:pt idx="6">
                  <c:v>-11.049999999999997</c:v>
                </c:pt>
                <c:pt idx="7">
                  <c:v>-19.090000000000003</c:v>
                </c:pt>
                <c:pt idx="8">
                  <c:v>-15.627000000000002</c:v>
                </c:pt>
                <c:pt idx="9">
                  <c:v>-25.090000000000003</c:v>
                </c:pt>
                <c:pt idx="10">
                  <c:v>-27.357999999999997</c:v>
                </c:pt>
                <c:pt idx="11">
                  <c:v>-11.103999999999999</c:v>
                </c:pt>
                <c:pt idx="12">
                  <c:v>-5.7700000000000031</c:v>
                </c:pt>
                <c:pt idx="13">
                  <c:v>18.164000000000009</c:v>
                </c:pt>
                <c:pt idx="14">
                  <c:v>57.625999999999998</c:v>
                </c:pt>
                <c:pt idx="15">
                  <c:v>108.41600000000001</c:v>
                </c:pt>
                <c:pt idx="16">
                  <c:v>90.759999999999991</c:v>
                </c:pt>
                <c:pt idx="17">
                  <c:v>105.84800000000001</c:v>
                </c:pt>
                <c:pt idx="18">
                  <c:v>109.12299999999999</c:v>
                </c:pt>
                <c:pt idx="19">
                  <c:v>121.066</c:v>
                </c:pt>
              </c:numCache>
            </c:numRef>
          </c:val>
          <c:smooth val="0"/>
          <c:extLst>
            <c:ext xmlns:c16="http://schemas.microsoft.com/office/drawing/2014/chart" uri="{C3380CC4-5D6E-409C-BE32-E72D297353CC}">
              <c16:uniqueId val="{00000000-B3B5-40F3-978E-9A081677D8C8}"/>
            </c:ext>
          </c:extLst>
        </c:ser>
        <c:ser>
          <c:idx val="1"/>
          <c:order val="1"/>
          <c:tx>
            <c:strRef>
              <c:f>Sheet1!$A$82</c:f>
              <c:strCache>
                <c:ptCount val="1"/>
                <c:pt idx="0">
                  <c:v>(X-M) UK</c:v>
                </c:pt>
              </c:strCache>
            </c:strRef>
          </c:tx>
          <c:spPr>
            <a:ln w="28575" cap="rnd">
              <a:solidFill>
                <a:schemeClr val="accent2"/>
              </a:solidFill>
              <a:round/>
            </a:ln>
            <a:effectLst/>
          </c:spPr>
          <c:marker>
            <c:symbol val="none"/>
          </c:marker>
          <c:cat>
            <c:numRef>
              <c:f>Sheet1!$B$80:$U$80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Sheet1!$B$82:$U$82</c:f>
              <c:numCache>
                <c:formatCode>0.00</c:formatCode>
                <c:ptCount val="20"/>
                <c:pt idx="0">
                  <c:v>-51.665999999999997</c:v>
                </c:pt>
                <c:pt idx="1">
                  <c:v>-44.427</c:v>
                </c:pt>
                <c:pt idx="2">
                  <c:v>-56.459999999999994</c:v>
                </c:pt>
                <c:pt idx="3">
                  <c:v>-73.866</c:v>
                </c:pt>
                <c:pt idx="4">
                  <c:v>-85.391999999999996</c:v>
                </c:pt>
                <c:pt idx="5">
                  <c:v>-93.37299999999999</c:v>
                </c:pt>
                <c:pt idx="6">
                  <c:v>-115.35199999999999</c:v>
                </c:pt>
                <c:pt idx="7">
                  <c:v>-118.71899999999999</c:v>
                </c:pt>
                <c:pt idx="8">
                  <c:v>-103.58499999999999</c:v>
                </c:pt>
                <c:pt idx="9">
                  <c:v>-108.76600000000001</c:v>
                </c:pt>
                <c:pt idx="10">
                  <c:v>-120.944</c:v>
                </c:pt>
                <c:pt idx="11">
                  <c:v>-111.608</c:v>
                </c:pt>
                <c:pt idx="12">
                  <c:v>-97.676000000000002</c:v>
                </c:pt>
                <c:pt idx="13">
                  <c:v>-70.373000000000005</c:v>
                </c:pt>
                <c:pt idx="14">
                  <c:v>-50.320000000000007</c:v>
                </c:pt>
                <c:pt idx="15">
                  <c:v>-33.17</c:v>
                </c:pt>
                <c:pt idx="16">
                  <c:v>-36.081000000000003</c:v>
                </c:pt>
                <c:pt idx="17">
                  <c:v>-31.713999999999999</c:v>
                </c:pt>
                <c:pt idx="18">
                  <c:v>-22.966000000000001</c:v>
                </c:pt>
                <c:pt idx="19">
                  <c:v>-10.849999999999998</c:v>
                </c:pt>
              </c:numCache>
            </c:numRef>
          </c:val>
          <c:smooth val="0"/>
          <c:extLst>
            <c:ext xmlns:c16="http://schemas.microsoft.com/office/drawing/2014/chart" uri="{C3380CC4-5D6E-409C-BE32-E72D297353CC}">
              <c16:uniqueId val="{00000001-B3B5-40F3-978E-9A081677D8C8}"/>
            </c:ext>
          </c:extLst>
        </c:ser>
        <c:ser>
          <c:idx val="2"/>
          <c:order val="2"/>
          <c:tx>
            <c:strRef>
              <c:f>Sheet1!$A$83</c:f>
              <c:strCache>
                <c:ptCount val="1"/>
                <c:pt idx="0">
                  <c:v>(X-M) China</c:v>
                </c:pt>
              </c:strCache>
            </c:strRef>
          </c:tx>
          <c:spPr>
            <a:ln w="28575" cap="rnd">
              <a:solidFill>
                <a:schemeClr val="accent3"/>
              </a:solidFill>
              <a:round/>
            </a:ln>
            <a:effectLst/>
          </c:spPr>
          <c:marker>
            <c:symbol val="none"/>
          </c:marker>
          <c:cat>
            <c:numRef>
              <c:f>Sheet1!$B$80:$U$80</c:f>
              <c:numCache>
                <c:formatCode>General</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cat>
          <c:val>
            <c:numRef>
              <c:f>Sheet1!$B$83:$U$83</c:f>
              <c:numCache>
                <c:formatCode>0.00</c:formatCode>
                <c:ptCount val="20"/>
                <c:pt idx="0">
                  <c:v>-11.962999999999999</c:v>
                </c:pt>
                <c:pt idx="1">
                  <c:v>-12.268000000000001</c:v>
                </c:pt>
                <c:pt idx="2">
                  <c:v>-23.642000000000003</c:v>
                </c:pt>
                <c:pt idx="3">
                  <c:v>-38.598999999999997</c:v>
                </c:pt>
                <c:pt idx="4">
                  <c:v>-65.998000000000005</c:v>
                </c:pt>
                <c:pt idx="5">
                  <c:v>-92.603000000000009</c:v>
                </c:pt>
                <c:pt idx="6">
                  <c:v>-150.732</c:v>
                </c:pt>
                <c:pt idx="7">
                  <c:v>-102.55800000000002</c:v>
                </c:pt>
                <c:pt idx="8">
                  <c:v>-94.547000000000011</c:v>
                </c:pt>
                <c:pt idx="9">
                  <c:v>-138.63300000000001</c:v>
                </c:pt>
                <c:pt idx="10">
                  <c:v>-143.40300000000002</c:v>
                </c:pt>
                <c:pt idx="11">
                  <c:v>-136.90799999999999</c:v>
                </c:pt>
                <c:pt idx="12">
                  <c:v>-150.66</c:v>
                </c:pt>
                <c:pt idx="13">
                  <c:v>-161.196</c:v>
                </c:pt>
                <c:pt idx="14">
                  <c:v>-146.721</c:v>
                </c:pt>
                <c:pt idx="15">
                  <c:v>-130.67499999999998</c:v>
                </c:pt>
                <c:pt idx="16">
                  <c:v>-141.768</c:v>
                </c:pt>
                <c:pt idx="17">
                  <c:v>-74.088000000000008</c:v>
                </c:pt>
                <c:pt idx="18">
                  <c:v>-111.07700000000001</c:v>
                </c:pt>
                <c:pt idx="19">
                  <c:v>-103.532</c:v>
                </c:pt>
              </c:numCache>
            </c:numRef>
          </c:val>
          <c:smooth val="0"/>
          <c:extLst>
            <c:ext xmlns:c16="http://schemas.microsoft.com/office/drawing/2014/chart" uri="{C3380CC4-5D6E-409C-BE32-E72D297353CC}">
              <c16:uniqueId val="{00000002-B3B5-40F3-978E-9A081677D8C8}"/>
            </c:ext>
          </c:extLst>
        </c:ser>
        <c:dLbls>
          <c:showLegendKey val="0"/>
          <c:showVal val="0"/>
          <c:showCatName val="0"/>
          <c:showSerName val="0"/>
          <c:showPercent val="0"/>
          <c:showBubbleSize val="0"/>
        </c:dLbls>
        <c:smooth val="0"/>
        <c:axId val="1257851631"/>
        <c:axId val="1425981775"/>
      </c:lineChart>
      <c:catAx>
        <c:axId val="1257851631"/>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5981775"/>
        <c:crosses val="autoZero"/>
        <c:auto val="1"/>
        <c:lblAlgn val="ctr"/>
        <c:lblOffset val="100"/>
        <c:noMultiLvlLbl val="0"/>
      </c:catAx>
      <c:valAx>
        <c:axId val="142598177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78516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5flTzF3oPiD04qRZW1WcTLv9jcw==">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7352D86-7B24-4A95-AB06-01A55BA86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14669</Words>
  <Characters>83619</Characters>
  <Application>Microsoft Office Word</Application>
  <DocSecurity>0</DocSecurity>
  <Lines>696</Lines>
  <Paragraphs>196</Paragraphs>
  <ScaleCrop>false</ScaleCrop>
  <HeadingPairs>
    <vt:vector size="2" baseType="variant">
      <vt:variant>
        <vt:lpstr>Title</vt:lpstr>
      </vt:variant>
      <vt:variant>
        <vt:i4>1</vt:i4>
      </vt:variant>
    </vt:vector>
  </HeadingPairs>
  <TitlesOfParts>
    <vt:vector size="1" baseType="lpstr">
      <vt:lpstr/>
    </vt:vector>
  </TitlesOfParts>
  <Company>Rhodes University</Company>
  <LinksUpToDate>false</LinksUpToDate>
  <CharactersWithSpaces>98092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June 2017</dc:creator>
  <cp:lastModifiedBy>Derrocks, René (Ms) (Bird Street Campus )</cp:lastModifiedBy>
  <cp:revision>2</cp:revision>
  <cp:lastPrinted>2022-01-13T16:08:00Z</cp:lastPrinted>
  <dcterms:created xsi:type="dcterms:W3CDTF">2022-02-09T06:57:00Z</dcterms:created>
  <dcterms:modified xsi:type="dcterms:W3CDTF">2022-02-09T06:57:00Z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id="sDKFpHI7"/&gt;&lt;style id="http://www.zotero.org/styles/harvard-cite-them-right" hasBibliography="1" bibliographyStyleHasBeenSet="0"/&gt;&lt;prefs&gt;&lt;pref name="fieldType" value="Field"/&gt;&lt;pref name="automat</vt:lpwstr>
  </property>
  <property fmtid="{D5CDD505-2E9C-101B-9397-08002B2CF9AE}" pid="3" name="ZOTERO_PREF_2">
    <vt:lpwstr>icJournalAbbreviations" value="true"/&gt;&lt;/prefs&gt;&lt;/data&gt;</vt:lpwstr>
  </property>
</Properties>
</file>